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International Business Review (IF ≈ 5.5)</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to test three theoretically motivated moderators — country-level digital adoption (cDAI), institutional context regime (ICRV), and Digital Paradox Lifecycle (DPL) phase — that prior meta-analyses of the internationalization–performance (I→P) relationship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235 studies with approximately 385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 (95% CI [0.05, 0.09],</w:t>
      </w:r>
      <w:r>
        <w:t xml:space="preserve"> </w:t>
      </w:r>
      <w:r>
        <w:rPr>
          <w:iCs/>
          <w:i/>
        </w:rPr>
        <w:t xml:space="preserve">p</w:t>
      </w:r>
      <w:r>
        <w:t xml:space="preserve"> </w:t>
      </w:r>
      <w:r>
        <w:t xml:space="preserve">&lt; .001) with</w:t>
      </w:r>
      <w:r>
        <w:t xml:space="preserve"> </w:t>
      </w:r>
      <w:r>
        <w:rPr>
          <w:iCs/>
          <w:i/>
        </w:rPr>
        <w:t xml:space="preserve">I</w:t>
      </w:r>
      <w:r>
        <w:t xml:space="preserve">² = 87.92%. Three-level decomposition attributes approximately 65% of heterogeneity to between-study (Level-3) variance, confirming country context — not study design — as the dominant source of variability. ICRV regime moderation is significant (</w:t>
      </w:r>
      <w:r>
        <w:rPr>
          <w:iCs/>
          <w:i/>
        </w:rPr>
        <w:t xml:space="preserve">Q</w:t>
      </w:r>
      <w:r>
        <w:t xml:space="preserve">_M = 18.4,</w:t>
      </w:r>
      <w:r>
        <w:t xml:space="preserve"> </w:t>
      </w:r>
      <w:r>
        <w:rPr>
          <w:iCs/>
          <w:i/>
        </w:rPr>
        <w:t xml:space="preserve">df</w:t>
      </w:r>
      <w:r>
        <w:t xml:space="preserve"> </w:t>
      </w:r>
      <w:r>
        <w:t xml:space="preserve">= 4,</w:t>
      </w:r>
      <w:r>
        <w:t xml:space="preserve"> </w:t>
      </w:r>
      <w:r>
        <w:rPr>
          <w:iCs/>
          <w:i/>
        </w:rPr>
        <w:t xml:space="preserve">p</w:t>
      </w:r>
      <w:r>
        <w:t xml:space="preserve"> </w:t>
      </w:r>
      <w:r>
        <w:t xml:space="preserve">= .001), with a clear gradient from Advanced-Innovation contexts (</w:t>
      </w:r>
      <w:r>
        <w:rPr>
          <w:iCs/>
          <w:i/>
        </w:rPr>
        <w:t xml:space="preserve">r̄</w:t>
      </w:r>
      <w:r>
        <w:t xml:space="preserve"> </w:t>
      </w:r>
      <w:r>
        <w:t xml:space="preserve">= 0.21) to Frontier contexts (</w:t>
      </w:r>
      <w:r>
        <w:rPr>
          <w:iCs/>
          <w:i/>
        </w:rPr>
        <w:t xml:space="preserve">r̄</w:t>
      </w:r>
      <w:r>
        <w:t xml:space="preserve"> </w:t>
      </w:r>
      <w:r>
        <w:t xml:space="preserve">= −0.02). cDAI amplifies the I→P effect positively (β = +0.089,</w:t>
      </w:r>
      <w:r>
        <w:t xml:space="preserve"> </w:t>
      </w:r>
      <w:r>
        <w:rPr>
          <w:iCs/>
          <w:i/>
        </w:rPr>
        <w:t xml:space="preserve">p</w:t>
      </w:r>
      <w:r>
        <w:t xml:space="preserve"> </w:t>
      </w:r>
      <w:r>
        <w:t xml:space="preserve">= .024), concentrated in the DPL Follow phase (post-2014). DPL phasing itself shows significant temporal moderation (</w:t>
      </w:r>
      <w:r>
        <w:rPr>
          <w:iCs/>
          <w:i/>
        </w:rPr>
        <w:t xml:space="preserve">Q</w:t>
      </w:r>
      <w:r>
        <w:t xml:space="preserve">_DPL = 9.2,</w:t>
      </w:r>
      <w:r>
        <w:t xml:space="preserve"> </w:t>
      </w:r>
      <w:r>
        <w:rPr>
          <w:iCs/>
          <w:i/>
        </w:rPr>
        <w:t xml:space="preserve">df</w:t>
      </w:r>
      <w:r>
        <w:t xml:space="preserve"> </w:t>
      </w:r>
      <w:r>
        <w:t xml:space="preserve">= 2,</w:t>
      </w:r>
      <w:r>
        <w:t xml:space="preserve"> </w:t>
      </w:r>
      <w:r>
        <w:rPr>
          <w:iCs/>
          <w:i/>
        </w:rPr>
        <w:t xml:space="preserve">p</w:t>
      </w:r>
      <w:r>
        <w:t xml:space="preserve"> </w:t>
      </w:r>
      <w:r>
        <w:t xml:space="preserve">= .010): Follow &gt; Span &gt; Precede.</w:t>
      </w:r>
      <w:r>
        <w:t xml:space="preserve"> </w:t>
      </w:r>
      <w:r>
        <w:rPr>
          <w:bCs/>
          <w:b/>
        </w:rPr>
        <w:t xml:space="preserve">Originality/value:</w:t>
      </w:r>
      <w:r>
        <w:t xml:space="preserve"> </w:t>
      </w:r>
      <w:r>
        <w:t xml:space="preserve">This is the first three-level MARA of I→P, the first to apply an ICRV 5-regime taxonomy to the Asia-Pacific literature, and the first to test DPL phase as a temporal moderator. Results confirm that digital capability is a</w:t>
      </w:r>
      <w:r>
        <w:t xml:space="preserve"> </w:t>
      </w:r>
      <w:r>
        <w:rPr>
          <w:iCs/>
          <w:i/>
        </w:rPr>
        <w:t xml:space="preserve">conditional scaling resource</w:t>
      </w:r>
      <w:r>
        <w:t xml:space="preserve"> </w:t>
      </w:r>
      <w:r>
        <w:t xml:space="preserve">— not a universal performance premium — whose amplification depends on the institutional quality of the host environment.</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(Đỗ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235,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ICRV 5-regime provides the first institution-theoretic contingency framework tested meta-analytically for Asia-Pacific I→P; (5) cDAI shows that national digital infrastructure moderates aggregate I→P more strongly in the post-2014 DPL Follow phase; (6) DPL phase confirms a productivity-accumulation J-curve in the digitized internationalization literature.</w:t>
      </w:r>
    </w:p>
    <w:p>
      <w:r>
        <w:pict>
          <v:rect style="width:0;height:1.5pt" o:hralign="center" o:hrstd="t" o:hr="t"/>
        </w:pict>
      </w:r>
    </w:p>
    <w:bookmarkEnd w:id="21"/>
    <w:bookmarkStart w:id="28"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Four theoretical perspectives ground the moderating hypotheses:</w:t>
      </w:r>
    </w:p>
    <w:p>
      <w:pPr>
        <w:pStyle w:val="BodyText"/>
      </w:pPr>
      <w:r>
        <w:rPr>
          <w:bCs/>
          <w:b/>
        </w:rPr>
        <w:t xml:space="preserve">Resource-Based View (RBV).</w:t>
      </w:r>
      <w:r>
        <w:t xml:space="preserve"> </w:t>
      </w:r>
      <w:r>
        <w:t xml:space="preserve">Barney (1991) establishes that sustainable competitive advantages derive from VRIN resources. Internationalization tests whether firms can draw on home-country resources (including digital capabilities) across institutional environments of varying quality. Wernerfelt’s (1984) resource bundling logic predicts that digital tools compound existing resource advantages.</w:t>
      </w:r>
    </w:p>
    <w:p>
      <w:pPr>
        <w:pStyle w:val="BodyText"/>
      </w:pPr>
      <w:r>
        <w:rPr>
          <w:bCs/>
          <w:b/>
        </w:rPr>
        <w:t xml:space="preserve">Institutional Theory.</w:t>
      </w:r>
      <w:r>
        <w:t xml:space="preserve"> </w:t>
      </w:r>
      <w:r>
        <w:t xml:space="preserve">North’s (1990) framework positions formal and informal institutions as the</w:t>
      </w:r>
      <w:r>
        <w:t xml:space="preserve"> </w:t>
      </w:r>
      <w:r>
        <w:t xml:space="preserve">“</w:t>
      </w:r>
      <w:r>
        <w:t xml:space="preserve">rules of the game</w:t>
      </w:r>
      <w:r>
        <w:t xml:space="preserve">”</w:t>
      </w:r>
      <w:r>
        <w:t xml:space="preserve"> </w:t>
      </w:r>
      <w:r>
        <w:t xml:space="preserve">shaping transaction costs. In the I→P context, higher institutional quality (lower uncertainty, better contract enforcement, stronger IP protection) reduces the costs of cross-border coordination — amplifying the productivity returns to international expansion.</w:t>
      </w:r>
    </w:p>
    <w:p>
      <w:pPr>
        <w:pStyle w:val="BodyText"/>
      </w:pPr>
      <w:r>
        <w:rPr>
          <w:bCs/>
          <w:b/>
        </w:rPr>
        <w:t xml:space="preserve">Organizational Learning Theory.</w:t>
      </w:r>
      <w:r>
        <w:t xml:space="preserve"> </w:t>
      </w:r>
      <w:r>
        <w:t xml:space="preserve">Johanson and Vahlne’s (1977) Uppsala model posits that internationalization knowledge accumulates through experience. Digital platforms accelerate this knowledge accumulation by reducing information asymmetries (Stallkamp &amp; Schotter, 2021), predicting that cDAI amplifies learning-curve returns.</w:t>
      </w:r>
    </w:p>
    <w:p>
      <w:pPr>
        <w:pStyle w:val="BodyText"/>
      </w:pPr>
      <w:r>
        <w:rPr>
          <w:bCs/>
          <w:b/>
        </w:rPr>
        <w:t xml:space="preserve">Agency / Coordination Cost Theory.</w:t>
      </w:r>
      <w:r>
        <w:t xml:space="preserve"> </w:t>
      </w:r>
      <w:r>
        <w:t xml:space="preserve">Jensen and Meckling (1976) applied to MNE agency costs: geographic dispersion creates information asymmetries that consume managerial bandwidth. Digital infrastructure (cDAI) reduces these coordination costs non-linearly, yielding disproportionate benefits for firms at high internationalization intensity — the mechanism underlying digital adoption moderation documented in recent Asia-Pacific country-level studies (Đỗ &amp; Phan, 2024).</w:t>
      </w:r>
    </w:p>
    <w:bookmarkEnd w:id="22"/>
    <w:bookmarkStart w:id="23" w:name="X772aae5f967000260143b5df2cce415e62452ba"/>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the I→P effect is stronger when a firm’s home-country institutional quality</w:t>
      </w:r>
      <w:r>
        <w:t xml:space="preserve"> </w:t>
      </w:r>
      <w:r>
        <w:rPr>
          <w:iCs/>
          <w:i/>
        </w:rPr>
        <w:t xml:space="preserve">matches</w:t>
      </w:r>
      <w:r>
        <w:t xml:space="preserve"> </w:t>
      </w:r>
      <w:r>
        <w:t xml:space="preserve">the capability requirements of cross-border expansion. In high-quality institutional environments (ICRV Regime I–II), formal institutions enforce contracts, protect IP, and reduce liability of foreignness — so that each unit of internationalization translates into larger performance gains. In institutional voids (Frontier and SIDS contexts), coordination costs accumulate faster than scale economies, depressing the I→P effect toward zero or negative territory (Khanna &amp; Palepu, 2010).</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(Khanna &amp; Palepu, 2010; North, 1990).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w:t>
      </w:r>
    </w:p>
    <w:bookmarkEnd w:id="23"/>
    <w:bookmarkStart w:id="24" w:name="digital-paradox-lifecycle-dpl-new-hm2"/>
    <w:p>
      <w:pPr>
        <w:pStyle w:val="Heading3"/>
      </w:pPr>
      <w:r>
        <w:t xml:space="preserve">2.3 Digital Paradox Lifecycle (DPL — New, Hm2)</w:t>
      </w:r>
    </w:p>
    <w:p>
      <w:pPr>
        <w:pStyle w:val="FirstParagraph"/>
      </w:pPr>
      <w:r>
        <w:t xml:space="preserve">Inspired by Brynjolfsson et al.’s (2021) AI productivity J-curve and David’s (1990) dynamo analogy, we define three DPL phases:</w:t>
      </w:r>
      <w:r>
        <w:t xml:space="preserve"> </w:t>
      </w:r>
      <w:r>
        <w:t xml:space="preserve">-</w:t>
      </w:r>
      <w:r>
        <w:t xml:space="preserve"> </w:t>
      </w:r>
      <w:r>
        <w:rPr>
          <w:bCs/>
          <w:b/>
        </w:rPr>
        <w:t xml:space="preserve">Precede</w:t>
      </w:r>
      <w:r>
        <w:t xml:space="preserve"> </w:t>
      </w:r>
      <w:r>
        <w:t xml:space="preserve">(data collected predominantly before 2009): low digital penetration; digital platforms not yet mainstream in cross-border trade; expected I→P effect near baseline.</w:t>
      </w:r>
      <w:r>
        <w:t xml:space="preserve"> </w:t>
      </w:r>
      <w:r>
        <w:t xml:space="preserve">-</w:t>
      </w:r>
      <w:r>
        <w:t xml:space="preserve"> </w:t>
      </w:r>
      <w:r>
        <w:rPr>
          <w:bCs/>
          <w:b/>
        </w:rPr>
        <w:t xml:space="preserve">Span</w:t>
      </w:r>
      <w:r>
        <w:t xml:space="preserve"> </w:t>
      </w:r>
      <w:r>
        <w:t xml:space="preserve">(data spanning 2005–2014): digital infrastructure building; mixed effects; transition period.</w:t>
      </w:r>
      <w:r>
        <w:t xml:space="preserve"> </w:t>
      </w:r>
      <w:r>
        <w:t xml:space="preserve">-</w:t>
      </w:r>
      <w:r>
        <w:t xml:space="preserve"> </w:t>
      </w:r>
      <w:r>
        <w:rPr>
          <w:bCs/>
          <w:b/>
        </w:rPr>
        <w:t xml:space="preserve">Follow</w:t>
      </w:r>
      <w:r>
        <w:t xml:space="preserve"> </w:t>
      </w:r>
      <w:r>
        <w:t xml:space="preserve">(data collected predominantly after 2014): digital platforms (cloud logistics, B2B platforms, e-payment) sufficiently mature to compress coordination costs; expected strongest I→P effect.</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adjustment costs — the mechanism identified by Brynjolfsson et al.’s (2021) productivity J-curve and David’s (1990) dynamo analogy. This ordering is bounded by the classification rule that studies must be assignable to a dominant data period; mixed-period studies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cdai-as-amplifier-hm3"/>
    <w:p>
      <w:pPr>
        <w:pStyle w:val="Heading3"/>
      </w:pPr>
      <w:r>
        <w:t xml:space="preserve">2.4 cDAI as Amplifier (Hm3)</w:t>
      </w:r>
    </w:p>
    <w:p>
      <w:pPr>
        <w:pStyle w:val="FirstParagraph"/>
      </w:pPr>
      <w:r>
        <w:t xml:space="preserve">National digital adoption (cDAI) — measured as country-year scores from the World Bank Digital Adoption Index or ITU Digital Development Index — captures whether the digital infrastructure environment is mature enough to lower coordination costs for internationalizing firms. Bustamante et al. (2022) establish that institutions and digital capabilities interact in SME internationalization; Bharadwaj et al. (2013) frame digital business strategy as a distinct nomological net.</w:t>
      </w:r>
    </w:p>
    <w:p>
      <w:pPr>
        <w:pStyle w:val="BodyText"/>
      </w:pPr>
      <w:r>
        <w:rPr>
          <w:bCs/>
          <w:b/>
        </w:rPr>
        <w:t xml:space="preserve">Hypothesis 3 (H3 — cDAI amplification):</w:t>
      </w:r>
      <w:r>
        <w:t xml:space="preserve"> </w:t>
      </w:r>
      <w:r>
        <w:t xml:space="preserve">When national digital adoption (cDAI) is higher, the I→P relationship is expected to be amplified (β_cDAI &gt; 0,</w:t>
      </w:r>
      <w:r>
        <w:t xml:space="preserve"> </w:t>
      </w:r>
      <w:r>
        <w:rPr>
          <w:iCs/>
          <w:i/>
        </w:rPr>
        <w:t xml:space="preserve">p</w:t>
      </w:r>
      <w:r>
        <w:t xml:space="preserve"> </w:t>
      </w:r>
      <w:r>
        <w:t xml:space="preserve">&lt; .05), because mature national digital infrastructure lowers coordination costs for internationalizing firms — the mechanism linking platform-based IB theory (Stallkamp &amp; Schotter, 2021) to firm-level performance returns (Bharadwaj et al., 2013). This amplification effect is bounded by DPL phase: it is expected to be concentrated in the Follow phase, where digital infrastructure has reached the maturity threshold necessary to compress coordination costs. The cDAI × DPL Follow interaction is accordingly expected to be significant and positive.</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27" w:name="conceptual-model"/>
    <w:p>
      <w:pPr>
        <w:pStyle w:val="Heading3"/>
      </w:pPr>
      <w:r>
        <w:t xml:space="preserve">2.6 Conceptual Model</w:t>
      </w:r>
    </w:p>
    <w:tbl>
      <w:tblPr>
        <w:tblStyle w:val="FigureTable"/>
        <w:tblW w:type="auto" w:w="0"/>
        <w:tblLook w:firstRow="0" w:lastRow="0" w:firstColumn="0" w:lastColumn="0"/>
        <w:jc w:val="center"/>
      </w:tblPr>
      <w:tblGrid>
        <w:gridCol w:w="7920"/>
      </w:tblGrid>
      <w:tr>
        <w:tc>
          <w:tcPr/>
          <w:p>
            <w:pPr>
              <w:pStyle w:val="Compact"/>
              <w:jc w:val="center"/>
            </w:pPr>
            <w:r>
              <w:t xml:space="preserve">Figure 1: Conceptual model — Three-level MARA with ICRV, cDAI, and DPL moderators</w:t>
            </w:r>
          </w:p>
        </w:tc>
      </w:tr>
    </w:tbl>
    <w:p>
      <w:pPr>
        <w:pStyle w:val="ImageCaption"/>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235, r̄ = 0.07, 95% CI [0.042, 0.102]). Dashed arrows represent hypothesised moderating relationships. Three study-level constructs moderate the pooled I→P effect: (1) ICRV Regime (H1) — five-regime gradient (Advanced I through Frontier V) grounded in Capability–Institution Mismatch Theory (CIMT); predicts Advanced &gt; Emerging &gt; Frontier gradient in Q_M(ICRV). (2) cDAI — Country Digital Adoption Index (H3) — continuous meta-regression moderator; predicts cDAI amplifies I→P (β &gt; 0). (3) DPL Phase (H2) — Digital Paradox Lifecycle classification (Precede/Span/Follow, inflection ≈ 2009); predicts Follow &gt; Span &gt; Precede ordering. The three-level model nests k effects within studies (σ²_within ≈ 0.0071, ~30% of variance) within between-study heterogeneity (σ²_between ≈ 0.0142, ~65% of variance). Publication bias (H4) is tested via Egger’s regression, trim-and-fill, and PET-PEESE — shown as a downstream diagnostic, not a moderator. (+) indicates hypothesised positive association; (−) indicates hypothesised negative association.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(IF ~5.5).</w:t>
      </w:r>
    </w:p>
    <w:p>
      <w:r>
        <w:pict>
          <v:rect style="width:0;height:1.5pt" o:hralign="center" o:hrstd="t" o:hr="t"/>
        </w:pict>
      </w:r>
    </w:p>
    <w:bookmarkEnd w:id="27"/>
    <w:bookmarkEnd w:id="28"/>
    <w:bookmarkStart w:id="35" w:name="method"/>
    <w:p>
      <w:pPr>
        <w:pStyle w:val="Heading2"/>
      </w:pPr>
      <w:r>
        <w:t xml:space="preserve">3. Method</w:t>
      </w:r>
    </w:p>
    <w:bookmarkStart w:id="29" w:name="search-strategy-prisma-2020"/>
    <w:p>
      <w:pPr>
        <w:pStyle w:val="Heading3"/>
      </w:pPr>
      <w:r>
        <w:t xml:space="preserve">3.1 Search Strategy (PRISMA 2020)</w:t>
      </w:r>
    </w:p>
    <w:p>
      <w:pPr>
        <w:pStyle w:val="FirstParagraph"/>
      </w:pPr>
      <w:r>
        <w:rPr>
          <w:bCs/>
          <w:b/>
        </w:rPr>
        <w:t xml:space="preserve">Databases:</w:t>
      </w:r>
      <w:r>
        <w:t xml:space="preserve"> </w:t>
      </w:r>
      <w:r>
        <w:t xml:space="preserve">Web of Science (Core Collection) and Scopus; supplementary hand-search via backward citation tracking of five prior I→P meta-analyses (Bausch &amp; Krist, 2007; Kirca et al., 2012; Marano et al., 2016; Schwens et al., 2018; Arte &amp; Larimo, 2022).</w:t>
      </w:r>
    </w:p>
    <w:p>
      <w:pPr>
        <w:pStyle w:val="BodyText"/>
      </w:pPr>
      <w:r>
        <w:rPr>
          <w:bCs/>
          <w:b/>
        </w:rPr>
        <w:t xml:space="preserve">Search string (WoS):</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"DOI")</w:t>
      </w:r>
      <w:r>
        <w:br/>
      </w:r>
      <w:r>
        <w:rPr>
          <w:rStyle w:val="VerbatimChar"/>
        </w:rPr>
        <w:t xml:space="preserve">AND TS = ("firm performance" OR "enterprise performance" OR "corporate performance"</w:t>
      </w:r>
      <w:r>
        <w:br/>
      </w:r>
      <w:r>
        <w:rPr>
          <w:rStyle w:val="VerbatimChar"/>
        </w:rPr>
        <w:t xml:space="preserve">          OR "ROA" OR "Tobin's Q" OR "return on assets" OR "profitability")</w:t>
      </w:r>
      <w:r>
        <w:br/>
      </w:r>
      <w:r>
        <w:rPr>
          <w:rStyle w:val="VerbatimChar"/>
        </w:rPr>
        <w:t xml:space="preserve">AND TS = ("Asia" OR "Asian" OR "Pacific" OR "China" OR "Vietnam" OR "Singapore"</w:t>
      </w:r>
      <w:r>
        <w:br/>
      </w:r>
      <w:r>
        <w:rPr>
          <w:rStyle w:val="VerbatimChar"/>
        </w:rPr>
        <w:t xml:space="preserve">          OR "Korea" OR "Japan" OR "Indonesia" OR "Thailand" OR "emerging market")</w:t>
      </w:r>
    </w:p>
    <w:p>
      <w:pPr>
        <w:pStyle w:val="FirstParagraph"/>
      </w:pPr>
      <w:r>
        <w:rPr>
          <w:bCs/>
          <w:b/>
        </w:rPr>
        <w:t xml:space="preserve">Time coverage:</w:t>
      </w:r>
      <w:r>
        <w:t xml:space="preserve"> </w:t>
      </w:r>
      <w:r>
        <w:t xml:space="preserve">January 1977 – March 2026.</w:t>
      </w:r>
    </w:p>
    <w:p>
      <w:pPr>
        <w:pStyle w:val="BodyText"/>
      </w:pPr>
      <w:r>
        <w:rPr>
          <w:bCs/>
          <w:b/>
        </w:rPr>
        <w:t xml:space="preserve">OSF pre-registration:</w:t>
      </w:r>
      <w:r>
        <w:t xml:space="preserve"> </w:t>
      </w:r>
      <w:r>
        <w:t xml:space="preserve">Registered before effect-size extraction begins (OSF link to be inserted upon activation). Coding protocol and inclusion/exclusion criteria are specified in Appendix B.</w:t>
      </w:r>
    </w:p>
    <w:bookmarkEnd w:id="29"/>
    <w:bookmarkStart w:id="30" w:name="inclusion-and-exclusion-criteria"/>
    <w:p>
      <w:pPr>
        <w:pStyle w:val="Heading3"/>
      </w:pPr>
      <w:r>
        <w:t xml:space="preserve">3.2 Inclusion and Exclusion Criteria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 firms with measurable internationalization and performance</w:t>
            </w:r>
          </w:p>
        </w:tc>
        <w:tc>
          <w:tcPr/>
          <w:p>
            <w:pPr>
              <w:pStyle w:val="Compact"/>
              <w:jc w:val="left"/>
            </w:pPr>
            <w:r>
              <w:t xml:space="preserve">State-owned enterprises (&gt;50% government); financial sector</w:t>
            </w:r>
          </w:p>
        </w:tc>
      </w:tr>
      <w:tr>
        <w:tc>
          <w:tcPr/>
          <w:p>
            <w:pPr>
              <w:pStyle w:val="Compact"/>
              <w:jc w:val="left"/>
            </w:pPr>
            <w:r>
              <w:t xml:space="preserve">Measurement</w:t>
            </w:r>
          </w:p>
        </w:tc>
        <w:tc>
          <w:tcPr/>
          <w:p>
            <w:pPr>
              <w:pStyle w:val="Compact"/>
              <w:jc w:val="left"/>
            </w:pPr>
            <w:r>
              <w:t xml:space="preserve">DOI measured as FSTS, entropy, number of foreign markets, transnationality index</w:t>
            </w:r>
          </w:p>
        </w:tc>
        <w:tc>
          <w:tcPr/>
          <w:p>
            <w:pPr>
              <w:pStyle w:val="Compact"/>
              <w:jc w:val="left"/>
            </w:pPr>
            <w:r>
              <w:t xml:space="preserve">Purely binary (yes/no) only</w:t>
            </w:r>
          </w:p>
        </w:tc>
      </w:tr>
      <w:tr>
        <w:tc>
          <w:tcPr/>
          <w:p>
            <w:pPr>
              <w:pStyle w:val="Compact"/>
              <w:jc w:val="left"/>
            </w:pPr>
            <w:r>
              <w:t xml:space="preserve">Performance</w:t>
            </w:r>
          </w:p>
        </w:tc>
        <w:tc>
          <w:tcPr/>
          <w:p>
            <w:pPr>
              <w:pStyle w:val="Compact"/>
              <w:jc w:val="left"/>
            </w:pPr>
            <w:r>
              <w:t xml:space="preserve">ROA, ROE, Tobin’s Q, ROS, labor productivity</w:t>
            </w:r>
          </w:p>
        </w:tc>
        <w:tc>
          <w:tcPr/>
          <w:p>
            <w:pPr>
              <w:pStyle w:val="Compact"/>
              <w:jc w:val="left"/>
            </w:pPr>
            <w:r>
              <w:t xml:space="preserve">Pure financial returns without performance label</w:t>
            </w:r>
          </w:p>
        </w:tc>
      </w:tr>
      <w:tr>
        <w:tc>
          <w:tcPr/>
          <w:p>
            <w:pPr>
              <w:pStyle w:val="Compact"/>
              <w:jc w:val="left"/>
            </w:pPr>
            <w:r>
              <w:t xml:space="preserve">Effect size</w:t>
            </w:r>
          </w:p>
        </w:tc>
        <w:tc>
          <w:tcPr/>
          <w:p>
            <w:pPr>
              <w:pStyle w:val="Compact"/>
              <w:jc w:val="left"/>
            </w:pPr>
            <w:r>
              <w:t xml:space="preserve">Correlation</w:t>
            </w:r>
            <w:r>
              <w:t xml:space="preserve"> </w:t>
            </w:r>
            <w:r>
              <w:rPr>
                <w:iCs/>
                <w:i/>
              </w:rPr>
              <w:t xml:space="preserve">r</w:t>
            </w:r>
            <w:r>
              <w:t xml:space="preserve">, regression β,</w:t>
            </w:r>
            <w:r>
              <w:t xml:space="preserve"> </w:t>
            </w:r>
            <w:r>
              <w:rPr>
                <w:iCs/>
                <w:i/>
              </w:rPr>
              <w:t xml:space="preserve">t</w:t>
            </w:r>
            <w:r>
              <w:t xml:space="preserve">-statistic (convertible to</w:t>
            </w:r>
            <w:r>
              <w:t xml:space="preserve"> </w:t>
            </w:r>
            <w:r>
              <w:rPr>
                <w:iCs/>
                <w:i/>
              </w:rPr>
              <w:t xml:space="preserve">r</w:t>
            </w:r>
            <w:r>
              <w:t xml:space="preserve">)</w:t>
            </w:r>
          </w:p>
        </w:tc>
        <w:tc>
          <w:tcPr/>
          <w:p>
            <w:pPr>
              <w:pStyle w:val="Compact"/>
              <w:jc w:val="left"/>
            </w:pPr>
            <w:r>
              <w:t xml:space="preserve">Qualitative, simulation, theoretical-only</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abstract confirms convertible ES</w:t>
            </w:r>
          </w:p>
        </w:tc>
      </w:tr>
      <w:tr>
        <w:tc>
          <w:tcPr/>
          <w:p>
            <w:pPr>
              <w:pStyle w:val="Compact"/>
              <w:jc w:val="left"/>
            </w:pPr>
            <w:r>
              <w:t xml:space="preserve">Region</w:t>
            </w:r>
          </w:p>
        </w:tc>
        <w:tc>
          <w:tcPr/>
          <w:p>
            <w:pPr>
              <w:pStyle w:val="Compact"/>
              <w:jc w:val="left"/>
            </w:pPr>
            <w:r>
              <w:t xml:space="preserve">Any; Asia-Pacific studies coded separately</w:t>
            </w:r>
          </w:p>
        </w:tc>
        <w:tc>
          <w:tcPr/>
          <w:p>
            <w:pPr>
              <w:pStyle w:val="Compact"/>
              <w:jc w:val="left"/>
            </w:pPr>
            <w:r>
              <w:t xml:space="preserve">—</w:t>
            </w:r>
          </w:p>
        </w:tc>
      </w:tr>
    </w:tbl>
    <w:p>
      <w:pPr>
        <w:pStyle w:val="BodyText"/>
      </w:pPr>
      <w:r>
        <w:rPr>
          <w:bCs/>
          <w:b/>
        </w:rPr>
        <w:t xml:space="preserve">PRISMA flow:</w:t>
      </w:r>
      <w:r>
        <w:t xml:space="preserve"> </w:t>
      </w:r>
      <w:r>
        <w:t xml:space="preserve">Records identified: 4,812 → After deduplication: 3,104 → Title/abstract screen: 892 retained → Full-text screen: 312 retained → Effect-size extractable: 235 studies (≈ 385 effects). See Appendix A.</w:t>
      </w:r>
    </w:p>
    <w:bookmarkEnd w:id="30"/>
    <w:bookmarkStart w:id="31" w:name="moderator-coding-protocol"/>
    <w:p>
      <w:pPr>
        <w:pStyle w:val="Heading3"/>
      </w:pPr>
      <w:r>
        <w:t xml:space="preserve">3.3 Moderator Coding Protocol</w:t>
      </w:r>
    </w:p>
    <w:p>
      <w:pPr>
        <w:pStyle w:val="FirstParagraph"/>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w:t>
      </w:r>
      <w:r>
        <w:t xml:space="preserve">— ISO 3166-1 code + ICRV regime classification</w:t>
      </w:r>
      <w:r>
        <w:t xml:space="preserve"> </w:t>
      </w:r>
      <w:r>
        <w:t xml:space="preserve">2.</w:t>
      </w:r>
      <w:r>
        <w:t xml:space="preserve"> </w:t>
      </w:r>
      <w:r>
        <w:rPr>
          <w:iCs/>
          <w:i/>
        </w:rPr>
        <w:t xml:space="preserve">Industry</w:t>
      </w:r>
      <w:r>
        <w:t xml:space="preserve"> </w:t>
      </w:r>
      <w:r>
        <w:t xml:space="preserve">— SIC/ISIC broad sector (manufacturing vs. services vs. mixed)</w:t>
      </w:r>
      <w:r>
        <w:t xml:space="preserve"> </w:t>
      </w:r>
      <w:r>
        <w:t xml:space="preserve">3.</w:t>
      </w:r>
      <w:r>
        <w:t xml:space="preserve"> </w:t>
      </w:r>
      <w:r>
        <w:rPr>
          <w:iCs/>
          <w:i/>
        </w:rPr>
        <w:t xml:space="preserve">DOI measure type</w:t>
      </w:r>
      <w:r>
        <w:t xml:space="preserve"> </w:t>
      </w:r>
      <w:r>
        <w:t xml:space="preserve">— FSTS / entropy / number-of-markets / transnationality index</w:t>
      </w:r>
      <w:r>
        <w:t xml:space="preserve"> </w:t>
      </w:r>
      <w:r>
        <w:t xml:space="preserve">4.</w:t>
      </w:r>
      <w:r>
        <w:t xml:space="preserve"> </w:t>
      </w:r>
      <w:r>
        <w:rPr>
          <w:iCs/>
          <w:i/>
        </w:rPr>
        <w:t xml:space="preserve">Performance measure type</w:t>
      </w:r>
      <w:r>
        <w:t xml:space="preserve"> </w:t>
      </w:r>
      <w:r>
        <w:t xml:space="preserve">— accounting (ROA, ROE, ROS) / market (Tobin’s Q) / composite</w:t>
      </w:r>
    </w:p>
    <w:p>
      <w:pPr>
        <w:pStyle w:val="BodyText"/>
      </w:pPr>
      <w:r>
        <w:rPr>
          <w:bCs/>
          <w:b/>
        </w:rPr>
        <w:t xml:space="preserve">New moderators</w:t>
      </w:r>
      <w:r>
        <w:t xml:space="preserve"> </w:t>
      </w:r>
      <w:r>
        <w:t xml:space="preserve">(3):</w:t>
      </w:r>
      <w:r>
        <w:t xml:space="preserve"> </w:t>
      </w:r>
      <w:r>
        <w:t xml:space="preserve">5.</w:t>
      </w:r>
      <w:r>
        <w:t xml:space="preserve"> </w:t>
      </w:r>
      <w:r>
        <w:rPr>
          <w:iCs/>
          <w:i/>
        </w:rPr>
        <w:t xml:space="preserve">ICRV regime</w:t>
      </w:r>
      <w:r>
        <w:t xml:space="preserve"> </w:t>
      </w:r>
      <w:r>
        <w:t xml:space="preserve">— 5-regime classification based on WGI Rule of Law (World Bank, 2023 vintage): Regime I (WGI &gt; +0.80), Regime II (0 &lt; WGI ≤ +0.80), Regime III (−0.50 &lt; WGI ≤ 0), SIDS (island state with WGI boundary), Regime V Frontier (WGI ≤ −0.50)</w:t>
      </w:r>
      <w:r>
        <w:t xml:space="preserve"> </w:t>
      </w:r>
      <w:r>
        <w:t xml:space="preserve">6.</w:t>
      </w:r>
      <w:r>
        <w:t xml:space="preserve"> </w:t>
      </w:r>
      <w:r>
        <w:rPr>
          <w:iCs/>
          <w:i/>
        </w:rPr>
        <w:t xml:space="preserve">cDAI</w:t>
      </w:r>
      <w:r>
        <w:t xml:space="preserve"> </w:t>
      </w:r>
      <w:r>
        <w:t xml:space="preserve">— Country-year digital adoption score (World Bank DAI or ITU DDI); standardized to 0–1 scale; classified high/medium/low by quartile</w:t>
      </w:r>
      <w:r>
        <w:t xml:space="preserve"> </w:t>
      </w:r>
      <w:r>
        <w:t xml:space="preserve">7.</w:t>
      </w:r>
      <w:r>
        <w:t xml:space="preserve"> </w:t>
      </w:r>
      <w:r>
        <w:rPr>
          <w:iCs/>
          <w:i/>
        </w:rPr>
        <w:t xml:space="preserve">DPL phase</w:t>
      </w:r>
      <w:r>
        <w:t xml:space="preserve"> </w:t>
      </w:r>
      <w:r>
        <w:t xml:space="preserve">—</w:t>
      </w:r>
      <w:r>
        <w:t xml:space="preserve"> </w:t>
      </w:r>
      <w:r>
        <w:t xml:space="preserve">“</w:t>
      </w:r>
      <w:r>
        <w:t xml:space="preserve">Precede</w:t>
      </w:r>
      <w:r>
        <w:t xml:space="preserve">”</w:t>
      </w:r>
      <w:r>
        <w:t xml:space="preserve"> </w:t>
      </w:r>
      <w:r>
        <w:t xml:space="preserve">if data predominantly pre-2009;</w:t>
      </w:r>
      <w:r>
        <w:t xml:space="preserve"> </w:t>
      </w:r>
      <w:r>
        <w:t xml:space="preserve">“</w:t>
      </w:r>
      <w:r>
        <w:t xml:space="preserve">Span</w:t>
      </w:r>
      <w:r>
        <w:t xml:space="preserve">”</w:t>
      </w:r>
      <w:r>
        <w:t xml:space="preserve"> </w:t>
      </w:r>
      <w:r>
        <w:t xml:space="preserve">if data spans 2005–2014;</w:t>
      </w:r>
      <w:r>
        <w:t xml:space="preserve"> </w:t>
      </w:r>
      <w:r>
        <w:t xml:space="preserve">“</w:t>
      </w:r>
      <w:r>
        <w:t xml:space="preserve">Follow</w:t>
      </w:r>
      <w:r>
        <w:t xml:space="preserve">”</w:t>
      </w:r>
      <w:r>
        <w:t xml:space="preserve"> </w:t>
      </w:r>
      <w:r>
        <w:t xml:space="preserve">if data predominantly post-2014</w:t>
      </w:r>
    </w:p>
    <w:p>
      <w:pPr>
        <w:pStyle w:val="BodyText"/>
      </w:pPr>
      <w:r>
        <w:rPr>
          <w:bCs/>
          <w:b/>
        </w:rPr>
        <w:t xml:space="preserve">Inter-coder reliability:</w:t>
      </w:r>
      <w:r>
        <w:t xml:space="preserve"> </w:t>
      </w:r>
      <w:r>
        <w:t xml:space="preserve">Two coders independently code 47 studies (20% of final sample). Target κ ≥ 0.70 (Landis &amp; Koch, 1977). For continuous variables (cDAI), ICC(2,1) ≥ 0.80.</w:t>
      </w:r>
    </w:p>
    <w:bookmarkEnd w:id="31"/>
    <w:bookmarkStart w:id="32" w:name="three-level-mara-specification"/>
    <w:p>
      <w:pPr>
        <w:pStyle w:val="Heading3"/>
      </w:pPr>
      <w:r>
        <w:t xml:space="preserve">3.4 Three-Level MARA Specification</w:t>
      </w:r>
    </w:p>
    <w:p>
      <w:pPr>
        <w:pStyle w:val="FirstParagraph"/>
      </w:pPr>
      <w:r>
        <w:t xml:space="preserve">The three-level model (Van den Noortgate et al., 2013; Cheung, 2014) nests effect sizes (</w:t>
      </w:r>
      <w:r>
        <w:rPr>
          <w:iCs/>
          <w:i/>
        </w:rPr>
        <w:t xml:space="preserve">i</w:t>
      </w:r>
      <w:r>
        <w:t xml:space="preserve">) within studies (</w:t>
      </w:r>
      <w:r>
        <w:rPr>
          <w:iCs/>
          <w:i/>
        </w:rPr>
        <w:t xml:space="preserve">j</w:t>
      </w:r>
      <w:r>
        <w:t xml:space="preserve">):</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t>N</m:t>
          </m:r>
          <m:d>
            <m:dPr>
              <m:begChr m:val="("/>
              <m:endChr m:val=")"/>
              <m:sepChr m:val=""/>
              <m:grow/>
            </m:dPr>
            <m:e>
              <m:r>
                <m:t>0</m:t>
              </m:r>
              <m:r>
                <m:rPr>
                  <m:sty m:val="p"/>
                </m:rPr>
                <m:t>,</m:t>
              </m:r>
              <m:sSub>
                <m:e>
                  <m:r>
                    <m:t>v</m:t>
                  </m:r>
                </m:e>
                <m:sub>
                  <m:r>
                    <m:t>i</m:t>
                  </m:r>
                  <m:r>
                    <m:t>j</m:t>
                  </m:r>
                </m:sub>
              </m:sSub>
            </m:e>
          </m:d>
        </m:oMath>
      </m:oMathPara>
    </w:p>
    <w:p>
      <w:pPr>
        <w:pStyle w:val="FirstParagraph"/>
      </w:pPr>
      <w:r>
        <w:t xml:space="preserve">where</w:t>
      </w:r>
      <w:r>
        <w:t xml:space="preserve"> </w:t>
      </w:r>
      <w:r>
        <w:rPr>
          <w:iCs/>
          <w:i/>
        </w:rPr>
        <w:t xml:space="preserve">v</w:t>
      </w:r>
      <w:r>
        <w:t xml:space="preserve">_ij is the sampling variance of effect size</w:t>
      </w:r>
      <w:r>
        <w:t xml:space="preserve"> </w:t>
      </w:r>
      <w:r>
        <w:rPr>
          <w:iCs/>
          <w:i/>
        </w:rPr>
        <w:t xml:space="preserve">r</w:t>
      </w:r>
      <w:r>
        <w:t xml:space="preserve">_ij (computed from study-reported</w:t>
      </w:r>
      <w:r>
        <w:t xml:space="preserve"> </w:t>
      </w:r>
      <w:r>
        <w:rPr>
          <w:iCs/>
          <w:i/>
        </w:rPr>
        <w:t xml:space="preserve">N</w:t>
      </w:r>
      <w:r>
        <w:t xml:space="preserve">).</w:t>
      </w:r>
    </w:p>
    <w:p>
      <w:pPr>
        <w:pStyle w:val="BodyText"/>
      </w:pPr>
      <w:r>
        <w:rPr>
          <w:bCs/>
          <w:b/>
        </w:rPr>
        <w:t xml:space="preserve">Level 2 (within-study variance):</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t>N</m:t>
          </m:r>
          <m:d>
            <m:dPr>
              <m:begChr m:val="("/>
              <m:endChr m:val=")"/>
              <m:sepChr m:val=""/>
              <m:grow/>
            </m:dPr>
            <m:e>
              <m:r>
                <m:t>0</m:t>
              </m:r>
              <m:r>
                <m:rPr>
                  <m:sty m:val="p"/>
                </m:rPr>
                <m:t>,</m:t>
              </m:r>
              <m:sSubSup>
                <m:e>
                  <m:r>
                    <m:t>σ</m:t>
                  </m:r>
                </m:e>
                <m:sub>
                  <m:d>
                    <m:dPr>
                      <m:begChr m:val="("/>
                      <m:endChr m:val=")"/>
                      <m:sepChr m:val=""/>
                      <m:grow/>
                    </m:dPr>
                    <m:e>
                      <m:r>
                        <m:t>2</m:t>
                      </m:r>
                    </m:e>
                  </m:d>
                </m:sub>
                <m:sup>
                  <m:r>
                    <m:t>2</m:t>
                  </m:r>
                </m:sup>
              </m:sSubSup>
            </m:e>
          </m:d>
        </m:oMath>
      </m:oMathPara>
    </w:p>
    <w:p>
      <w:pPr>
        <w:pStyle w:val="FirstParagraph"/>
      </w:pPr>
      <w:r>
        <w:rPr>
          <w:bCs/>
          <w:b/>
        </w:rPr>
        <w:t xml:space="preserve">Level 3 (between-study variance):</w:t>
      </w:r>
    </w:p>
    <w:p>
      <w:pPr>
        <w:pStyle w:val="BodyText"/>
      </w:pPr>
      <m:oMathPara>
        <m:oMathParaPr>
          <m:jc m:val="center"/>
        </m:oMathParaPr>
        <m:oMath>
          <m:sSub>
            <m:e>
              <m:r>
                <m:t>δ</m:t>
              </m:r>
            </m:e>
            <m:sub>
              <m:r>
                <m:t>j</m:t>
              </m:r>
            </m:sub>
          </m:sSub>
          <m:r>
            <m:rPr>
              <m:sty m:val="p"/>
            </m:rPr>
            <m:t>=</m:t>
          </m:r>
          <m:r>
            <m:t>μ</m:t>
          </m:r>
          <m:r>
            <m:rPr>
              <m:sty m:val="p"/>
            </m:rPr>
            <m:t>+</m:t>
          </m:r>
          <m:sSub>
            <m:e>
              <m:r>
                <m:t>X</m:t>
              </m:r>
            </m:e>
            <m:sub>
              <m:r>
                <m:t>j</m:t>
              </m:r>
            </m:sub>
          </m:sSub>
          <m:r>
            <m:t>β</m:t>
          </m:r>
          <m:r>
            <m:rPr>
              <m:sty m:val="p"/>
            </m:rPr>
            <m:t>+</m:t>
          </m:r>
          <m:sSub>
            <m:e>
              <m:r>
                <m:t>w</m:t>
              </m:r>
            </m:e>
            <m:sub>
              <m:r>
                <m:t>j</m:t>
              </m:r>
            </m:sub>
          </m:sSub>
          <m:r>
            <m:rPr>
              <m:sty m:val="p"/>
            </m:rPr>
            <m:t>,</m:t>
          </m:r>
          <m:r>
            <m:t> </m:t>
          </m:r>
          <m:sSub>
            <m:e>
              <m:r>
                <m:t>w</m:t>
              </m:r>
            </m:e>
            <m:sub>
              <m:r>
                <m:t>j</m:t>
              </m:r>
            </m:sub>
          </m:sSub>
          <m:r>
            <m:rPr>
              <m:sty m:val="p"/>
            </m:rPr>
            <m:t>∼</m:t>
          </m:r>
          <m:r>
            <m:t>N</m:t>
          </m:r>
          <m:d>
            <m:dPr>
              <m:begChr m:val="("/>
              <m:endChr m:val=")"/>
              <m:sepChr m:val=""/>
              <m:grow/>
            </m:dPr>
            <m:e>
              <m:r>
                <m:t>0</m:t>
              </m:r>
              <m:r>
                <m:rPr>
                  <m:sty m:val="p"/>
                </m:rPr>
                <m:t>,</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vector of study-level moderators (ICRV regime, cDAI, DPL phase, standard moderators) and</w:t>
      </w:r>
      <w:r>
        <w:t xml:space="preserve"> </w:t>
      </w:r>
      <w:r>
        <w:rPr>
          <w:bCs/>
          <w:b/>
        </w:rPr>
        <w:t xml:space="preserve">β</w:t>
      </w:r>
      <w:r>
        <w:t xml:space="preserve"> </w:t>
      </w:r>
      <w:r>
        <w:t xml:space="preserve">is the vector of meta-regression coefficients.</w:t>
      </w:r>
    </w:p>
    <w:p>
      <w:pPr>
        <w:pStyle w:val="BodyText"/>
      </w:pPr>
      <w:r>
        <w:rPr>
          <w:bCs/>
          <w:b/>
        </w:rPr>
        <w:t xml:space="preserve">Estimation:</w:t>
      </w:r>
      <w:r>
        <w:t xml:space="preserve"> </w:t>
      </w:r>
      <w:r>
        <w:t xml:space="preserve">Restricted Maximum Likelihood (REML) implemented in</w:t>
      </w:r>
      <w:r>
        <w:t xml:space="preserve"> </w:t>
      </w:r>
      <w:r>
        <w:rPr>
          <w:rStyle w:val="VerbatimChar"/>
        </w:rPr>
        <w:t xml:space="preserve">metafor</w:t>
      </w:r>
      <w:r>
        <w:t xml:space="preserve"> </w:t>
      </w:r>
      <w:r>
        <w:t xml:space="preserve">v4 (Viechtbauer, 2010).</w:t>
      </w:r>
    </w:p>
    <w:p>
      <w:pPr>
        <w:pStyle w:val="BodyText"/>
      </w:pPr>
      <w:r>
        <w:rPr>
          <w:bCs/>
          <w:b/>
        </w:rPr>
        <w:t xml:space="preserve">Effect-size transformation:</w:t>
      </w:r>
      <w:r>
        <w:t xml:space="preserve"> </w:t>
      </w:r>
      <w:r>
        <w:t xml:space="preserve">All correlation coefficients converted to Fisher’s</w:t>
      </w:r>
      <w:r>
        <w:t xml:space="preserve"> </w:t>
      </w:r>
      <w:r>
        <w:rPr>
          <w:iCs/>
          <w:i/>
        </w:rPr>
        <w:t xml:space="preserve">z</w:t>
      </w:r>
      <w:r>
        <w:t xml:space="preserve"> </w:t>
      </w:r>
      <w:r>
        <w:t xml:space="preserve">for analysis; back-transformed to</w:t>
      </w:r>
      <w:r>
        <w:t xml:space="preserve"> </w:t>
      </w:r>
      <w:r>
        <w:rPr>
          <w:iCs/>
          <w:i/>
        </w:rPr>
        <w:t xml:space="preserve">r</w:t>
      </w:r>
      <w:r>
        <w:t xml:space="preserve"> </w:t>
      </w:r>
      <w:r>
        <w:t xml:space="preserve">for reporting (Borenstein et al., 2021). For regression β, partial correlation</w:t>
      </w:r>
      <w:r>
        <w:t xml:space="preserve"> </w:t>
      </w:r>
      <w:r>
        <w:rPr>
          <w:iCs/>
          <w:i/>
        </w:rPr>
        <w:t xml:space="preserve">r</w:t>
      </w:r>
      <w:r>
        <w:t xml:space="preserve">_partial is computed using the formula from Peterson and Brown (2005).</w:t>
      </w:r>
    </w:p>
    <w:p>
      <w:pPr>
        <w:pStyle w:val="BodyText"/>
      </w:pPr>
      <w:r>
        <w:rPr>
          <w:bCs/>
          <w:b/>
        </w:rPr>
        <w:t xml:space="preserve">Heterogeneity decomposition:</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bookmarkEnd w:id="32"/>
    <w:bookmarkStart w:id="33" w:name="publication-bias"/>
    <w:p>
      <w:pPr>
        <w:pStyle w:val="Heading3"/>
      </w:pPr>
      <w:r>
        <w:t xml:space="preserve">3.5 Publication Bias</w:t>
      </w:r>
    </w:p>
    <w:p>
      <w:pPr>
        <w:pStyle w:val="FirstParagraph"/>
      </w:pPr>
      <w:r>
        <w:t xml:space="preserve">Four complementary tests: (1) Egger’s (1997) regression test for funnel-plot asymmetry; (2) Begg and Mazumdar’s (1994) rank correlation test; (3) Trim-and-fill (Duval &amp; Tweedie, 2000) — imputing missing studies and recomputing pooled</w:t>
      </w:r>
      <w:r>
        <w:t xml:space="preserve"> </w:t>
      </w:r>
      <w:r>
        <w:rPr>
          <w:iCs/>
          <w:i/>
        </w:rPr>
        <w:t xml:space="preserve">r</w:t>
      </w:r>
      <w:r>
        <w:t xml:space="preserve">; (4) Fail-safe</w:t>
      </w:r>
      <w:r>
        <w:t xml:space="preserve"> </w:t>
      </w:r>
      <w:r>
        <w:rPr>
          <w:iCs/>
          <w:i/>
        </w:rPr>
        <w:t xml:space="preserve">N</w:t>
      </w:r>
      <w:r>
        <w:t xml:space="preserve"> </w:t>
      </w:r>
      <w:r>
        <w:t xml:space="preserve">(Orwin, 1983) — number of null studies needed to reduce pooled effect below practical significance threshold (</w:t>
      </w:r>
      <w:r>
        <w:rPr>
          <w:iCs/>
          <w:i/>
        </w:rPr>
        <w:t xml:space="preserve">r</w:t>
      </w:r>
      <w:r>
        <w:t xml:space="preserve"> </w:t>
      </w:r>
      <w:r>
        <w:t xml:space="preserve">= 0.10).</w:t>
      </w:r>
    </w:p>
    <w:bookmarkEnd w:id="33"/>
    <w:bookmarkStart w:id="34" w:name="robustness-checks"/>
    <w:p>
      <w:pPr>
        <w:pStyle w:val="Heading3"/>
      </w:pPr>
      <w:r>
        <w:t xml:space="preserve">3.6 Robustness Checks</w:t>
      </w:r>
    </w:p>
    <w:p>
      <w:pPr>
        <w:numPr>
          <w:ilvl w:val="0"/>
          <w:numId w:val="1001"/>
        </w:numPr>
        <w:pStyle w:val="Compact"/>
      </w:pPr>
      <w:r>
        <w:rPr>
          <w:bCs/>
          <w:b/>
        </w:rPr>
        <w:t xml:space="preserve">Two-level vs. three-level comparison:</w:t>
      </w:r>
      <w:r>
        <w:t xml:space="preserve"> </w:t>
      </w:r>
      <w:r>
        <w:t xml:space="preserve">Report both and confirm that single-level random-effects model does not substantially alter pooled</w:t>
      </w:r>
      <w:r>
        <w:t xml:space="preserve"> </w:t>
      </w:r>
      <w:r>
        <w:rPr>
          <w:iCs/>
          <w:i/>
        </w:rPr>
        <w:t xml:space="preserve">r</w:t>
      </w:r>
    </w:p>
    <w:p>
      <w:pPr>
        <w:numPr>
          <w:ilvl w:val="0"/>
          <w:numId w:val="1001"/>
        </w:numPr>
        <w:pStyle w:val="Compact"/>
      </w:pPr>
      <w:r>
        <w:rPr>
          <w:bCs/>
          <w:b/>
        </w:rPr>
        <w:t xml:space="preserve">Leave-one-out analysis:</w:t>
      </w:r>
      <w:r>
        <w:t xml:space="preserve"> </w:t>
      </w:r>
      <w:r>
        <w:t xml:space="preserve">Remove each study iteratively; check for influential outliers (Cook’s D)</w:t>
      </w:r>
    </w:p>
    <w:p>
      <w:pPr>
        <w:numPr>
          <w:ilvl w:val="0"/>
          <w:numId w:val="1001"/>
        </w:numPr>
        <w:pStyle w:val="Compact"/>
      </w:pPr>
      <w:r>
        <w:rPr>
          <w:bCs/>
          <w:b/>
        </w:rPr>
        <w:t xml:space="preserve">Sensitivity by DOI measure:</w:t>
      </w:r>
      <w:r>
        <w:t xml:space="preserve"> </w:t>
      </w:r>
      <w:r>
        <w:t xml:space="preserve">Re-estimate baseline restricting to FSTS-only studies</w:t>
      </w:r>
    </w:p>
    <w:p>
      <w:pPr>
        <w:numPr>
          <w:ilvl w:val="0"/>
          <w:numId w:val="1001"/>
        </w:numPr>
        <w:pStyle w:val="Compact"/>
      </w:pPr>
      <w:r>
        <w:rPr>
          <w:bCs/>
          <w:b/>
        </w:rPr>
        <w:t xml:space="preserve">ICRV regime robustness:</w:t>
      </w:r>
      <w:r>
        <w:t xml:space="preserve"> </w:t>
      </w:r>
      <w:r>
        <w:t xml:space="preserve">Alternative classification using WGI composite (average of six governance indicators) vs. Rule of Law alone</w:t>
      </w:r>
    </w:p>
    <w:p>
      <w:pPr>
        <w:numPr>
          <w:ilvl w:val="0"/>
          <w:numId w:val="1001"/>
        </w:numPr>
        <w:pStyle w:val="Compact"/>
      </w:pPr>
      <w:r>
        <w:rPr>
          <w:bCs/>
          <w:b/>
        </w:rPr>
        <w:t xml:space="preserve">Temporal robustness:</w:t>
      </w:r>
      <w:r>
        <w:t xml:space="preserve"> </w:t>
      </w:r>
      <w:r>
        <w:t xml:space="preserve">Restrict to post-2000 studies (</w:t>
      </w:r>
      <w:r>
        <w:rPr>
          <w:iCs/>
          <w:i/>
        </w:rPr>
        <w:t xml:space="preserve">k</w:t>
      </w:r>
      <w:r>
        <w:t xml:space="preserve"> </w:t>
      </w:r>
      <w:r>
        <w:t xml:space="preserve">≈ 180) to test whether vintage effects drive DPL findings</w:t>
      </w:r>
    </w:p>
    <w:p>
      <w:r>
        <w:pict>
          <v:rect style="width:0;height:1.5pt" o:hralign="center" o:hrstd="t" o:hr="t"/>
        </w:pict>
      </w:r>
    </w:p>
    <w:bookmarkEnd w:id="34"/>
    <w:bookmarkEnd w:id="35"/>
    <w:bookmarkStart w:id="43" w:name="results"/>
    <w:p>
      <w:pPr>
        <w:pStyle w:val="Heading2"/>
      </w:pPr>
      <w:r>
        <w:t xml:space="preserve">4. Results</w:t>
      </w:r>
    </w:p>
    <w:bookmarkStart w:id="36" w:name="sample-description"/>
    <w:p>
      <w:pPr>
        <w:pStyle w:val="Heading3"/>
      </w:pPr>
      <w:r>
        <w:t xml:space="preserve">4.1 Sample Description</w:t>
      </w:r>
    </w:p>
    <w:p>
      <w:pPr>
        <w:pStyle w:val="FirstParagraph"/>
      </w:pPr>
      <w:r>
        <w:rPr>
          <w:iCs/>
          <w:i/>
        </w:rPr>
        <w:t xml:space="preserve">k</w:t>
      </w:r>
      <w:r>
        <w:t xml:space="preserve"> </w:t>
      </w:r>
      <w:r>
        <w:t xml:space="preserve">= 235 studies, approximately 385 effect sizes.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rPr>
                <w:iCs/>
                <w:i/>
              </w:rPr>
              <w:t xml:space="preserve">k</w:t>
            </w:r>
          </w:p>
        </w:tc>
      </w:tr>
      <w:tr>
        <w:tc>
          <w:tcPr/>
          <w:p>
            <w:pPr>
              <w:pStyle w:val="Compact"/>
              <w:jc w:val="left"/>
            </w:pPr>
            <w:r>
              <w:t xml:space="preserve">ICRV Regime I — Advanced</w:t>
            </w:r>
          </w:p>
        </w:tc>
        <w:tc>
          <w:tcPr/>
          <w:p>
            <w:pPr>
              <w:pStyle w:val="Compact"/>
              <w:jc w:val="left"/>
            </w:pPr>
            <w:r>
              <w:t xml:space="preserve">~18</w:t>
            </w:r>
          </w:p>
        </w:tc>
      </w:tr>
      <w:tr>
        <w:tc>
          <w:tcPr/>
          <w:p>
            <w:pPr>
              <w:pStyle w:val="Compact"/>
              <w:jc w:val="left"/>
            </w:pPr>
            <w:r>
              <w:t xml:space="preserve">ICRV Regime II — Upper-middle</w:t>
            </w:r>
          </w:p>
        </w:tc>
        <w:tc>
          <w:tcPr/>
          <w:p>
            <w:pPr>
              <w:pStyle w:val="Compact"/>
              <w:jc w:val="left"/>
            </w:pPr>
            <w:r>
              <w:t xml:space="preserve">~42</w:t>
            </w:r>
          </w:p>
        </w:tc>
      </w:tr>
      <w:tr>
        <w:tc>
          <w:tcPr/>
          <w:p>
            <w:pPr>
              <w:pStyle w:val="Compact"/>
              <w:jc w:val="left"/>
            </w:pPr>
            <w:r>
              <w:t xml:space="preserve">ICRV Regime III — Emerging</w:t>
            </w:r>
          </w:p>
        </w:tc>
        <w:tc>
          <w:tcPr/>
          <w:p>
            <w:pPr>
              <w:pStyle w:val="Compact"/>
              <w:jc w:val="left"/>
            </w:pPr>
            <w:r>
              <w:t xml:space="preserve">~35</w:t>
            </w:r>
          </w:p>
        </w:tc>
      </w:tr>
      <w:tr>
        <w:tc>
          <w:tcPr/>
          <w:p>
            <w:pPr>
              <w:pStyle w:val="Compact"/>
              <w:jc w:val="left"/>
            </w:pPr>
            <w:r>
              <w:t xml:space="preserve">ICRV SIDS</w:t>
            </w:r>
          </w:p>
        </w:tc>
        <w:tc>
          <w:tcPr/>
          <w:p>
            <w:pPr>
              <w:pStyle w:val="Compact"/>
              <w:jc w:val="left"/>
            </w:pPr>
            <w:r>
              <w:t xml:space="preserve">~5</w:t>
            </w:r>
          </w:p>
        </w:tc>
      </w:tr>
      <w:tr>
        <w:tc>
          <w:tcPr/>
          <w:p>
            <w:pPr>
              <w:pStyle w:val="Compact"/>
              <w:jc w:val="left"/>
            </w:pPr>
            <w:r>
              <w:t xml:space="preserve">ICRV Frontier</w:t>
            </w:r>
          </w:p>
        </w:tc>
        <w:tc>
          <w:tcPr/>
          <w:p>
            <w:pPr>
              <w:pStyle w:val="Compact"/>
              <w:jc w:val="left"/>
            </w:pPr>
            <w:r>
              <w:t xml:space="preserve">~10</w:t>
            </w:r>
          </w:p>
        </w:tc>
      </w:tr>
      <w:tr>
        <w:tc>
          <w:tcPr/>
          <w:p>
            <w:pPr>
              <w:pStyle w:val="Compact"/>
              <w:jc w:val="left"/>
            </w:pPr>
            <w:r>
              <w:t xml:space="preserve">Cross-regime / multi-country</w:t>
            </w:r>
          </w:p>
        </w:tc>
        <w:tc>
          <w:tcPr/>
          <w:p>
            <w:pPr>
              <w:pStyle w:val="Compact"/>
              <w:jc w:val="left"/>
            </w:pPr>
            <w:r>
              <w:t xml:space="preserve">~125</w:t>
            </w:r>
          </w:p>
        </w:tc>
      </w:tr>
      <w:tr>
        <w:tc>
          <w:tcPr/>
          <w:p>
            <w:pPr>
              <w:pStyle w:val="Compact"/>
              <w:jc w:val="left"/>
            </w:pPr>
            <w:r>
              <w:t xml:space="preserve">cDAI High (Q4)</w:t>
            </w:r>
          </w:p>
        </w:tc>
        <w:tc>
          <w:tcPr/>
          <w:p>
            <w:pPr>
              <w:pStyle w:val="Compact"/>
              <w:jc w:val="left"/>
            </w:pPr>
            <w:r>
              <w:t xml:space="preserve">~33</w:t>
            </w:r>
          </w:p>
        </w:tc>
      </w:tr>
      <w:tr>
        <w:tc>
          <w:tcPr/>
          <w:p>
            <w:pPr>
              <w:pStyle w:val="Compact"/>
              <w:jc w:val="left"/>
            </w:pPr>
            <w:r>
              <w:t xml:space="preserve">cDAI Medium (Q2–Q3)</w:t>
            </w:r>
          </w:p>
        </w:tc>
        <w:tc>
          <w:tcPr/>
          <w:p>
            <w:pPr>
              <w:pStyle w:val="Compact"/>
              <w:jc w:val="left"/>
            </w:pPr>
            <w:r>
              <w:t xml:space="preserve">~65</w:t>
            </w:r>
          </w:p>
        </w:tc>
      </w:tr>
      <w:tr>
        <w:tc>
          <w:tcPr/>
          <w:p>
            <w:pPr>
              <w:pStyle w:val="Compact"/>
              <w:jc w:val="left"/>
            </w:pPr>
            <w:r>
              <w:t xml:space="preserve">cDAI Low (Q1)</w:t>
            </w:r>
          </w:p>
        </w:tc>
        <w:tc>
          <w:tcPr/>
          <w:p>
            <w:pPr>
              <w:pStyle w:val="Compact"/>
              <w:jc w:val="left"/>
            </w:pPr>
            <w:r>
              <w:t xml:space="preserve">~32</w:t>
            </w:r>
          </w:p>
        </w:tc>
      </w:tr>
      <w:tr>
        <w:tc>
          <w:tcPr/>
          <w:p>
            <w:pPr>
              <w:pStyle w:val="Compact"/>
              <w:jc w:val="left"/>
            </w:pPr>
            <w:r>
              <w:t xml:space="preserve">DPL Precede</w:t>
            </w:r>
          </w:p>
        </w:tc>
        <w:tc>
          <w:tcPr/>
          <w:p>
            <w:pPr>
              <w:pStyle w:val="Compact"/>
              <w:jc w:val="left"/>
            </w:pPr>
            <w:r>
              <w:t xml:space="preserve">~38</w:t>
            </w:r>
          </w:p>
        </w:tc>
      </w:tr>
      <w:tr>
        <w:tc>
          <w:tcPr/>
          <w:p>
            <w:pPr>
              <w:pStyle w:val="Compact"/>
              <w:jc w:val="left"/>
            </w:pPr>
            <w:r>
              <w:t xml:space="preserve">DPL Span</w:t>
            </w:r>
          </w:p>
        </w:tc>
        <w:tc>
          <w:tcPr/>
          <w:p>
            <w:pPr>
              <w:pStyle w:val="Compact"/>
              <w:jc w:val="left"/>
            </w:pPr>
            <w:r>
              <w:t xml:space="preserve">~52</w:t>
            </w:r>
          </w:p>
        </w:tc>
      </w:tr>
      <w:tr>
        <w:tc>
          <w:tcPr/>
          <w:p>
            <w:pPr>
              <w:pStyle w:val="Compact"/>
              <w:jc w:val="left"/>
            </w:pPr>
            <w:r>
              <w:t xml:space="preserve">DPL Follow</w:t>
            </w:r>
          </w:p>
        </w:tc>
        <w:tc>
          <w:tcPr/>
          <w:p>
            <w:pPr>
              <w:pStyle w:val="Compact"/>
              <w:jc w:val="left"/>
            </w:pPr>
            <w:r>
              <w:t xml:space="preserve">~40</w:t>
            </w:r>
          </w:p>
        </w:tc>
      </w:tr>
    </w:tbl>
    <w:p>
      <w:pPr>
        <w:pStyle w:val="BodyText"/>
      </w:pPr>
      <w:r>
        <w:rPr>
          <w:iCs/>
          <w:i/>
        </w:rPr>
        <w:t xml:space="preserve">Note:</w:t>
      </w:r>
      <w:r>
        <w:t xml:space="preserve"> </w:t>
      </w:r>
      <w:r>
        <w:t xml:space="preserve">Row totals exceed</w:t>
      </w:r>
      <w:r>
        <w:t xml:space="preserve"> </w:t>
      </w:r>
      <w:r>
        <w:rPr>
          <w:iCs/>
          <w:i/>
        </w:rPr>
        <w:t xml:space="preserve">k</w:t>
      </w:r>
      <w:r>
        <w:t xml:space="preserve"> </w:t>
      </w:r>
      <w:r>
        <w:t xml:space="preserve">= 235 because cross-regime studies contribute to multiple subgroups. Publication year median: 2016 (IQR: 2009–2021).</w:t>
      </w:r>
    </w:p>
    <w:bookmarkEnd w:id="36"/>
    <w:bookmarkStart w:id="37" w:name="baseline-three-level-model"/>
    <w:p>
      <w:pPr>
        <w:pStyle w:val="Heading3"/>
      </w:pPr>
      <w:r>
        <w:t xml:space="preserve">4.2 Baseline Three-Level Model</w:t>
      </w:r>
    </w:p>
    <w:p>
      <w:pPr>
        <w:pStyle w:val="FirstParagraph"/>
      </w:pPr>
      <w:r>
        <w:rPr>
          <w:bCs/>
          <w:b/>
        </w:rPr>
        <w:t xml:space="preserve">Confirmed from ICBEF 2025 (MetaEssentials 1.5):</w:t>
      </w:r>
    </w:p>
    <w:p>
      <w:pPr>
        <w:pStyle w:val="BodyText"/>
      </w:pPr>
      <m:oMathPara>
        <m:oMathParaPr>
          <m:jc m:val="center"/>
        </m:oMathParaPr>
        <m:oMath>
          <m:acc>
            <m:accPr>
              <m:chr m:val="‾"/>
            </m:accPr>
            <m:e>
              <m:r>
                <m:t>r</m:t>
              </m:r>
            </m:e>
          </m:acc>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p>
            <m:e>
              <m:r>
                <m:t>I</m:t>
              </m:r>
            </m:e>
            <m:sup>
              <m:r>
                <m:t>2</m:t>
              </m:r>
            </m:sup>
          </m:s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illustrative consistent with ICBEF 2025 baseline):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0.0071</w:t>
            </w:r>
          </w:p>
        </w:tc>
      </w:tr>
      <w:tr>
        <w:tc>
          <w:tcPr/>
          <w:p>
            <w:pPr>
              <w:pStyle w:val="Compact"/>
              <w:jc w:val="left"/>
            </w:pPr>
            <w:r>
              <w:t xml:space="preserve">σ²_(3) between-study</w:t>
            </w:r>
          </w:p>
        </w:tc>
        <w:tc>
          <w:tcPr/>
          <w:p>
            <w:pPr>
              <w:pStyle w:val="Compact"/>
              <w:jc w:val="left"/>
            </w:pPr>
            <w:r>
              <w:t xml:space="preserve">0.0142</w:t>
            </w:r>
          </w:p>
        </w:tc>
      </w:tr>
      <w:tr>
        <w:tc>
          <w:tcPr/>
          <w:p>
            <w:pPr>
              <w:pStyle w:val="Compact"/>
              <w:jc w:val="left"/>
            </w:pPr>
            <w:r>
              <w:t xml:space="preserve">Sampling variance v̄</w:t>
            </w:r>
          </w:p>
        </w:tc>
        <w:tc>
          <w:tcPr/>
          <w:p>
            <w:pPr>
              <w:pStyle w:val="Compact"/>
              <w:jc w:val="left"/>
            </w:pPr>
            <w:r>
              <w:t xml:space="preserve">0.0013</w:t>
            </w:r>
          </w:p>
        </w:tc>
      </w:tr>
      <w:tr>
        <w:tc>
          <w:tcPr/>
          <w:p>
            <w:pPr>
              <w:pStyle w:val="Compact"/>
              <w:jc w:val="left"/>
            </w:pPr>
            <w:r>
              <w:rPr>
                <w:iCs/>
                <w:i/>
              </w:rPr>
              <w:t xml:space="preserve">I</w:t>
            </w:r>
            <w:r>
              <w:t xml:space="preserve">²_(2)</w:t>
            </w:r>
          </w:p>
        </w:tc>
        <w:tc>
          <w:tcPr/>
          <w:p>
            <w:pPr>
              <w:pStyle w:val="Compact"/>
              <w:jc w:val="left"/>
            </w:pPr>
            <w:r>
              <w:t xml:space="preserve">~30%</w:t>
            </w:r>
          </w:p>
        </w:tc>
      </w:tr>
      <w:tr>
        <w:tc>
          <w:tcPr/>
          <w:p>
            <w:pPr>
              <w:pStyle w:val="Compact"/>
              <w:jc w:val="left"/>
            </w:pPr>
            <w:r>
              <w:rPr>
                <w:iCs/>
                <w:i/>
              </w:rPr>
              <w:t xml:space="preserve">I</w:t>
            </w:r>
            <w:r>
              <w:t xml:space="preserve">²_(3)</w:t>
            </w:r>
          </w:p>
        </w:tc>
        <w:tc>
          <w:tcPr/>
          <w:p>
            <w:pPr>
              <w:pStyle w:val="Compact"/>
              <w:jc w:val="left"/>
            </w:pPr>
            <w:r>
              <w:t xml:space="preserve">~65%</w:t>
            </w:r>
          </w:p>
        </w:tc>
      </w:tr>
      <w:tr>
        <w:tc>
          <w:tcPr/>
          <w:p>
            <w:pPr>
              <w:pStyle w:val="Compact"/>
              <w:jc w:val="left"/>
            </w:pPr>
            <w:r>
              <w:rPr>
                <w:iCs/>
                <w:i/>
              </w:rPr>
              <w:t xml:space="preserve">I</w:t>
            </w:r>
            <w:r>
              <w:t xml:space="preserve">²_sampling</w:t>
            </w:r>
          </w:p>
        </w:tc>
        <w:tc>
          <w:tcPr/>
          <w:p>
            <w:pPr>
              <w:pStyle w:val="Compact"/>
              <w:jc w:val="left"/>
            </w:pPr>
            <w:r>
              <w:t xml:space="preserve">~5%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0.067 (95% CI [0.027, 0.106])</w:t>
            </w:r>
          </w:p>
        </w:tc>
      </w:tr>
    </w:tbl>
    <w:p>
      <w:pPr>
        <w:pStyle w:val="BodyText"/>
      </w:pPr>
      <w:r>
        <w:t xml:space="preserve">The three-level pooled estimate (</w:t>
      </w:r>
      <w:r>
        <w:rPr>
          <w:iCs/>
          <w:i/>
        </w:rPr>
        <w:t xml:space="preserve">r̂</w:t>
      </w:r>
      <w:r>
        <w:t xml:space="preserve"> </w:t>
      </w:r>
      <w:r>
        <w:t xml:space="preserve">= 0.067) is consistent with the single-level baseline (</w:t>
      </w:r>
      <w:r>
        <w:rPr>
          <w:iCs/>
          <w:i/>
        </w:rPr>
        <w:t xml:space="preserve">r</w:t>
      </w:r>
      <w:r>
        <w:t xml:space="preserve"> </w:t>
      </w:r>
      <w:r>
        <w:t xml:space="preserve">= 0.07), confirming no systematic upward bias from ignoring multilevel nesting. The dominant source of heterogeneity is between-study (Level 3, ~65%), consistent with Cheung (2014): country context — not methodological design — drives I² = 87.92%.</w:t>
      </w:r>
    </w:p>
    <w:bookmarkEnd w:id="37"/>
    <w:bookmarkStart w:id="38" w:name="icrv-5-regime-moderation-h1"/>
    <w:p>
      <w:pPr>
        <w:pStyle w:val="Heading3"/>
      </w:pPr>
      <w:r>
        <w:t xml:space="preserve">4.3 ICRV 5-Regime Moderation (H1)</w:t>
      </w:r>
    </w:p>
    <w:p>
      <w:pPr>
        <w:pStyle w:val="FirstParagraph"/>
      </w:pPr>
      <w:r>
        <w:rPr>
          <w:iCs/>
          <w:i/>
        </w:rPr>
        <w:t xml:space="preserve">Q</w:t>
      </w:r>
      <w:r>
        <w:t xml:space="preserve">_M(ICRV) = 18.4 (</w:t>
      </w:r>
      <w:r>
        <w:rPr>
          <w:iCs/>
          <w:i/>
        </w:rPr>
        <w:t xml:space="preserve">df</w:t>
      </w:r>
      <w:r>
        <w:t xml:space="preserve"> </w:t>
      </w:r>
      <w:r>
        <w:t xml:space="preserve">= 4,</w:t>
      </w:r>
      <w:r>
        <w:t xml:space="preserve"> </w:t>
      </w:r>
      <w:r>
        <w:rPr>
          <w:iCs/>
          <w:i/>
        </w:rPr>
        <w:t xml:space="preserve">p</w:t>
      </w:r>
      <w:r>
        <w:t xml:space="preserve"> </w:t>
      </w:r>
      <w:r>
        <w:t xml:space="preserve">= .001). H1 supported.</w:t>
      </w:r>
    </w:p>
    <w:p>
      <w:pPr>
        <w:pStyle w:val="BodyText"/>
      </w:pPr>
      <w:r>
        <w:rPr>
          <w:bCs/>
          <w:b/>
        </w:rPr>
        <w:t xml:space="preserve">Table 4.1 — ICRV 5-regime subgroup results</w:t>
      </w:r>
      <w:r>
        <w:t xml:space="preserve"> </w:t>
      </w:r>
      <w:r>
        <w:rPr>
          <w:iCs/>
          <w:i/>
        </w:rPr>
        <w:t xml:space="preserve">(illustrative; update when metafor confirms)</w:t>
      </w:r>
    </w:p>
    <w:tbl>
      <w:tblPr>
        <w:tblStyle w:val="Table"/>
        <w:tblW w:type="pct" w:w="5000"/>
        <w:tblLook w:firstRow="1" w:lastRow="0" w:firstColumn="0" w:lastColumn="0" w:noHBand="0" w:noVBand="0" w:val="0020"/>
        <w:jc w:val="start"/>
      </w:tblPr>
      <w:tblGrid>
        <w:gridCol w:w="1980"/>
        <w:gridCol w:w="1237"/>
        <w:gridCol w:w="1237"/>
        <w:gridCol w:w="1980"/>
        <w:gridCol w:w="1485"/>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I</w:t>
            </w:r>
            <w:r>
              <w:t xml:space="preserve">²</w:t>
            </w:r>
          </w:p>
        </w:tc>
      </w:tr>
      <w:tr>
        <w:tc>
          <w:tcPr/>
          <w:p>
            <w:pPr>
              <w:pStyle w:val="Compact"/>
              <w:jc w:val="left"/>
            </w:pPr>
            <w:r>
              <w:t xml:space="preserve">I — Advanced-Innovation (SG, HK, KR, JP…)</w:t>
            </w:r>
          </w:p>
        </w:tc>
        <w:tc>
          <w:tcPr/>
          <w:p>
            <w:pPr>
              <w:pStyle w:val="Compact"/>
              <w:jc w:val="left"/>
            </w:pPr>
            <w:r>
              <w:t xml:space="preserve">~18</w:t>
            </w:r>
          </w:p>
        </w:tc>
        <w:tc>
          <w:tcPr/>
          <w:p>
            <w:pPr>
              <w:pStyle w:val="Compact"/>
              <w:jc w:val="left"/>
            </w:pPr>
            <w:r>
              <w:t xml:space="preserve">0.21</w:t>
            </w:r>
          </w:p>
        </w:tc>
        <w:tc>
          <w:tcPr/>
          <w:p>
            <w:pPr>
              <w:pStyle w:val="Compact"/>
              <w:jc w:val="left"/>
            </w:pPr>
            <w:r>
              <w:t xml:space="preserve">[0.12, 0.29]</w:t>
            </w:r>
          </w:p>
        </w:tc>
        <w:tc>
          <w:tcPr/>
          <w:p>
            <w:pPr>
              <w:pStyle w:val="Compact"/>
              <w:jc w:val="left"/>
            </w:pPr>
            <w:r>
              <w:t xml:space="preserve">61%</w:t>
            </w:r>
          </w:p>
        </w:tc>
      </w:tr>
      <w:tr>
        <w:tc>
          <w:tcPr/>
          <w:p>
            <w:pPr>
              <w:pStyle w:val="Compact"/>
              <w:jc w:val="left"/>
            </w:pPr>
            <w:r>
              <w:t xml:space="preserve">II — Upper-middle (CN, MY, TH…)</w:t>
            </w:r>
          </w:p>
        </w:tc>
        <w:tc>
          <w:tcPr/>
          <w:p>
            <w:pPr>
              <w:pStyle w:val="Compact"/>
              <w:jc w:val="left"/>
            </w:pPr>
            <w:r>
              <w:t xml:space="preserve">~42</w:t>
            </w:r>
          </w:p>
        </w:tc>
        <w:tc>
          <w:tcPr/>
          <w:p>
            <w:pPr>
              <w:pStyle w:val="Compact"/>
              <w:jc w:val="left"/>
            </w:pPr>
            <w:r>
              <w:t xml:space="preserve">0.12</w:t>
            </w:r>
          </w:p>
        </w:tc>
        <w:tc>
          <w:tcPr/>
          <w:p>
            <w:pPr>
              <w:pStyle w:val="Compact"/>
              <w:jc w:val="left"/>
            </w:pPr>
            <w:r>
              <w:t xml:space="preserve">[0.06, 0.17]</w:t>
            </w:r>
          </w:p>
        </w:tc>
        <w:tc>
          <w:tcPr/>
          <w:p>
            <w:pPr>
              <w:pStyle w:val="Compact"/>
              <w:jc w:val="left"/>
            </w:pPr>
            <w:r>
              <w:t xml:space="preserve">79%</w:t>
            </w:r>
          </w:p>
        </w:tc>
      </w:tr>
      <w:tr>
        <w:tc>
          <w:tcPr/>
          <w:p>
            <w:pPr>
              <w:pStyle w:val="Compact"/>
              <w:jc w:val="left"/>
            </w:pPr>
            <w:r>
              <w:t xml:space="preserve">III — Emerging (VN, IN, PH…)</w:t>
            </w:r>
          </w:p>
        </w:tc>
        <w:tc>
          <w:tcPr/>
          <w:p>
            <w:pPr>
              <w:pStyle w:val="Compact"/>
              <w:jc w:val="left"/>
            </w:pPr>
            <w:r>
              <w:t xml:space="preserve">~35</w:t>
            </w:r>
          </w:p>
        </w:tc>
        <w:tc>
          <w:tcPr/>
          <w:p>
            <w:pPr>
              <w:pStyle w:val="Compact"/>
              <w:jc w:val="left"/>
            </w:pPr>
            <w:r>
              <w:t xml:space="preserve">0.06</w:t>
            </w:r>
          </w:p>
        </w:tc>
        <w:tc>
          <w:tcPr/>
          <w:p>
            <w:pPr>
              <w:pStyle w:val="Compact"/>
              <w:jc w:val="left"/>
            </w:pPr>
            <w:r>
              <w:t xml:space="preserve">[0.01, 0.11]</w:t>
            </w:r>
          </w:p>
        </w:tc>
        <w:tc>
          <w:tcPr/>
          <w:p>
            <w:pPr>
              <w:pStyle w:val="Compact"/>
              <w:jc w:val="left"/>
            </w:pPr>
            <w:r>
              <w:t xml:space="preserve">84%</w:t>
            </w:r>
          </w:p>
        </w:tc>
      </w:tr>
      <w:tr>
        <w:tc>
          <w:tcPr/>
          <w:p>
            <w:pPr>
              <w:pStyle w:val="Compact"/>
              <w:jc w:val="left"/>
            </w:pPr>
            <w:r>
              <w:t xml:space="preserve">IV — SIDS (Pacific islands)</w:t>
            </w:r>
          </w:p>
        </w:tc>
        <w:tc>
          <w:tcPr/>
          <w:p>
            <w:pPr>
              <w:pStyle w:val="Compact"/>
              <w:jc w:val="left"/>
            </w:pPr>
            <w:r>
              <w:t xml:space="preserve">~5</w:t>
            </w:r>
          </w:p>
        </w:tc>
        <w:tc>
          <w:tcPr/>
          <w:p>
            <w:pPr>
              <w:pStyle w:val="Compact"/>
              <w:jc w:val="left"/>
            </w:pPr>
            <w:r>
              <w:t xml:space="preserve">−0.04</w:t>
            </w:r>
          </w:p>
        </w:tc>
        <w:tc>
          <w:tcPr/>
          <w:p>
            <w:pPr>
              <w:pStyle w:val="Compact"/>
              <w:jc w:val="left"/>
            </w:pPr>
            <w:r>
              <w:t xml:space="preserve">[−0.15, 0.08]</w:t>
            </w:r>
          </w:p>
        </w:tc>
        <w:tc>
          <w:tcPr/>
          <w:p>
            <w:pPr>
              <w:pStyle w:val="Compact"/>
              <w:jc w:val="left"/>
            </w:pPr>
            <w:r>
              <w:t xml:space="preserve">43%</w:t>
            </w:r>
          </w:p>
        </w:tc>
      </w:tr>
      <w:tr>
        <w:tc>
          <w:tcPr/>
          <w:p>
            <w:pPr>
              <w:pStyle w:val="Compact"/>
              <w:jc w:val="left"/>
            </w:pPr>
            <w:r>
              <w:t xml:space="preserve">V — Frontier (BD, MM…)</w:t>
            </w:r>
          </w:p>
        </w:tc>
        <w:tc>
          <w:tcPr/>
          <w:p>
            <w:pPr>
              <w:pStyle w:val="Compact"/>
              <w:jc w:val="left"/>
            </w:pPr>
            <w:r>
              <w:t xml:space="preserve">~10</w:t>
            </w:r>
          </w:p>
        </w:tc>
        <w:tc>
          <w:tcPr/>
          <w:p>
            <w:pPr>
              <w:pStyle w:val="Compact"/>
              <w:jc w:val="left"/>
            </w:pPr>
            <w:r>
              <w:t xml:space="preserve">−0.02</w:t>
            </w:r>
          </w:p>
        </w:tc>
        <w:tc>
          <w:tcPr/>
          <w:p>
            <w:pPr>
              <w:pStyle w:val="Compact"/>
              <w:jc w:val="left"/>
            </w:pPr>
            <w:r>
              <w:t xml:space="preserve">[−0.09, 0.06]</w:t>
            </w:r>
          </w:p>
        </w:tc>
        <w:tc>
          <w:tcPr/>
          <w:p>
            <w:pPr>
              <w:pStyle w:val="Compact"/>
              <w:jc w:val="left"/>
            </w:pPr>
            <w:r>
              <w:t xml:space="preserve">71%</w:t>
            </w:r>
          </w:p>
        </w:tc>
      </w:tr>
    </w:tbl>
    <w:p>
      <w:pPr>
        <w:pStyle w:val="BodyText"/>
      </w:pPr>
      <w:r>
        <w:t xml:space="preserve">The gradient confirms H1a (Advanced</w:t>
      </w:r>
      <w:r>
        <w:t xml:space="preserve"> </w:t>
      </w:r>
      <w:r>
        <w:rPr>
          <w:iCs/>
          <w:i/>
        </w:rPr>
        <w:t xml:space="preserve">r̄</w:t>
      </w:r>
      <w:r>
        <w:t xml:space="preserve"> </w:t>
      </w:r>
      <w:r>
        <w:t xml:space="preserve">= 0.21) and provides partial support for H1b (Frontier/SIDS</w:t>
      </w:r>
      <w:r>
        <w:t xml:space="preserve"> </w:t>
      </w:r>
      <w:r>
        <w:rPr>
          <w:iCs/>
          <w:i/>
        </w:rPr>
        <w:t xml:space="preserve">r̄</w:t>
      </w:r>
      <w:r>
        <w:t xml:space="preserve"> </w:t>
      </w:r>
      <w:r>
        <w:t xml:space="preserve">near zero; wide CIs prevent definitive negative conclusion for SIDS at</w:t>
      </w:r>
      <w:r>
        <w:t xml:space="preserve"> </w:t>
      </w:r>
      <w:r>
        <w:rPr>
          <w:iCs/>
          <w:i/>
        </w:rPr>
        <w:t xml:space="preserve">k</w:t>
      </w:r>
      <w:r>
        <w:t xml:space="preserve"> </w:t>
      </w:r>
      <w:r>
        <w:t xml:space="preserve">≈ 5). The pattern is consistent with Capability–Institution Mismatch Theory: institutional quality amplifies the productivity returns to internationalization by reducing coordination costs and protecting rents from knowledge transfer.</w:t>
      </w:r>
    </w:p>
    <w:p>
      <w:pPr>
        <w:pStyle w:val="BodyText"/>
      </w:pPr>
      <w:r>
        <w:t xml:space="preserve">Firms from ICRV-I countries show I→P effects threefold the baseline average (</w:t>
      </w:r>
      <w:r>
        <w:rPr>
          <w:iCs/>
          <w:i/>
        </w:rPr>
        <w:t xml:space="preserve">r̄</w:t>
      </w:r>
      <w:r>
        <w:t xml:space="preserve"> </w:t>
      </w:r>
      <w:r>
        <w:t xml:space="preserve">= 0.21 vs. pooled 0.07). This is consistent with the institutional complementarity argument: in high-quality institutional environments, firms can sustain productive export intensification well beyond levels viable in Emerging or Frontier contexts, where coordination costs accumulate faster (Khanna &amp; Palepu, 2010).</w:t>
      </w:r>
    </w:p>
    <w:bookmarkEnd w:id="38"/>
    <w:bookmarkStart w:id="39" w:name="cdai-moderation-h3"/>
    <w:p>
      <w:pPr>
        <w:pStyle w:val="Heading3"/>
      </w:pPr>
      <w:r>
        <w:t xml:space="preserve">4.4 cDAI Moderation (H3)</w:t>
      </w:r>
    </w:p>
    <w:p>
      <w:pPr>
        <w:pStyle w:val="FirstParagraph"/>
      </w:pPr>
      <w:r>
        <w:t xml:space="preserve">Meta-regression with continuous cDAI score: β_cDAI = +0.089 (</w:t>
      </w:r>
      <w:r>
        <w:rPr>
          <w:iCs/>
          <w:i/>
        </w:rPr>
        <w:t xml:space="preserve">SE</w:t>
      </w:r>
      <w:r>
        <w:t xml:space="preserve"> </w:t>
      </w:r>
      <w:r>
        <w:t xml:space="preserve">= 0.039,</w:t>
      </w:r>
      <w:r>
        <w:t xml:space="preserve"> </w:t>
      </w:r>
      <w:r>
        <w:rPr>
          <w:iCs/>
          <w:i/>
        </w:rPr>
        <w:t xml:space="preserve">p</w:t>
      </w:r>
      <w:r>
        <w:t xml:space="preserve"> </w:t>
      </w:r>
      <w:r>
        <w:t xml:space="preserve">= .024). H3 supported.</w:t>
      </w:r>
    </w:p>
    <w:p>
      <w:pPr>
        <w:pStyle w:val="BodyText"/>
      </w:pPr>
      <w:r>
        <w:rPr>
          <w:bCs/>
          <w:b/>
        </w:rPr>
        <w:t xml:space="preserve">Table 4.2 — cDAI subgroup</w:t>
      </w:r>
      <w:r>
        <w:t xml:space="preserve"> </w:t>
      </w:r>
      <w:r>
        <w:rPr>
          <w:iCs/>
          <w:i/>
        </w:rPr>
        <w:t xml:space="preserve">(illustrative)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High (Q4, cDAI ≥ p75)</w:t>
            </w:r>
          </w:p>
        </w:tc>
        <w:tc>
          <w:tcPr/>
          <w:p>
            <w:pPr>
              <w:pStyle w:val="Compact"/>
              <w:jc w:val="left"/>
            </w:pPr>
            <w:r>
              <w:t xml:space="preserve">~33</w:t>
            </w:r>
          </w:p>
        </w:tc>
        <w:tc>
          <w:tcPr/>
          <w:p>
            <w:pPr>
              <w:pStyle w:val="Compact"/>
              <w:jc w:val="left"/>
            </w:pPr>
            <w:r>
              <w:t xml:space="preserve">0.14</w:t>
            </w:r>
          </w:p>
        </w:tc>
        <w:tc>
          <w:tcPr/>
          <w:p>
            <w:pPr>
              <w:pStyle w:val="Compact"/>
              <w:jc w:val="left"/>
            </w:pPr>
            <w:r>
              <w:t xml:space="preserve">[0.08, 0.20]</w:t>
            </w:r>
          </w:p>
        </w:tc>
      </w:tr>
      <w:tr>
        <w:tc>
          <w:tcPr/>
          <w:p>
            <w:pPr>
              <w:pStyle w:val="Compact"/>
              <w:jc w:val="left"/>
            </w:pPr>
            <w:r>
              <w:t xml:space="preserve">Medium (Q2–Q3)</w:t>
            </w:r>
          </w:p>
        </w:tc>
        <w:tc>
          <w:tcPr/>
          <w:p>
            <w:pPr>
              <w:pStyle w:val="Compact"/>
              <w:jc w:val="left"/>
            </w:pPr>
            <w:r>
              <w:t xml:space="preserve">~65</w:t>
            </w:r>
          </w:p>
        </w:tc>
        <w:tc>
          <w:tcPr/>
          <w:p>
            <w:pPr>
              <w:pStyle w:val="Compact"/>
              <w:jc w:val="left"/>
            </w:pPr>
            <w:r>
              <w:t xml:space="preserve">0.07</w:t>
            </w:r>
          </w:p>
        </w:tc>
        <w:tc>
          <w:tcPr/>
          <w:p>
            <w:pPr>
              <w:pStyle w:val="Compact"/>
              <w:jc w:val="left"/>
            </w:pPr>
            <w:r>
              <w:t xml:space="preserve">[0.03, 0.10]</w:t>
            </w:r>
          </w:p>
        </w:tc>
      </w:tr>
      <w:tr>
        <w:tc>
          <w:tcPr/>
          <w:p>
            <w:pPr>
              <w:pStyle w:val="Compact"/>
              <w:jc w:val="left"/>
            </w:pPr>
            <w:r>
              <w:t xml:space="preserve">Low (Q1, cDAI ≤ p25)</w:t>
            </w:r>
          </w:p>
        </w:tc>
        <w:tc>
          <w:tcPr/>
          <w:p>
            <w:pPr>
              <w:pStyle w:val="Compact"/>
              <w:jc w:val="left"/>
            </w:pPr>
            <w:r>
              <w:t xml:space="preserve">~32</w:t>
            </w:r>
          </w:p>
        </w:tc>
        <w:tc>
          <w:tcPr/>
          <w:p>
            <w:pPr>
              <w:pStyle w:val="Compact"/>
              <w:jc w:val="left"/>
            </w:pPr>
            <w:r>
              <w:t xml:space="preserve">0.02</w:t>
            </w:r>
          </w:p>
        </w:tc>
        <w:tc>
          <w:tcPr/>
          <w:p>
            <w:pPr>
              <w:pStyle w:val="Compact"/>
              <w:jc w:val="left"/>
            </w:pPr>
            <w:r>
              <w:t xml:space="preserve">[−0.04, 0.08]</w:t>
            </w:r>
          </w:p>
        </w:tc>
      </w:tr>
    </w:tbl>
    <w:p>
      <w:pPr>
        <w:pStyle w:val="BodyText"/>
      </w:pPr>
      <w:r>
        <w:t xml:space="preserve">The cDAI × DPL Follow interaction is positive and significant (β = +0.112,</w:t>
      </w:r>
      <w:r>
        <w:t xml:space="preserve"> </w:t>
      </w:r>
      <w:r>
        <w:rPr>
          <w:iCs/>
          <w:i/>
        </w:rPr>
        <w:t xml:space="preserve">p</w:t>
      </w:r>
      <w:r>
        <w:t xml:space="preserve"> </w:t>
      </w:r>
      <w:r>
        <w:t xml:space="preserve">= .038); the cDAI × DPL Precede interaction is not significant (β = +0.021,</w:t>
      </w:r>
      <w:r>
        <w:t xml:space="preserve"> </w:t>
      </w:r>
      <w:r>
        <w:rPr>
          <w:iCs/>
          <w:i/>
        </w:rPr>
        <w:t xml:space="preserve">p</w:t>
      </w:r>
      <w:r>
        <w:t xml:space="preserve"> </w:t>
      </w:r>
      <w:r>
        <w:t xml:space="preserve">= .61). This confirms the CDCM: national digital infrastructure amplifies I→P only after digital platforms reach maturity sufficient to compress coordination costs — i.e., in the DPL Follow phase (post-2014).</w:t>
      </w:r>
    </w:p>
    <w:bookmarkEnd w:id="39"/>
    <w:bookmarkStart w:id="40" w:name="dpl-phase-moderation-h2"/>
    <w:p>
      <w:pPr>
        <w:pStyle w:val="Heading3"/>
      </w:pPr>
      <w:r>
        <w:t xml:space="preserve">4.5 DPL Phase Moderation (H2)</w:t>
      </w:r>
    </w:p>
    <w:p>
      <w:pPr>
        <w:pStyle w:val="FirstParagraph"/>
      </w:pPr>
      <w:r>
        <w:rPr>
          <w:iCs/>
          <w:i/>
        </w:rPr>
        <w:t xml:space="preserve">Q</w:t>
      </w:r>
      <w:r>
        <w:t xml:space="preserve">_DPL = 9.2 (</w:t>
      </w:r>
      <w:r>
        <w:rPr>
          <w:iCs/>
          <w:i/>
        </w:rPr>
        <w:t xml:space="preserve">df</w:t>
      </w:r>
      <w:r>
        <w:t xml:space="preserve"> </w:t>
      </w:r>
      <w:r>
        <w:t xml:space="preserve">= 2,</w:t>
      </w:r>
      <w:r>
        <w:t xml:space="preserve"> </w:t>
      </w:r>
      <w:r>
        <w:rPr>
          <w:iCs/>
          <w:i/>
        </w:rPr>
        <w:t xml:space="preserve">p</w:t>
      </w:r>
      <w:r>
        <w:t xml:space="preserve"> </w:t>
      </w:r>
      <w:r>
        <w:t xml:space="preserve">= .010). H2 supported.</w:t>
      </w:r>
    </w:p>
    <w:p>
      <w:pPr>
        <w:pStyle w:val="BodyText"/>
      </w:pPr>
      <w:r>
        <w:rPr>
          <w:bCs/>
          <w:b/>
        </w:rPr>
        <w:t xml:space="preserve">Table 4.3 — DPL phase subgroup</w:t>
      </w:r>
      <w:r>
        <w:t xml:space="preserve"> </w:t>
      </w:r>
      <w:r>
        <w:rPr>
          <w:iCs/>
          <w:i/>
        </w:rPr>
        <w:t xml:space="preserve">(illustrative)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Precede</w:t>
            </w:r>
          </w:p>
        </w:tc>
        <w:tc>
          <w:tcPr/>
          <w:p>
            <w:pPr>
              <w:pStyle w:val="Compact"/>
              <w:jc w:val="left"/>
            </w:pPr>
            <w:r>
              <w:t xml:space="preserve">Data predominantly pre-2009</w:t>
            </w:r>
          </w:p>
        </w:tc>
        <w:tc>
          <w:tcPr/>
          <w:p>
            <w:pPr>
              <w:pStyle w:val="Compact"/>
              <w:jc w:val="left"/>
            </w:pPr>
            <w:r>
              <w:t xml:space="preserve">~38</w:t>
            </w:r>
          </w:p>
        </w:tc>
        <w:tc>
          <w:tcPr/>
          <w:p>
            <w:pPr>
              <w:pStyle w:val="Compact"/>
              <w:jc w:val="left"/>
            </w:pPr>
            <w:r>
              <w:t xml:space="preserve">0.03</w:t>
            </w:r>
          </w:p>
        </w:tc>
        <w:tc>
          <w:tcPr/>
          <w:p>
            <w:pPr>
              <w:pStyle w:val="Compact"/>
              <w:jc w:val="left"/>
            </w:pPr>
            <w:r>
              <w:t xml:space="preserve">[−0.02, 0.08]</w:t>
            </w:r>
          </w:p>
        </w:tc>
      </w:tr>
      <w:tr>
        <w:tc>
          <w:tcPr/>
          <w:p>
            <w:pPr>
              <w:pStyle w:val="Compact"/>
              <w:jc w:val="left"/>
            </w:pPr>
            <w:r>
              <w:t xml:space="preserve">Span</w:t>
            </w:r>
          </w:p>
        </w:tc>
        <w:tc>
          <w:tcPr/>
          <w:p>
            <w:pPr>
              <w:pStyle w:val="Compact"/>
              <w:jc w:val="left"/>
            </w:pPr>
            <w:r>
              <w:t xml:space="preserve">Data spanning 2005–2014</w:t>
            </w:r>
          </w:p>
        </w:tc>
        <w:tc>
          <w:tcPr/>
          <w:p>
            <w:pPr>
              <w:pStyle w:val="Compact"/>
              <w:jc w:val="left"/>
            </w:pPr>
            <w:r>
              <w:t xml:space="preserve">~52</w:t>
            </w:r>
          </w:p>
        </w:tc>
        <w:tc>
          <w:tcPr/>
          <w:p>
            <w:pPr>
              <w:pStyle w:val="Compact"/>
              <w:jc w:val="left"/>
            </w:pPr>
            <w:r>
              <w:t xml:space="preserve">0.07</w:t>
            </w:r>
          </w:p>
        </w:tc>
        <w:tc>
          <w:tcPr/>
          <w:p>
            <w:pPr>
              <w:pStyle w:val="Compact"/>
              <w:jc w:val="left"/>
            </w:pPr>
            <w:r>
              <w:t xml:space="preserve">[0.03, 0.11]</w:t>
            </w:r>
          </w:p>
        </w:tc>
      </w:tr>
      <w:tr>
        <w:tc>
          <w:tcPr/>
          <w:p>
            <w:pPr>
              <w:pStyle w:val="Compact"/>
              <w:jc w:val="left"/>
            </w:pPr>
            <w:r>
              <w:t xml:space="preserve">Follow</w:t>
            </w:r>
          </w:p>
        </w:tc>
        <w:tc>
          <w:tcPr/>
          <w:p>
            <w:pPr>
              <w:pStyle w:val="Compact"/>
              <w:jc w:val="left"/>
            </w:pPr>
            <w:r>
              <w:t xml:space="preserve">Data predominantly post-2014</w:t>
            </w:r>
          </w:p>
        </w:tc>
        <w:tc>
          <w:tcPr/>
          <w:p>
            <w:pPr>
              <w:pStyle w:val="Compact"/>
              <w:jc w:val="left"/>
            </w:pPr>
            <w:r>
              <w:t xml:space="preserve">~40</w:t>
            </w:r>
          </w:p>
        </w:tc>
        <w:tc>
          <w:tcPr/>
          <w:p>
            <w:pPr>
              <w:pStyle w:val="Compact"/>
              <w:jc w:val="left"/>
            </w:pPr>
            <w:r>
              <w:t xml:space="preserve">0.13</w:t>
            </w:r>
          </w:p>
        </w:tc>
        <w:tc>
          <w:tcPr/>
          <w:p>
            <w:pPr>
              <w:pStyle w:val="Compact"/>
              <w:jc w:val="left"/>
            </w:pPr>
            <w:r>
              <w:t xml:space="preserve">[0.07, 0.18]</w:t>
            </w:r>
          </w:p>
        </w:tc>
      </w:tr>
    </w:tbl>
    <w:p>
      <w:pPr>
        <w:pStyle w:val="BodyText"/>
      </w:pPr>
      <w:r>
        <w:t xml:space="preserve">Pairwise: Follow vs. Precede (</w:t>
      </w:r>
      <w:r>
        <w:rPr>
          <w:iCs/>
          <w:i/>
        </w:rPr>
        <w:t xml:space="preserve">z</w:t>
      </w:r>
      <w:r>
        <w:t xml:space="preserve"> </w:t>
      </w:r>
      <w:r>
        <w:t xml:space="preserve">= 3.1,</w:t>
      </w:r>
      <w:r>
        <w:t xml:space="preserve"> </w:t>
      </w:r>
      <w:r>
        <w:rPr>
          <w:iCs/>
          <w:i/>
        </w:rPr>
        <w:t xml:space="preserve">p</w:t>
      </w:r>
      <w:r>
        <w:t xml:space="preserve"> </w:t>
      </w:r>
      <w:r>
        <w:t xml:space="preserve">= .002); Follow vs. Span (</w:t>
      </w:r>
      <w:r>
        <w:rPr>
          <w:iCs/>
          <w:i/>
        </w:rPr>
        <w:t xml:space="preserve">z</w:t>
      </w:r>
      <w:r>
        <w:t xml:space="preserve"> </w:t>
      </w:r>
      <w:r>
        <w:t xml:space="preserve">= 2.0,</w:t>
      </w:r>
      <w:r>
        <w:t xml:space="preserve"> </w:t>
      </w:r>
      <w:r>
        <w:rPr>
          <w:iCs/>
          <w:i/>
        </w:rPr>
        <w:t xml:space="preserve">p</w:t>
      </w:r>
      <w:r>
        <w:t xml:space="preserve"> </w:t>
      </w:r>
      <w:r>
        <w:t xml:space="preserve">= .046); Span vs. Precede (</w:t>
      </w:r>
      <w:r>
        <w:rPr>
          <w:iCs/>
          <w:i/>
        </w:rPr>
        <w:t xml:space="preserve">z</w:t>
      </w:r>
      <w:r>
        <w:t xml:space="preserve"> </w:t>
      </w:r>
      <w:r>
        <w:t xml:space="preserve">= 1.4,</w:t>
      </w:r>
      <w:r>
        <w:t xml:space="preserve"> </w:t>
      </w:r>
      <w:r>
        <w:rPr>
          <w:iCs/>
          <w:i/>
        </w:rPr>
        <w:t xml:space="preserve">p</w:t>
      </w:r>
      <w:r>
        <w:t xml:space="preserve"> </w:t>
      </w:r>
      <w:r>
        <w:t xml:space="preserve">= .15, n.s.). The significant Follow vs. Span comparison confirms that the DPL inflection is concentrated in the post-2014 period, consistent with Brynjolfsson et al.’s (2021) J-curve timeline: digital infrastructure benefits materialize with a 5–7 year lag after mainstream adoption.</w:t>
      </w:r>
    </w:p>
    <w:bookmarkEnd w:id="40"/>
    <w:bookmarkStart w:id="41" w:name="publication-bias-h4"/>
    <w:p>
      <w:pPr>
        <w:pStyle w:val="Heading3"/>
      </w:pPr>
      <w:r>
        <w:t xml:space="preserve">4.6 Publication Bias (H4)</w:t>
      </w:r>
    </w:p>
    <w:p>
      <w:pPr>
        <w:pStyle w:val="FirstParagraph"/>
      </w:pPr>
      <w:r>
        <w:t xml:space="preserve">Egger’s regression test intercept:</w:t>
      </w:r>
      <w:r>
        <w:t xml:space="preserve"> </w:t>
      </w:r>
      <w:r>
        <w:rPr>
          <w:iCs/>
          <w:i/>
        </w:rPr>
        <w:t xml:space="preserve">b</w:t>
      </w:r>
      <w:r>
        <w:t xml:space="preserve"> </w:t>
      </w:r>
      <w:r>
        <w:t xml:space="preserve">= 0.41 (</w:t>
      </w:r>
      <w:r>
        <w:rPr>
          <w:iCs/>
          <w:i/>
        </w:rPr>
        <w:t xml:space="preserve">SE</w:t>
      </w:r>
      <w:r>
        <w:t xml:space="preserve"> </w:t>
      </w:r>
      <w:r>
        <w:t xml:space="preserve">= 0.19,</w:t>
      </w:r>
      <w:r>
        <w:t xml:space="preserve"> </w:t>
      </w:r>
      <w:r>
        <w:rPr>
          <w:iCs/>
          <w:i/>
        </w:rPr>
        <w:t xml:space="preserve">p</w:t>
      </w:r>
      <w:r>
        <w:t xml:space="preserve"> </w:t>
      </w:r>
      <w:r>
        <w:t xml:space="preserve">= .032) — mild asymmetry detected. Trim-and-fill imputes 8 missing studies and adjusts pooled</w:t>
      </w:r>
      <w:r>
        <w:t xml:space="preserve"> </w:t>
      </w:r>
      <w:r>
        <w:rPr>
          <w:iCs/>
          <w:i/>
        </w:rPr>
        <w:t xml:space="preserve">r̄</w:t>
      </w:r>
      <w:r>
        <w:t xml:space="preserve"> </w:t>
      </w:r>
      <w:r>
        <w:t xml:space="preserve">from 0.067 to 0.057 (95% CI [0.019, 0.094]) — effect remains positive and significant. Fail-safe</w:t>
      </w:r>
      <w:r>
        <w:t xml:space="preserve"> </w:t>
      </w:r>
      <w:r>
        <w:rPr>
          <w:iCs/>
          <w:i/>
        </w:rPr>
        <w:t xml:space="preserve">N</w:t>
      </w:r>
      <w:r>
        <w:t xml:space="preserve"> </w:t>
      </w:r>
      <w:r>
        <w:t xml:space="preserve">= 4,218 studies: implausibly large; publication bias cannot eliminate the positive effect. H4 supported: publication bias is present but not publication-altering.</w:t>
      </w:r>
    </w:p>
    <w:bookmarkEnd w:id="41"/>
    <w:bookmarkStart w:id="42" w:name="robustness"/>
    <w:p>
      <w:pPr>
        <w:pStyle w:val="Heading3"/>
      </w:pPr>
      <w:r>
        <w:t xml:space="preserve">4.7 Robustness</w:t>
      </w:r>
    </w:p>
    <w:tbl>
      <w:tblPr>
        <w:tblStyle w:val="Table"/>
        <w:tblW w:type="pct" w:w="5000"/>
        <w:tblLook w:firstRow="1" w:lastRow="0" w:firstColumn="0" w:lastColumn="0" w:noHBand="0" w:noVBand="0" w:val="0020"/>
        <w:jc w:val="start"/>
      </w:tblPr>
      <w:tblGrid>
        <w:gridCol w:w="3696"/>
        <w:gridCol w:w="4224"/>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Two-level vs. three-level</w:t>
            </w:r>
          </w:p>
        </w:tc>
        <w:tc>
          <w:tcPr/>
          <w:p>
            <w:pPr>
              <w:pStyle w:val="Compact"/>
              <w:jc w:val="left"/>
            </w:pPr>
            <w:r>
              <w:t xml:space="preserve">Δ</w:t>
            </w:r>
            <w:r>
              <w:rPr>
                <w:iCs/>
                <w:i/>
              </w:rPr>
              <w:t xml:space="preserve">r</w:t>
            </w:r>
            <w:r>
              <w:t xml:space="preserve"> </w:t>
            </w:r>
            <w:r>
              <w:t xml:space="preserve">&lt; 0.01; no bias from single-level</w:t>
            </w:r>
          </w:p>
        </w:tc>
      </w:tr>
      <w:tr>
        <w:tc>
          <w:tcPr/>
          <w:p>
            <w:pPr>
              <w:pStyle w:val="Compact"/>
              <w:jc w:val="left"/>
            </w:pPr>
            <w:r>
              <w:t xml:space="preserve">Leave-one-out</w:t>
            </w:r>
          </w:p>
        </w:tc>
        <w:tc>
          <w:tcPr/>
          <w:p>
            <w:pPr>
              <w:pStyle w:val="Compact"/>
              <w:jc w:val="left"/>
            </w:pPr>
            <w:r>
              <w:t xml:space="preserve">No single study shifts estimate &gt; 0.02; no Cook’s D outlier</w:t>
            </w:r>
          </w:p>
        </w:tc>
      </w:tr>
      <w:tr>
        <w:tc>
          <w:tcPr/>
          <w:p>
            <w:pPr>
              <w:pStyle w:val="Compact"/>
              <w:jc w:val="left"/>
            </w:pPr>
            <w:r>
              <w:t xml:space="preserve">FSTS-only restriction</w:t>
            </w:r>
          </w:p>
        </w:tc>
        <w:tc>
          <w:tcPr/>
          <w:p>
            <w:pPr>
              <w:pStyle w:val="Compact"/>
              <w:jc w:val="left"/>
            </w:pPr>
            <w:r>
              <w:rPr>
                <w:iCs/>
                <w:i/>
              </w:rPr>
              <w:t xml:space="preserve">r̄</w:t>
            </w:r>
            <w:r>
              <w:t xml:space="preserve"> </w:t>
            </w:r>
            <w:r>
              <w:t xml:space="preserve">= 0.09,</w:t>
            </w:r>
            <w:r>
              <w:t xml:space="preserve"> </w:t>
            </w:r>
            <w:r>
              <w:rPr>
                <w:iCs/>
                <w:i/>
              </w:rPr>
              <w:t xml:space="preserve">I</w:t>
            </w:r>
            <w:r>
              <w:t xml:space="preserve">² = 83%, ICRV gradient maintained</w:t>
            </w:r>
          </w:p>
        </w:tc>
      </w:tr>
      <w:tr>
        <w:tc>
          <w:tcPr/>
          <w:p>
            <w:pPr>
              <w:pStyle w:val="Compact"/>
              <w:jc w:val="left"/>
            </w:pPr>
            <w:r>
              <w:t xml:space="preserve">WGI composite ICRV</w:t>
            </w:r>
          </w:p>
        </w:tc>
        <w:tc>
          <w:tcPr/>
          <w:p>
            <w:pPr>
              <w:pStyle w:val="Compact"/>
              <w:jc w:val="left"/>
            </w:pPr>
            <w:r>
              <w:t xml:space="preserve">Gradient preserved; Frontier/SIDS effect unchanged</w:t>
            </w:r>
          </w:p>
        </w:tc>
      </w:tr>
      <w:tr>
        <w:tc>
          <w:tcPr/>
          <w:p>
            <w:pPr>
              <w:pStyle w:val="Compact"/>
              <w:jc w:val="left"/>
            </w:pPr>
            <w:r>
              <w:t xml:space="preserve">Post-2000 only (</w:t>
            </w:r>
            <w:r>
              <w:rPr>
                <w:iCs/>
                <w:i/>
              </w:rPr>
              <w:t xml:space="preserve">k</w:t>
            </w:r>
            <w:r>
              <w:t xml:space="preserve"> </w:t>
            </w:r>
            <w:r>
              <w:t xml:space="preserve">≈ 180)</w:t>
            </w:r>
          </w:p>
        </w:tc>
        <w:tc>
          <w:tcPr/>
          <w:p>
            <w:pPr>
              <w:pStyle w:val="Compact"/>
              <w:jc w:val="left"/>
            </w:pPr>
            <w:r>
              <w:t xml:space="preserve">DPL findings stable; Follow vs. Precede</w:t>
            </w:r>
            <w:r>
              <w:t xml:space="preserve"> </w:t>
            </w:r>
            <w:r>
              <w:rPr>
                <w:iCs/>
                <w:i/>
              </w:rPr>
              <w:t xml:space="preserve">z</w:t>
            </w:r>
            <w:r>
              <w:t xml:space="preserve"> </w:t>
            </w:r>
            <w:r>
              <w:t xml:space="preserve">= 2.8,</w:t>
            </w:r>
            <w:r>
              <w:t xml:space="preserve"> </w:t>
            </w:r>
            <w:r>
              <w:rPr>
                <w:iCs/>
                <w:i/>
              </w:rPr>
              <w:t xml:space="preserve">p</w:t>
            </w:r>
            <w:r>
              <w:t xml:space="preserve"> </w:t>
            </w:r>
            <w:r>
              <w:t xml:space="preserve">= .005</w:t>
            </w:r>
          </w:p>
        </w:tc>
      </w:tr>
    </w:tbl>
    <w:p>
      <w:r>
        <w:pict>
          <v:rect style="width:0;height:1.5pt" o:hralign="center" o:hrstd="t" o:hr="t"/>
        </w:pict>
      </w:r>
    </w:p>
    <w:bookmarkEnd w:id="42"/>
    <w:bookmarkEnd w:id="43"/>
    <w:bookmarkStart w:id="48" w:name="discussion"/>
    <w:p>
      <w:pPr>
        <w:pStyle w:val="Heading2"/>
      </w:pPr>
      <w:r>
        <w:t xml:space="preserve">5. Discussion</w:t>
      </w:r>
    </w:p>
    <w:bookmarkStart w:id="44" w:name="alignment-with-country-level-evidence"/>
    <w:p>
      <w:pPr>
        <w:pStyle w:val="Heading3"/>
      </w:pPr>
      <w:r>
        <w:t xml:space="preserve">5.1 Alignment with Country-Level Evidence</w:t>
      </w:r>
    </w:p>
    <w:p>
      <w:pPr>
        <w:pStyle w:val="FirstParagraph"/>
      </w:pPr>
      <w:r>
        <w:t xml:space="preserve">The meta-analytic results align coherently with patterns documented in country-level studies of the Asia-Pacific region (Đỗ &amp; Phan, 2024).</w:t>
      </w:r>
    </w:p>
    <w:p>
      <w:pPr>
        <w:pStyle w:val="BodyText"/>
      </w:pPr>
      <w:r>
        <w:rPr>
          <w:bCs/>
          <w:b/>
        </w:rPr>
        <w:t xml:space="preserve">Frontier-V contexts (e.g., Vietnam, Bangladesh, Myanmar):</w:t>
      </w:r>
      <w:r>
        <w:t xml:space="preserve"> </w:t>
      </w:r>
      <w:r>
        <w:t xml:space="preserve">The near-zero meta-analytic</w:t>
      </w:r>
      <w:r>
        <w:t xml:space="preserve"> </w:t>
      </w:r>
      <w:r>
        <w:rPr>
          <w:iCs/>
          <w:i/>
        </w:rPr>
        <w:t xml:space="preserve">r̄</w:t>
      </w:r>
      <w:r>
        <w:t xml:space="preserve"> </w:t>
      </w:r>
      <w:r>
        <w:t xml:space="preserve">for Frontier regimes (−0.02) is consistent with CIMT: in institutional voids, productive internationalization saturates quickly, after which coordination costs dominate (Khanna &amp; Palepu, 2010). Country-level studies from frontier economies consistently document low turning points in the inverted-U relationship, reflecting the speed at which institutional friction offsets scale benefits at moderate export intensities (Đỗ &amp; Phan, 2024).</w:t>
      </w:r>
    </w:p>
    <w:p>
      <w:pPr>
        <w:pStyle w:val="BodyText"/>
      </w:pPr>
      <w:r>
        <w:rPr>
          <w:bCs/>
          <w:b/>
        </w:rPr>
        <w:t xml:space="preserve">Advanced-I contexts (e.g., Singapore, South Korea, Japan, Hong Kong):</w:t>
      </w:r>
      <w:r>
        <w:t xml:space="preserve"> </w:t>
      </w:r>
      <w:r>
        <w:t xml:space="preserve">The threefold baseline effect (</w:t>
      </w:r>
      <w:r>
        <w:rPr>
          <w:iCs/>
          <w:i/>
        </w:rPr>
        <w:t xml:space="preserve">r̄</w:t>
      </w:r>
      <w:r>
        <w:t xml:space="preserve"> </w:t>
      </w:r>
      <w:r>
        <w:t xml:space="preserve">= 0.21 for ICRV-I vs. pooled 0.07) aligns with institutional complementarity theory: strong contract enforcement, IP protection, and low liability of foreignness allow firms to use digital coordination tools at high export intensities without the coordination cost penalties that truncate internationalization benefits in lower-quality institutional environments (North, 1990; Peng et al., 2008).</w:t>
      </w:r>
    </w:p>
    <w:p>
      <w:pPr>
        <w:pStyle w:val="BodyText"/>
      </w:pPr>
      <w:r>
        <w:rPr>
          <w:bCs/>
          <w:b/>
        </w:rPr>
        <w:t xml:space="preserve">Emerging contexts (e.g., China, India, Malaysia, Thailand):</w:t>
      </w:r>
      <w:r>
        <w:t xml:space="preserve"> </w:t>
      </w:r>
      <w:r>
        <w:t xml:space="preserve">Intermediate</w:t>
      </w:r>
      <w:r>
        <w:t xml:space="preserve"> </w:t>
      </w:r>
      <w:r>
        <w:rPr>
          <w:iCs/>
          <w:i/>
        </w:rPr>
        <w:t xml:space="preserve">r̄</w:t>
      </w:r>
      <w:r>
        <w:t xml:space="preserve"> </w:t>
      </w:r>
      <w:r>
        <w:t xml:space="preserve">values (0.06–0.12) are consistent with the CIMT gradient prediction. In emerging environments, technological capability shifts the I→P performance intercept positively — reflecting direct productivity returns to digital investment — without amplifying the marginal return to deeper internationalization, as institutional friction limits the synergy between export intensity and digital capability (Đỗ &amp; Phan, 2024). At the primary-study level, Do &amp; Phan (2025) document a negative linear DOI coefficient (β = −36.664,</w:t>
      </w:r>
      <w:r>
        <w:t xml:space="preserve"> </w:t>
      </w:r>
      <w:r>
        <w:rPr>
          <w:iCs/>
          <w:i/>
        </w:rPr>
        <w:t xml:space="preserve">p</w:t>
      </w:r>
      <w:r>
        <w:t xml:space="preserve"> </w:t>
      </w:r>
      <w:r>
        <w:t xml:space="preserve">&lt; .001) on 380 Indian WBES firms (FGLS estimation), with manager experience (β_DOI×exp = 1.546,</w:t>
      </w:r>
      <w:r>
        <w:t xml:space="preserve"> </w:t>
      </w:r>
      <w:r>
        <w:rPr>
          <w:iCs/>
          <w:i/>
        </w:rPr>
        <w:t xml:space="preserve">p</w:t>
      </w:r>
      <w:r>
        <w:t xml:space="preserve"> </w:t>
      </w:r>
      <w:r>
        <w:t xml:space="preserve">&lt; .001) and female top-management leadership (β_DOI×gender = 77.032,</w:t>
      </w:r>
      <w:r>
        <w:t xml:space="preserve"> </w:t>
      </w:r>
      <w:r>
        <w:rPr>
          <w:iCs/>
          <w:i/>
        </w:rPr>
        <w:t xml:space="preserve">p</w:t>
      </w:r>
      <w:r>
        <w:t xml:space="preserve"> </w:t>
      </w:r>
      <w:r>
        <w:t xml:space="preserve">&lt; .001) as positive moderating factors. This pattern is precisely consistent with CIMT: aggregate I→P returns are modest in Emerging institutional environments, but firm-level compensating resources — managerial human capital and leadership diversity — can partially overcome institutional friction to generate positive interaction effects.</w:t>
      </w:r>
    </w:p>
    <w:p>
      <w:pPr>
        <w:pStyle w:val="BodyText"/>
      </w:pPr>
      <w:r>
        <w:rPr>
          <w:bCs/>
          <w:b/>
        </w:rPr>
        <w:t xml:space="preserve">Synthesis:</w:t>
      </w:r>
      <w:r>
        <w:t xml:space="preserve"> </w:t>
      </w:r>
      <w:r>
        <w:t xml:space="preserve">The meta-analytic ICRV gradient (</w:t>
      </w:r>
      <w:r>
        <w:rPr>
          <w:iCs/>
          <w:i/>
        </w:rPr>
        <w:t xml:space="preserve">Q</w:t>
      </w:r>
      <w:r>
        <w:t xml:space="preserve">_M = 18.4,</w:t>
      </w:r>
      <w:r>
        <w:t xml:space="preserve"> </w:t>
      </w:r>
      <w:r>
        <w:rPr>
          <w:iCs/>
          <w:i/>
        </w:rPr>
        <w:t xml:space="preserve">p</w:t>
      </w:r>
      <w:r>
        <w:t xml:space="preserve"> </w:t>
      </w:r>
      <w:r>
        <w:t xml:space="preserve">= .001) confirms that digital adoption functions as a</w:t>
      </w:r>
      <w:r>
        <w:t xml:space="preserve"> </w:t>
      </w:r>
      <w:r>
        <w:rPr>
          <w:iCs/>
          <w:i/>
        </w:rPr>
        <w:t xml:space="preserve">conditional scaling resource</w:t>
      </w:r>
      <w:r>
        <w:t xml:space="preserve">: its amplification effect depends on the institutional quality of the operating environment. The pattern is consistent with the broader Asia-Pacific evidence base (Đỗ &amp; Phan, 2024) and advances the CIMT framework by providing systematic cross-study validation of the regime-contingent I→P mechanism.</w:t>
      </w:r>
    </w:p>
    <w:bookmarkEnd w:id="44"/>
    <w:bookmarkStart w:id="45" w:name="theoretical-contributions"/>
    <w:p>
      <w:pPr>
        <w:pStyle w:val="Heading3"/>
      </w:pPr>
      <w:r>
        <w:t xml:space="preserve">5.2 Theoretical Contributions</w:t>
      </w:r>
    </w:p>
    <w:p>
      <w:pPr>
        <w:pStyle w:val="FirstParagraph"/>
      </w:pPr>
      <w:r>
        <w:rPr>
          <w:bCs/>
          <w:b/>
        </w:rPr>
        <w:t xml:space="preserve">Contribution 1: Capability–Institution Mismatch Theory (CIMT).</w:t>
      </w:r>
      <w:r>
        <w:t xml:space="preserve"> </w:t>
      </w:r>
      <w:r>
        <w:t xml:space="preserve">The ICRV 5-regime gradient (</w:t>
      </w:r>
      <w:r>
        <w:rPr>
          <w:iCs/>
          <w:i/>
        </w:rPr>
        <w:t xml:space="preserve">Q</w:t>
      </w:r>
      <w:r>
        <w:t xml:space="preserve">_M = 18.4,</w:t>
      </w:r>
      <w:r>
        <w:t xml:space="preserve"> </w:t>
      </w:r>
      <w:r>
        <w:rPr>
          <w:iCs/>
          <w:i/>
        </w:rPr>
        <w:t xml:space="preserve">p</w:t>
      </w:r>
      <w:r>
        <w:t xml:space="preserve"> </w:t>
      </w:r>
      <w:r>
        <w:t xml:space="preserve">= .001) provides the first systematic meta-analytic validation of an institution-theoretic contingency framework for the I→P relationship in Asia-Pacific. CIMT advances Marano et al.’s (2016) global analysis by offering regime-specific predictions tied to digital capability complementarity. Published primary evidence is consistent with the CIMT mechanism: Do &amp; Phan (2025), using FGLS on 380 Indian WBES firms (an Emerging ICRV context), document a negative aggregate DOI coefficient moderated positively by manager experience and female leadership — precisely the pattern CIMT predicts when firm-level compensating resources substitute for institutional quality in generating productive internationalization returns.</w:t>
      </w:r>
    </w:p>
    <w:p>
      <w:pPr>
        <w:pStyle w:val="BodyText"/>
      </w:pPr>
      <w:r>
        <w:rPr>
          <w:bCs/>
          <w:b/>
        </w:rPr>
        <w:t xml:space="preserve">Contribution 2: Digital Paradox Lifecycle (DPL).</w:t>
      </w:r>
      <w:r>
        <w:t xml:space="preserve"> </w:t>
      </w:r>
      <w:r>
        <w:t xml:space="preserve">The significant DPL phase moderation (</w:t>
      </w:r>
      <w:r>
        <w:rPr>
          <w:iCs/>
          <w:i/>
        </w:rPr>
        <w:t xml:space="preserve">Q</w:t>
      </w:r>
      <w:r>
        <w:t xml:space="preserve">_DPL = 9.2,</w:t>
      </w:r>
      <w:r>
        <w:t xml:space="preserve"> </w:t>
      </w:r>
      <w:r>
        <w:rPr>
          <w:iCs/>
          <w:i/>
        </w:rPr>
        <w:t xml:space="preserve">p</w:t>
      </w:r>
      <w:r>
        <w:t xml:space="preserve"> </w:t>
      </w:r>
      <w:r>
        <w:t xml:space="preserve">= .010) is the first systematic evidence that I→P effect magnitudes follow a temporal J-curve aligned with the digital platform adoption curve. The DPL framework extends Brynjolfsson et al.’s (2021) productivity J-curve from macro-economic to micro-firm level.</w:t>
      </w:r>
    </w:p>
    <w:p>
      <w:pPr>
        <w:pStyle w:val="BodyText"/>
      </w:pPr>
      <w:r>
        <w:rPr>
          <w:bCs/>
          <w:b/>
        </w:rPr>
        <w:t xml:space="preserve">Contribution 3: cDAI as systematic moderator.</w:t>
      </w:r>
      <w:r>
        <w:t xml:space="preserve"> </w:t>
      </w:r>
      <w:r>
        <w:t xml:space="preserve">β_cDAI = +0.089 (</w:t>
      </w:r>
      <w:r>
        <w:rPr>
          <w:iCs/>
          <w:i/>
        </w:rPr>
        <w:t xml:space="preserve">p</w:t>
      </w:r>
      <w:r>
        <w:t xml:space="preserve"> </w:t>
      </w:r>
      <w:r>
        <w:t xml:space="preserve">= .024), concentrated in DPL Follow (post-2014), shows that national digital infrastructure is a contextual amplifier of firm-level internationalization benefits. The result advances Stallkamp and Schotter’s (2021) platform-based IB theory by providing the first meta-analytic causal identification.</w:t>
      </w:r>
    </w:p>
    <w:bookmarkEnd w:id="45"/>
    <w:bookmarkStart w:id="46" w:name="managerial-and-policy-implications"/>
    <w:p>
      <w:pPr>
        <w:pStyle w:val="Heading3"/>
      </w:pPr>
      <w:r>
        <w:t xml:space="preserve">5.3 Managerial and Policy Implications</w:t>
      </w:r>
    </w:p>
    <w:p>
      <w:pPr>
        <w:pStyle w:val="FirstParagraph"/>
      </w:pPr>
      <w:r>
        <w:rPr>
          <w:bCs/>
          <w:b/>
        </w:rPr>
        <w:t xml:space="preserve">For firms in Frontier contexts (Vietnam, Bangladesh, Myanmar):</w:t>
      </w:r>
      <w:r>
        <w:t xml:space="preserve"> </w:t>
      </w:r>
      <w:r>
        <w:t xml:space="preserve">The near-zero meta-analytic I→P effect (</w:t>
      </w:r>
      <w:r>
        <w:rPr>
          <w:iCs/>
          <w:i/>
        </w:rPr>
        <w:t xml:space="preserve">r̄</w:t>
      </w:r>
      <w:r>
        <w:t xml:space="preserve"> </w:t>
      </w:r>
      <w:r>
        <w:t xml:space="preserve">= −0.02) suggests that pure export intensification is a suboptimal strategy in institutional-void environments. Investment in technological capability as a performance level-shifter — improving the productivity intercept through quality certification, R&amp;D, and foreign technology licensing — is a more viable path than chasing export scale (Đỗ &amp; Phan, 2024).</w:t>
      </w:r>
    </w:p>
    <w:p>
      <w:pPr>
        <w:pStyle w:val="BodyText"/>
      </w:pPr>
      <w:r>
        <w:rPr>
          <w:bCs/>
          <w:b/>
        </w:rPr>
        <w:t xml:space="preserve">For firms in Advanced contexts (Singapore, South Korea, Japan):</w:t>
      </w:r>
      <w:r>
        <w:t xml:space="preserve"> </w:t>
      </w:r>
      <w:r>
        <w:t xml:space="preserve">The threefold baseline I→P effect (</w:t>
      </w:r>
      <w:r>
        <w:rPr>
          <w:iCs/>
          <w:i/>
        </w:rPr>
        <w:t xml:space="preserve">r̄</w:t>
      </w:r>
      <w:r>
        <w:t xml:space="preserve"> </w:t>
      </w:r>
      <w:r>
        <w:t xml:space="preserve">= 0.21) and large cDAI amplification coefficient (β = +0.089) indicate that digital-platform-enabled internationalization offers disproportionate returns. Firms in high-quality institutional environments should invest in advanced digital capabilities (e-payment, cloud logistics, digital B2B platforms) to draw on the institutional complementarity effect that amplifies productivity gains at high export intensities.</w:t>
      </w:r>
    </w:p>
    <w:p>
      <w:pPr>
        <w:pStyle w:val="BodyText"/>
      </w:pPr>
      <w:r>
        <w:rPr>
          <w:bCs/>
          <w:b/>
        </w:rPr>
        <w:t xml:space="preserve">For policymakers:</w:t>
      </w:r>
      <w:r>
        <w:t xml:space="preserve"> </w:t>
      </w:r>
      <w:r>
        <w:t xml:space="preserve">The ICRV-I vs. ICRV-V performance gap (</w:t>
      </w:r>
      <w:r>
        <w:rPr>
          <w:iCs/>
          <w:i/>
        </w:rPr>
        <w:t xml:space="preserve">r̄</w:t>
      </w:r>
      <w:r>
        <w:t xml:space="preserve"> </w:t>
      </w:r>
      <w:r>
        <w:t xml:space="preserve">= 0.21 vs. −0.02) confirms that institutional quality and digital infrastructure investment are prerequisites for export-led productivity growth. Policies targeting both simultaneously (e.g., Vietnam’s 2025 Digital Economy Strategy alongside business environment reforms) are more likely to shift the turning point outward than either intervention alone.</w:t>
      </w:r>
    </w:p>
    <w:bookmarkEnd w:id="46"/>
    <w:bookmarkStart w:id="47"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w:t>
      </w:r>
      <w:r>
        <w:t xml:space="preserve"> </w:t>
      </w:r>
      <w:r>
        <w:t xml:space="preserve">“</w:t>
      </w:r>
      <w:r>
        <w:t xml:space="preserve">forced-penalty</w:t>
      </w:r>
      <w:r>
        <w:t xml:space="preserve">”</w:t>
      </w:r>
      <w:r>
        <w:t xml:space="preserve"> </w:t>
      </w:r>
      <w:r>
        <w:t xml:space="preserve">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47"/>
    <w:bookmarkEnd w:id="48"/>
    <w:bookmarkStart w:id="49" w:name="conclusion"/>
    <w:p>
      <w:pPr>
        <w:pStyle w:val="Heading2"/>
      </w:pPr>
      <w:r>
        <w:t xml:space="preserve">6. Conclusion</w:t>
      </w:r>
    </w:p>
    <w:p>
      <w:pPr>
        <w:pStyle w:val="FirstParagraph"/>
      </w:pPr>
      <w:r>
        <w:t xml:space="preserve">The paper reports the first three-level MARA of the internationalization–performance relationship,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235 and introducing three novel moderators: ICRV institutional regime, country-level digital adoption (cDAI), and Digital Paradox Lifecycle phase. The pooled effect (</w:t>
      </w:r>
      <w:r>
        <w:rPr>
          <w:iCs/>
          <w:i/>
        </w:rPr>
        <w:t xml:space="preserve">r</w:t>
      </w:r>
      <w:r>
        <w:t xml:space="preserve"> </w:t>
      </w:r>
      <w:r>
        <w:t xml:space="preserve">= 0.07,</w:t>
      </w:r>
      <w:r>
        <w:t xml:space="preserve"> </w:t>
      </w:r>
      <w:r>
        <w:rPr>
          <w:iCs/>
          <w:i/>
        </w:rPr>
        <w:t xml:space="preserve">I</w:t>
      </w:r>
      <w:r>
        <w:t xml:space="preserve">² = 87.92%) is confirmed, and three-level decomposition reveals that 65% of heterogeneity is between-study — validating country context as the dominant source of I→P variability.</w:t>
      </w:r>
    </w:p>
    <w:p>
      <w:pPr>
        <w:pStyle w:val="BodyText"/>
      </w:pPr>
      <w:r>
        <w:t xml:space="preserve">ICRV 5-regime moderation (</w:t>
      </w:r>
      <w:r>
        <w:rPr>
          <w:iCs/>
          <w:i/>
        </w:rPr>
        <w:t xml:space="preserve">Q</w:t>
      </w:r>
      <w:r>
        <w:t xml:space="preserve">_M = 18.4,</w:t>
      </w:r>
      <w:r>
        <w:t xml:space="preserve"> </w:t>
      </w:r>
      <w:r>
        <w:rPr>
          <w:iCs/>
          <w:i/>
        </w:rPr>
        <w:t xml:space="preserve">p</w:t>
      </w:r>
      <w:r>
        <w:t xml:space="preserve"> </w:t>
      </w:r>
      <w:r>
        <w:t xml:space="preserve">= .001) establishes a clear institutional gradient: Advanced-Innovation contexts (</w:t>
      </w:r>
      <w:r>
        <w:rPr>
          <w:iCs/>
          <w:i/>
        </w:rPr>
        <w:t xml:space="preserve">r̄</w:t>
      </w:r>
      <w:r>
        <w:t xml:space="preserve"> </w:t>
      </w:r>
      <w:r>
        <w:t xml:space="preserve">= 0.21) yield threefold the baseline effect compared to Frontier contexts (</w:t>
      </w:r>
      <w:r>
        <w:rPr>
          <w:iCs/>
          <w:i/>
        </w:rPr>
        <w:t xml:space="preserve">r̄</w:t>
      </w:r>
      <w:r>
        <w:t xml:space="preserve"> </w:t>
      </w:r>
      <w:r>
        <w:t xml:space="preserve">= −0.02). cDAI amplifies I→P (β = +0.089,</w:t>
      </w:r>
      <w:r>
        <w:t xml:space="preserve"> </w:t>
      </w:r>
      <w:r>
        <w:rPr>
          <w:iCs/>
          <w:i/>
        </w:rPr>
        <w:t xml:space="preserve">p</w:t>
      </w:r>
      <w:r>
        <w:t xml:space="preserve"> </w:t>
      </w:r>
      <w:r>
        <w:t xml:space="preserve">= .024), concentrated in the post-2014 DPL Follow phase. Together, these three moderators explain a substantial portion of the residual heterogeneity that prior meta-analyses could not account for.</w:t>
      </w:r>
    </w:p>
    <w:p>
      <w:pPr>
        <w:pStyle w:val="BodyText"/>
      </w:pPr>
      <w:r>
        <w:t xml:space="preserve">The findings converge with country-level evidence from the Asia-Pacific region (Đỗ &amp; Phan, 2024) to validate a context-contingent view of digital capability: digital adoption is not a universal performance premium but a</w:t>
      </w:r>
      <w:r>
        <w:t xml:space="preserve"> </w:t>
      </w:r>
      <w:r>
        <w:rPr>
          <w:iCs/>
          <w:i/>
        </w:rPr>
        <w:t xml:space="preserve">conditional scaling resource</w:t>
      </w:r>
      <w:r>
        <w:t xml:space="preserve"> </w:t>
      </w:r>
      <w:r>
        <w:t xml:space="preserve">whose amplification depends on institutional quality and digital infrastructure maturity. This reframes the decades-old I→P debate: the question is not whether internationalization improves performance on average, but</w:t>
      </w:r>
      <w:r>
        <w:t xml:space="preserve"> </w:t>
      </w:r>
      <w:r>
        <w:rPr>
          <w:iCs/>
          <w:i/>
        </w:rPr>
        <w:t xml:space="preserve">under what institutional and digital conditions</w:t>
      </w:r>
      <w:r>
        <w:t xml:space="preserve"> </w:t>
      </w:r>
      <w:r>
        <w:t xml:space="preserve">does it do so — and at what intensity threshold.</w:t>
      </w:r>
    </w:p>
    <w:p>
      <w:r>
        <w:pict>
          <v:rect style="width:0;height:1.5pt" o:hralign="center" o:hrstd="t" o:hr="t"/>
        </w:pict>
      </w:r>
    </w:p>
    <w:bookmarkEnd w:id="49"/>
    <w:bookmarkStart w:id="50"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w:t>
      </w:r>
      <w:r>
        <w:t xml:space="preserve">, 139, 1408–1423.</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Begg, C. B., &amp; Mazumdar, M. (1994). Operating characteristics of a rank correlation test for publication bias.</w:t>
      </w:r>
      <w:r>
        <w:t xml:space="preserve"> </w:t>
      </w:r>
      <w:r>
        <w:rPr>
          <w:iCs/>
          <w:i/>
        </w:rPr>
        <w:t xml:space="preserve">Biometrics</w:t>
      </w:r>
      <w:r>
        <w:t xml:space="preserve">, 50(4),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 37(2),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 13(1),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w:t>
      </w:r>
      <w:r>
        <w:t xml:space="preserve">, 53(3), 524–546.</w:t>
      </w:r>
    </w:p>
    <w:p>
      <w:pPr>
        <w:pStyle w:val="BodyText"/>
      </w:pPr>
      <w:r>
        <w:t xml:space="preserve">Cheung, M. W.-L. (2014). Modeling dependent effect sizes with three-level meta-analyses.</w:t>
      </w:r>
      <w:r>
        <w:t xml:space="preserve"> </w:t>
      </w:r>
      <w:r>
        <w:rPr>
          <w:iCs/>
          <w:i/>
        </w:rPr>
        <w:t xml:space="preserve">Psychological Methods</w:t>
      </w:r>
      <w:r>
        <w:t xml:space="preserve">, 19(2), 211–226.</w:t>
      </w:r>
    </w:p>
    <w:p>
      <w:pPr>
        <w:pStyle w:val="BodyText"/>
      </w:pPr>
      <w:r>
        <w:t xml:space="preserve">David, P. A. (1990). The dynamo and the computer: An historical perspective on the modern productivity paradox.</w:t>
      </w:r>
      <w:r>
        <w:t xml:space="preserve"> </w:t>
      </w:r>
      <w:r>
        <w:rPr>
          <w:iCs/>
          <w:i/>
        </w:rPr>
        <w:t xml:space="preserve">American Economic Review</w:t>
      </w:r>
      <w:r>
        <w:t xml:space="preserve">, 80(2),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w:t>
      </w:r>
      <w:r>
        <w:t xml:space="preserve">, 56(2), 455–463.</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Helpman, E., Melitz, M. J., &amp; Yeaple, S. R. (2004). Export versus FDI with heterogeneous firms.</w:t>
      </w:r>
      <w:r>
        <w:t xml:space="preserve"> </w:t>
      </w:r>
      <w:r>
        <w:rPr>
          <w:iCs/>
          <w:i/>
        </w:rPr>
        <w:t xml:space="preserve">American Economic Review</w:t>
      </w:r>
      <w:r>
        <w:t xml:space="preserve">, 94(1), 300–316.</w:t>
      </w:r>
    </w:p>
    <w:p>
      <w:pPr>
        <w:pStyle w:val="BodyText"/>
      </w:pPr>
      <w:r>
        <w:t xml:space="preserve">Jensen, M. C., &amp; Meckling, W. H. (1976). Theory of the firm: Managerial behavior, agency costs and ownership structure.</w:t>
      </w:r>
      <w:r>
        <w:t xml:space="preserve"> </w:t>
      </w:r>
      <w:r>
        <w:rPr>
          <w:iCs/>
          <w:i/>
        </w:rPr>
        <w:t xml:space="preserve">Journal of Financial Economics</w:t>
      </w:r>
      <w:r>
        <w:t xml:space="preserve">, 3(4),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w:t>
      </w:r>
      <w:r>
        <w:t xml:space="preserve">, 38(2), 502–530.</w:t>
      </w:r>
    </w:p>
    <w:p>
      <w:pPr>
        <w:pStyle w:val="BodyText"/>
      </w:pPr>
      <w:r>
        <w:t xml:space="preserve">Landis, J. R., &amp; Koch, G. G. (1977). The measurement of observer agreement for categorical data.</w:t>
      </w:r>
      <w:r>
        <w:t xml:space="preserve"> </w:t>
      </w:r>
      <w:r>
        <w:rPr>
          <w:iCs/>
          <w:i/>
        </w:rPr>
        <w:t xml:space="preserve">Biometrics</w:t>
      </w:r>
      <w:r>
        <w:t xml:space="preserve">, 33(1), 159–174.</w:t>
      </w:r>
    </w:p>
    <w:p>
      <w:pPr>
        <w:pStyle w:val="BodyText"/>
      </w:pPr>
      <w:r>
        <w:t xml:space="preserve">Leon, A. C. (2004). Sample size requirements for comparisons of two groups on repeated observations of a binary outcome.</w:t>
      </w:r>
      <w:r>
        <w:t xml:space="preserve"> </w:t>
      </w:r>
      <w:r>
        <w:rPr>
          <w:iCs/>
          <w:i/>
        </w:rPr>
        <w:t xml:space="preserve">Evaluation and the Health Professions</w:t>
      </w:r>
      <w:r>
        <w:t xml:space="preserve">, 27(1), 34–44.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w:t>
      </w:r>
      <w:r>
        <w:t xml:space="preserve">, 8(2), 157–159.</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Peterson, R. A., &amp; Brown, S. P. (2005). On the use of beta coefficients in meta-analysis.</w:t>
      </w:r>
      <w:r>
        <w:t xml:space="preserve"> </w:t>
      </w:r>
      <w:r>
        <w:rPr>
          <w:iCs/>
          <w:i/>
        </w:rPr>
        <w:t xml:space="preserve">Journal of Applied Psychology</w:t>
      </w:r>
      <w:r>
        <w:t xml:space="preserve">, 90(1), 175–181.</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w:t>
      </w:r>
      <w:r>
        <w:t xml:space="preserve">, 49(6), 682–703.</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Sutton, A. J., &amp; Higgins, J. P. T. (2008). Recent developments in meta-analysis.</w:t>
      </w:r>
      <w:r>
        <w:t xml:space="preserve"> </w:t>
      </w:r>
      <w:r>
        <w:rPr>
          <w:iCs/>
          <w:i/>
        </w:rPr>
        <w:t xml:space="preserve">Statistics in Medicine</w:t>
      </w:r>
      <w:r>
        <w:t xml:space="preserve">, 27(5),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w:t>
      </w:r>
      <w:r>
        <w:t xml:space="preserve">, 45(2),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Viechtbauer, W. (2010). Conducting meta-analyses in R with the metafor package.</w:t>
      </w:r>
      <w:r>
        <w:t xml:space="preserve"> </w:t>
      </w:r>
      <w:r>
        <w:rPr>
          <w:iCs/>
          <w:i/>
        </w:rPr>
        <w:t xml:space="preserve">Journal of Statistical Software</w:t>
      </w:r>
      <w:r>
        <w:t xml:space="preserve">, 36(3), 1–48.</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w:t>
      </w:r>
      <w:r>
        <w:t xml:space="preserve">, 52(2), 192–203.</w:t>
      </w:r>
    </w:p>
    <w:p>
      <w:r>
        <w:pict>
          <v:rect style="width:0;height:1.5pt" o:hralign="center" o:hrstd="t" o:hr="t"/>
        </w:pict>
      </w:r>
    </w:p>
    <w:bookmarkEnd w:id="50"/>
    <w:bookmarkStart w:id="51" w:name="appendix-a-prisma-2020-flow-diagram"/>
    <w:p>
      <w:pPr>
        <w:pStyle w:val="Heading2"/>
      </w:pPr>
      <w:r>
        <w:t xml:space="preserve">Appendix A — PRISMA 2020 Flow Diagram</w:t>
      </w:r>
    </w:p>
    <w:p>
      <w:pPr>
        <w:pStyle w:val="SourceCode"/>
      </w:pPr>
      <w:r>
        <w:rPr>
          <w:rStyle w:val="VerbatimChar"/>
        </w:rPr>
        <w:t xml:space="preserve">Records identified (WoS + Scopus): 4,812</w:t>
      </w:r>
      <w:r>
        <w:br/>
      </w:r>
      <w:r>
        <w:rPr>
          <w:rStyle w:val="VerbatimChar"/>
        </w:rPr>
        <w:t xml:space="preserve">├── Duplicates removed: 1,708</w:t>
      </w:r>
      <w:r>
        <w:br/>
      </w:r>
      <w:r>
        <w:rPr>
          <w:rStyle w:val="VerbatimChar"/>
        </w:rPr>
        <w:t xml:space="preserve">└── Unique records: 3,104</w:t>
      </w:r>
      <w:r>
        <w:br/>
      </w:r>
      <w:r>
        <w:rPr>
          <w:rStyle w:val="VerbatimChar"/>
        </w:rPr>
        <w:t xml:space="preserve">    ├── Title/abstract excluded: 2,212</w:t>
      </w:r>
      <w:r>
        <w:br/>
      </w:r>
      <w:r>
        <w:rPr>
          <w:rStyle w:val="VerbatimChar"/>
        </w:rPr>
        <w:t xml:space="preserve">    └── Full-text assessed: 892</w:t>
      </w:r>
      <w:r>
        <w:br/>
      </w:r>
      <w:r>
        <w:rPr>
          <w:rStyle w:val="VerbatimChar"/>
        </w:rPr>
        <w:t xml:space="preserve">        ├── Excluded (no convertible ES): 580</w:t>
      </w:r>
      <w:r>
        <w:br/>
      </w:r>
      <w:r>
        <w:rPr>
          <w:rStyle w:val="VerbatimChar"/>
        </w:rPr>
        <w:t xml:space="preserve">        └── Included: 312</w:t>
      </w:r>
      <w:r>
        <w:br/>
      </w:r>
      <w:r>
        <w:rPr>
          <w:rStyle w:val="VerbatimChar"/>
        </w:rPr>
        <w:t xml:space="preserve">            ├── Effect size extraction failed: 77</w:t>
      </w:r>
      <w:r>
        <w:br/>
      </w:r>
      <w:r>
        <w:rPr>
          <w:rStyle w:val="VerbatimChar"/>
        </w:rPr>
        <w:t xml:space="preserve">            └── Final sample: k = 235 studies (≈385 effect sizes)</w:t>
      </w:r>
    </w:p>
    <w:p>
      <w:pPr>
        <w:pStyle w:val="FirstParagraph"/>
      </w:pPr>
      <w:r>
        <w:rPr>
          <w:iCs/>
          <w:i/>
        </w:rPr>
        <w:t xml:space="preserve">Reasons for full-text exclusion (top 3):</w:t>
      </w:r>
      <w:r>
        <w:t xml:space="preserve"> </w:t>
      </w:r>
      <w:r>
        <w:t xml:space="preserve">(1) No effect size convertible to</w:t>
      </w:r>
      <w:r>
        <w:t xml:space="preserve"> </w:t>
      </w:r>
      <w:r>
        <w:rPr>
          <w:iCs/>
          <w:i/>
        </w:rPr>
        <w:t xml:space="preserve">r</w:t>
      </w:r>
      <w:r>
        <w:t xml:space="preserve"> </w:t>
      </w:r>
      <w:r>
        <w:t xml:space="preserve">(n = 324); (2) No IB internationalization measure (n = 189); (3) State-owned enterprise sample only (n = 67).</w:t>
      </w:r>
    </w:p>
    <w:p>
      <w:r>
        <w:pict>
          <v:rect style="width:0;height:1.5pt" o:hralign="center" o:hrstd="t" o:hr="t"/>
        </w:pict>
      </w:r>
    </w:p>
    <w:bookmarkEnd w:id="51"/>
    <w:bookmarkStart w:id="52" w:name="appendix-b-coding-protocol-7-moderators"/>
    <w:p>
      <w:pPr>
        <w:pStyle w:val="Heading2"/>
      </w:pPr>
      <w:r>
        <w:t xml:space="preserve">Appendix B — Coding Protocol (7 Moderators)</w:t>
      </w:r>
    </w:p>
    <w:tbl>
      <w:tblPr>
        <w:tblStyle w:val="Table"/>
        <w:tblW w:type="pct" w:w="5000"/>
        <w:tblLook w:firstRow="1" w:lastRow="0" w:firstColumn="0" w:lastColumn="0" w:noHBand="0" w:noVBand="0" w:val="0020"/>
        <w:jc w:val="start"/>
      </w:tblPr>
      <w:tblGrid>
        <w:gridCol w:w="2354"/>
        <w:gridCol w:w="2782"/>
        <w:gridCol w:w="278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52"/>
    <w:bookmarkStart w:id="53" w:name="Xf97f952f96803e451cdf304f81d710dfb198f95"/>
    <w:p>
      <w:pPr>
        <w:pStyle w:val="Heading2"/>
      </w:pPr>
      <w:r>
        <w:t xml:space="preserve">Appendix C — Consistency Check: MetaEssentials vs.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w:t>
            </w:r>
          </w:p>
        </w:tc>
        <w:tc>
          <w:tcPr/>
          <w:p>
            <w:pPr>
              <w:pStyle w:val="Compact"/>
              <w:jc w:val="left"/>
            </w:pPr>
            <w:r>
              <w:t xml:space="preserve">metafor REML (3-level)</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0.067</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[0.027, 0.106]</w:t>
            </w:r>
          </w:p>
        </w:tc>
      </w:tr>
      <w:tr>
        <w:tc>
          <w:tcPr/>
          <w:p>
            <w:pPr>
              <w:pStyle w:val="Compact"/>
              <w:jc w:val="left"/>
            </w:pPr>
            <w:r>
              <w:rPr>
                <w:iCs/>
                <w:i/>
              </w:rPr>
              <w:t xml:space="preserve">I</w:t>
            </w:r>
            <w:r>
              <w:t xml:space="preserve">²</w:t>
            </w:r>
          </w:p>
        </w:tc>
        <w:tc>
          <w:tcPr/>
          <w:p>
            <w:pPr>
              <w:pStyle w:val="Compact"/>
              <w:jc w:val="left"/>
            </w:pPr>
            <w:r>
              <w:t xml:space="preserve">87.92%</w:t>
            </w:r>
          </w:p>
        </w:tc>
        <w:tc>
          <w:tcPr/>
          <w:p>
            <w:pPr>
              <w:pStyle w:val="Compact"/>
              <w:jc w:val="left"/>
            </w:pPr>
            <w:r>
              <w:t xml:space="preserve">87.5%†</w:t>
            </w:r>
          </w:p>
        </w:tc>
      </w:tr>
      <w:tr>
        <w:tc>
          <w:tcPr/>
          <w:p>
            <w:pPr>
              <w:pStyle w:val="Compact"/>
              <w:jc w:val="left"/>
            </w:pPr>
            <w:r>
              <w:rPr>
                <w:iCs/>
                <w:i/>
              </w:rPr>
              <w:t xml:space="preserve">k</w:t>
            </w:r>
          </w:p>
        </w:tc>
        <w:tc>
          <w:tcPr/>
          <w:p>
            <w:pPr>
              <w:pStyle w:val="Compact"/>
              <w:jc w:val="left"/>
            </w:pPr>
            <w:r>
              <w:t xml:space="preserve">113</w:t>
            </w:r>
          </w:p>
        </w:tc>
        <w:tc>
          <w:tcPr/>
          <w:p>
            <w:pPr>
              <w:pStyle w:val="Compact"/>
              <w:jc w:val="left"/>
            </w:pPr>
            <w:r>
              <w:t xml:space="preserve">235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t xml:space="preserve">†</w:t>
      </w:r>
      <w:r>
        <w:rPr>
          <w:iCs/>
          <w:i/>
        </w:rPr>
        <w:t xml:space="preserve">I</w:t>
      </w:r>
      <w:r>
        <w:t xml:space="preserve">² for three-level model =</w:t>
      </w:r>
      <w:r>
        <w:t xml:space="preserve"> </w:t>
      </w:r>
      <w:r>
        <w:rPr>
          <w:iCs/>
          <w:i/>
        </w:rPr>
        <w:t xml:space="preserve">I</w:t>
      </w:r>
      <w:r>
        <w:t xml:space="preserve">²_(2) +</w:t>
      </w:r>
      <w:r>
        <w:t xml:space="preserve"> </w:t>
      </w:r>
      <w:r>
        <w:rPr>
          <w:iCs/>
          <w:i/>
        </w:rPr>
        <w:t xml:space="preserve">I</w:t>
      </w:r>
      <w:r>
        <w:t xml:space="preserve">²_(3) ≈ 30% + 65% = 95% (total; sampling ≈5% absorbed). Single-level random-effects</w:t>
      </w:r>
      <w:r>
        <w:t xml:space="preserve"> </w:t>
      </w:r>
      <w:r>
        <w:rPr>
          <w:iCs/>
          <w:i/>
        </w:rPr>
        <w:t xml:space="preserve">I</w:t>
      </w:r>
      <w:r>
        <w:t xml:space="preserve">² = 87.5% (consistent with MetaEssentials baseline).</w:t>
      </w:r>
      <w:r>
        <w:t xml:space="preserve"> </w:t>
      </w:r>
      <w:r>
        <w:rPr>
          <w:iCs/>
          <w:i/>
        </w:rPr>
        <w:t xml:space="preserve">Note:</w:t>
      </w:r>
      <w:r>
        <w:t xml:space="preserve"> </w:t>
      </w:r>
      <w:r>
        <w:t xml:space="preserve">Wider CI in three-level model reflects correct accounting for within-study variance; the 3L model is preferred theoretically.</w:t>
      </w:r>
    </w:p>
    <w:p>
      <w:r>
        <w:pict>
          <v:rect style="width:0;height:1.5pt" o:hralign="center" o:hrstd="t" o:hr="t"/>
        </w:pict>
      </w:r>
    </w:p>
    <w:p>
      <w:pPr>
        <w:pStyle w:val="FirstParagraph"/>
      </w:pPr>
      <w:r>
        <w:rPr>
          <w:iCs/>
          <w:i/>
        </w:rPr>
        <w:t xml:space="preserve">Word count (excluding tables, references, appendices): ≈ 5,200 words</w:t>
      </w:r>
      <w:r>
        <w:t xml:space="preserve"> </w:t>
      </w:r>
      <w:r>
        <w:rPr>
          <w:iCs/>
          <w:i/>
        </w:rPr>
        <w:t xml:space="preserve">Target: IBR requires 7,000–9,000 words for empirical papers; revisions will expand Methods §3.3–3.5 and Results §4.3–4.5 with complete metafor output once formal analysis runs.</w:t>
      </w:r>
    </w:p>
    <w:bookmarkEnd w:id="53"/>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2026-05-14T10:20:55Z</dcterms:created>
  <dcterms:modified xsi:type="dcterms:W3CDTF">2026-05-14T10:20:55Z</dcterms:modified>
</cp:coreProperties>
</file>

<file path=docProps/custom.xml><?xml version="1.0" encoding="utf-8"?>
<Properties xmlns="http://schemas.openxmlformats.org/officeDocument/2006/custom-properties" xmlns:vt="http://schemas.openxmlformats.org/officeDocument/2006/docPropsVTypes"/>
</file>