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Does Country Context Shape the Internationalization–Performance Link? A Three-Level Meta-Analytic Investigation of Digital Adoption, Institutional Regimes, and the Digital Paradox Lifecycle</w:t>
      </w:r>
    </w:p>
    <w:p>
      <w:pPr>
        <w:pStyle w:val="BodyText"/>
      </w:pPr>
      <w:r>
        <w:rPr>
          <w:iCs/>
          <w:i/>
        </w:rPr>
        <w:t xml:space="preserve">Target journal:</w:t>
      </w:r>
      <w:r>
        <w:t xml:space="preserve"> </w:t>
      </w:r>
      <w:r>
        <w:t xml:space="preserve">International Business Review (IBR), Elsevier</w:t>
      </w:r>
    </w:p>
    <w:p>
      <w:pPr>
        <w:pStyle w:val="BodyText"/>
      </w:pPr>
      <w:r>
        <w:rPr>
          <w:iCs/>
          <w:i/>
        </w:rPr>
        <w:t xml:space="preserve">Submission date:</w:t>
      </w:r>
      <w:r>
        <w:t xml:space="preserve"> </w:t>
      </w:r>
      <w:r>
        <w:t xml:space="preserve">14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research community whose published primary studies made this meta-analysis possible. We are grateful to the Web of Science and Scopus databases for access to the indexed literature. The ICBEF 2025 conference provided the venue for the baseline analysis (Đỗ &amp; Phan, 2024) upon which the present study builds. The findings, interpretations, and conclusions expressed in this article are those of the authors alone.</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coded study database, R replication scripts (metafor), PRISMA flow diagram, and inter-coder reliability materials are available from the corresponding author upon reasonable request. Pre-registration materials are deposited on OSF (registration link to be inserted upon acceptance).</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 (main text)</w:t>
            </w:r>
          </w:p>
        </w:tc>
        <w:tc>
          <w:tcPr/>
          <w:p>
            <w:pPr>
              <w:pStyle w:val="Compact"/>
              <w:jc w:val="left"/>
            </w:pPr>
            <w:r>
              <w:t xml:space="preserve">Approximately 8,000 words</w:t>
            </w:r>
          </w:p>
        </w:tc>
      </w:tr>
      <w:tr>
        <w:tc>
          <w:tcPr/>
          <w:p>
            <w:pPr>
              <w:pStyle w:val="Compact"/>
              <w:jc w:val="left"/>
            </w:pPr>
            <w:r>
              <w:t xml:space="preserve">Studies (</w:t>
            </w:r>
            <w:r>
              <w:rPr>
                <w:iCs/>
                <w:i/>
              </w:rPr>
              <w:t xml:space="preserve">k</w:t>
            </w:r>
            <w:r>
              <w:t xml:space="preserve">)</w:t>
            </w:r>
          </w:p>
        </w:tc>
        <w:tc>
          <w:tcPr/>
          <w:p>
            <w:pPr>
              <w:pStyle w:val="Compact"/>
              <w:jc w:val="left"/>
            </w:pPr>
            <w:r>
              <w:t xml:space="preserve">235 primary studies</w:t>
            </w:r>
          </w:p>
        </w:tc>
      </w:tr>
      <w:tr>
        <w:tc>
          <w:tcPr/>
          <w:p>
            <w:pPr>
              <w:pStyle w:val="Compact"/>
              <w:jc w:val="left"/>
            </w:pPr>
            <w:r>
              <w:t xml:space="preserve">Effect sizes</w:t>
            </w:r>
          </w:p>
        </w:tc>
        <w:tc>
          <w:tcPr/>
          <w:p>
            <w:pPr>
              <w:pStyle w:val="Compact"/>
              <w:jc w:val="left"/>
            </w:pPr>
            <w:r>
              <w:t xml:space="preserve">Approximately 385</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3 (forest plot, funnel plot, moderator bubble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Asia-Pacific</w:t>
            </w:r>
          </w:p>
        </w:tc>
      </w:tr>
      <w:tr>
        <w:tc>
          <w:tcPr/>
          <w:p>
            <w:pPr>
              <w:pStyle w:val="Compact"/>
              <w:jc w:val="left"/>
            </w:pPr>
            <w:r>
              <w:t xml:space="preserve">JEL codes</w:t>
            </w:r>
          </w:p>
        </w:tc>
        <w:tc>
          <w:tcPr/>
          <w:p>
            <w:pPr>
              <w:pStyle w:val="Compact"/>
              <w:jc w:val="left"/>
            </w:pPr>
            <w:r>
              <w:t xml:space="preserve">F23, O33, C83, O53</w:t>
            </w:r>
          </w:p>
        </w:tc>
      </w:tr>
      <w:tr>
        <w:tc>
          <w:tcPr/>
          <w:p>
            <w:pPr>
              <w:pStyle w:val="Compact"/>
              <w:jc w:val="left"/>
            </w:pPr>
            <w:r>
              <w:t xml:space="preserve">Software</w:t>
            </w:r>
          </w:p>
        </w:tc>
        <w:tc>
          <w:tcPr/>
          <w:p>
            <w:pPr>
              <w:pStyle w:val="Compact"/>
              <w:jc w:val="left"/>
            </w:pPr>
            <w:r>
              <w:t xml:space="preserve">R 4.4 (metafor); JASP 0.19; Stata 17 (robustness)</w:t>
            </w:r>
          </w:p>
        </w:tc>
      </w:tr>
      <w:tr>
        <w:tc>
          <w:tcPr/>
          <w:p>
            <w:pPr>
              <w:pStyle w:val="Compact"/>
              <w:jc w:val="left"/>
            </w:pPr>
            <w:r>
              <w:t xml:space="preserve">Pre-registration</w:t>
            </w:r>
          </w:p>
        </w:tc>
        <w:tc>
          <w:tcPr/>
          <w:p>
            <w:pPr>
              <w:pStyle w:val="Compact"/>
              <w:jc w:val="left"/>
            </w:pPr>
            <w:r>
              <w:t xml:space="preserve">OSF (pre-registration number to be inserted upon acceptance)</w:t>
            </w:r>
          </w:p>
        </w:tc>
      </w:tr>
    </w:tbl>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2026-05-14T10:20:43Z</dcterms:created>
  <dcterms:modified xsi:type="dcterms:W3CDTF">2026-05-14T10:20:43Z</dcterms:modified>
</cp:coreProperties>
</file>

<file path=docProps/custom.xml><?xml version="1.0" encoding="utf-8"?>
<Properties xmlns="http://schemas.openxmlformats.org/officeDocument/2006/custom-properties" xmlns:vt="http://schemas.openxmlformats.org/officeDocument/2006/docPropsVTypes"/>
</file>