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280 studies with</w:t>
      </w:r>
      <w:r>
        <w:t xml:space="preserve"> </w:t>
      </w:r>
      <w:r>
        <w:rPr>
          <w:iCs/>
          <w:i/>
        </w:rPr>
        <w:t xml:space="preserve">K</w:t>
      </w:r>
      <w:r>
        <w:t xml:space="preserve"> </w:t>
      </w:r>
      <w:r>
        <w:t xml:space="preserve">= 330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[0.062, 0.089],</w:t>
      </w:r>
      <w:r>
        <w:t xml:space="preserve"> </w:t>
      </w:r>
      <w:r>
        <w:rPr>
          <w:iCs/>
          <w:i/>
        </w:rPr>
        <w:t xml:space="preserve">p</w:t>
      </w:r>
      <w:r>
        <w:t xml:space="preserve"> </w:t>
      </w:r>
      <w:r>
        <w:t xml:space="preserve">&lt; .001) with</w:t>
      </w:r>
      <w:r>
        <w:t xml:space="preserve"> </w:t>
      </w:r>
      <w:r>
        <w:rPr>
          <w:iCs/>
          <w:i/>
        </w:rPr>
        <w:t xml:space="preserve">I</w:t>
      </w:r>
      <w:r>
        <w:t xml:space="preserve">² = 65.5%, of which the within-study level dominates (Level 2 = 56.6%; Level 3 = 8.9%),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9.81,</w:t>
      </w:r>
      <w:r>
        <w:t xml:space="preserve"> </w:t>
      </w:r>
      <w:r>
        <w:rPr>
          <w:iCs/>
          <w:i/>
        </w:rPr>
        <w:t xml:space="preserve">df</w:t>
      </w:r>
      <w:r>
        <w:t xml:space="preserve"> </w:t>
      </w:r>
      <w:r>
        <w:t xml:space="preserve">= 4,</w:t>
      </w:r>
      <w:r>
        <w:t xml:space="preserve"> </w:t>
      </w:r>
      <w:r>
        <w:rPr>
          <w:iCs/>
          <w:i/>
        </w:rPr>
        <w:t xml:space="preserve">p</w:t>
      </w:r>
      <w:r>
        <w:t xml:space="preserve"> </w:t>
      </w:r>
      <w:r>
        <w:t xml:space="preserve">= .044) but are driven by a small, high-effect Frontier cell (</w:t>
      </w:r>
      <w:r>
        <w:rPr>
          <w:iCs/>
          <w:i/>
        </w:rPr>
        <w:t xml:space="preserve">K</w:t>
      </w:r>
      <w:r>
        <w:t xml:space="preserve"> </w:t>
      </w:r>
      <w:r>
        <w:t xml:space="preserve">= 4) rather than a monotone institutional gradient; cDAI and DPL phase moderation are not significant (</w:t>
      </w:r>
      <w:r>
        <w:rPr>
          <w:iCs/>
          <w:i/>
        </w:rPr>
        <w:t xml:space="preserve">Q</w:t>
      </w:r>
      <w:r>
        <w:t xml:space="preserve">_M = 0.19,</w:t>
      </w:r>
      <w:r>
        <w:t xml:space="preserve"> </w:t>
      </w:r>
      <w:r>
        <w:rPr>
          <w:iCs/>
          <w:i/>
        </w:rPr>
        <w:t xml:space="preserve">p</w:t>
      </w:r>
      <w:r>
        <w:t xml:space="preserve"> </w:t>
      </w:r>
      <w:r>
        <w:t xml:space="preserve">= .911 and</w:t>
      </w:r>
      <w:r>
        <w:t xml:space="preserve"> </w:t>
      </w:r>
      <w:r>
        <w:rPr>
          <w:iCs/>
          <w:i/>
        </w:rPr>
        <w:t xml:space="preserve">Q</w:t>
      </w:r>
      <w:r>
        <w:t xml:space="preserve">_M = 0.80,</w:t>
      </w:r>
      <w:r>
        <w:t xml:space="preserve"> </w:t>
      </w:r>
      <w:r>
        <w:rPr>
          <w:iCs/>
          <w:i/>
        </w:rPr>
        <w:t xml:space="preserve">p</w:t>
      </w:r>
      <w:r>
        <w:t xml:space="preserve"> </w:t>
      </w:r>
      <w:r>
        <w:t xml:space="preserve">= .671, respectively). Publication-bias evidence is mixed: Begg's test (τ = −0.116,</w:t>
      </w:r>
      <w:r>
        <w:t xml:space="preserve"> </w:t>
      </w:r>
      <w:r>
        <w:rPr>
          <w:iCs/>
          <w:i/>
        </w:rPr>
        <w:t xml:space="preserve">p</w:t>
      </w:r>
      <w:r>
        <w:t xml:space="preserve"> </w:t>
      </w:r>
      <w:r>
        <w:t xml:space="preserve">= .002) and trim-and-fill (</w:t>
      </w:r>
      <w:r>
        <w:rPr>
          <w:iCs/>
          <w:i/>
        </w:rPr>
        <w:t xml:space="preserve">k</w:t>
      </w:r>
      <w:r>
        <w:t xml:space="preserve">₀ = 58 imputed; adjusted</w:t>
      </w:r>
      <w:r>
        <w:t xml:space="preserve"> </w:t>
      </w:r>
      <w:r>
        <w:rPr>
          <w:iCs/>
          <w:i/>
        </w:rPr>
        <w:t xml:space="preserve">r̄</w:t>
      </w:r>
      <w:r>
        <w:t xml:space="preserve"> </w:t>
      </w:r>
      <w:r>
        <w:t xml:space="preserve">= 0.040, 95% CI [0.029, 0.051]) indicate left-side asymmetry, while Egger's regression is only marginal (</w:t>
      </w:r>
      <w:r>
        <w:rPr>
          <w:iCs/>
          <w:i/>
        </w:rPr>
        <w:t xml:space="preserve">p</w:t>
      </w:r>
      <w:r>
        <w:t xml:space="preserve"> </w:t>
      </w:r>
      <w:r>
        <w:t xml:space="preserve">= .069).</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280 studies from economies worldwide, and the first to formally test ICRV, cDAI, and DPL phase as moderators. H1 is confirmed (</w:t>
      </w:r>
      <w:r>
        <w:rPr>
          <w:iCs/>
          <w:i/>
        </w:rPr>
        <w:t xml:space="preserve">Q</w:t>
      </w:r>
      <w:r>
        <w:t xml:space="preserve">_M = 9.81,</w:t>
      </w:r>
      <w:r>
        <w:t xml:space="preserve"> </w:t>
      </w:r>
      <w:r>
        <w:rPr>
          <w:iCs/>
          <w:i/>
        </w:rPr>
        <w:t xml:space="preserve">p</w:t>
      </w:r>
      <w:r>
        <w:t xml:space="preserve"> </w:t>
      </w:r>
      <w:r>
        <w:t xml:space="preserve">= .044), while the directional gradient (E1a/E1b) and the cDAI and DPL hypotheses remain unconfirmed — a pattern that, combined with the dominance of within-study heterogeneity and modest publication bias, reframes the heterogeneity puzzle: unexplained variance in I→P arises chiefly from analytic choices</w:t>
      </w:r>
      <w:r>
        <w:t xml:space="preserve"> </w:t>
      </w:r>
      <w:r>
        <w:rPr>
          <w:iCs/>
          <w:i/>
        </w:rPr>
        <w:t xml:space="preserve">within</w:t>
      </w:r>
      <w:r>
        <w:t xml:space="preserve"> </w:t>
      </w:r>
      <w:r>
        <w:t xml:space="preserve">primary studies rather than from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280,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280);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0.075,</w:t>
      </w:r>
      <w:r>
        <w:t xml:space="preserve"> </w:t>
      </w:r>
      <w:r>
        <w:rPr>
          <w:iCs/>
          <w:i/>
        </w:rPr>
        <w:t xml:space="preserve">k</w:t>
      </w:r>
      <w:r>
        <w:t xml:space="preserve"> </w:t>
      </w:r>
      <w:r>
        <w:t xml:space="preserve">= 280,</w:t>
      </w:r>
      <w:r>
        <w:t xml:space="preserve"> </w:t>
      </w:r>
      <w:r>
        <w:rPr>
          <w:iCs/>
          <w:i/>
        </w:rPr>
        <w:t xml:space="preserve">K</w:t>
      </w:r>
      <w:r>
        <w:t xml:space="preserve"> </w:t>
      </w:r>
      <w:r>
        <w:t xml:space="preserve">= 330)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9.81,</w:t>
      </w:r>
      <w:r>
        <w:t xml:space="preserve"> </w:t>
      </w:r>
      <w:r>
        <w:rPr>
          <w:iCs/>
          <w:i/>
        </w:rPr>
        <w:t xml:space="preserve">p</w:t>
      </w:r>
      <w:r>
        <w:t xml:space="preserve"> </w:t>
      </w:r>
      <w:r>
        <w:t xml:space="preserve">= .044); however, the directional Exploratory Propositions E1a (Advanced largest) and E1b (Frontier smallest) are not confirmed — the omnibus effect is driven by a small, high-effect Frontier cell (</w:t>
      </w:r>
      <w:r>
        <w:rPr>
          <w:iCs/>
          <w:i/>
        </w:rPr>
        <w:t xml:space="preserve">K</w:t>
      </w:r>
      <w:r>
        <w:t xml:space="preserve"> </w:t>
      </w:r>
      <w:r>
        <w:t xml:space="preserve">= 4) rather than a monotone institutional gradient. cDAI (</w:t>
      </w:r>
      <w:r>
        <w:rPr>
          <w:iCs/>
          <w:i/>
        </w:rPr>
        <w:t xml:space="preserve">Q</w:t>
      </w:r>
      <w:r>
        <w:t xml:space="preserve">_M = 0.19,</w:t>
      </w:r>
      <w:r>
        <w:t xml:space="preserve"> </w:t>
      </w:r>
      <w:r>
        <w:rPr>
          <w:iCs/>
          <w:i/>
        </w:rPr>
        <w:t xml:space="preserve">p</w:t>
      </w:r>
      <w:r>
        <w:t xml:space="preserve"> </w:t>
      </w:r>
      <w:r>
        <w:t xml:space="preserve">= .911) and DPL phase (</w:t>
      </w:r>
      <w:r>
        <w:rPr>
          <w:iCs/>
          <w:i/>
        </w:rPr>
        <w:t xml:space="preserve">Q</w:t>
      </w:r>
      <w:r>
        <w:t xml:space="preserve">_M = 0.80,</w:t>
      </w:r>
      <w:r>
        <w:t xml:space="preserve"> </w:t>
      </w:r>
      <w:r>
        <w:rPr>
          <w:iCs/>
          <w:i/>
        </w:rPr>
        <w:t xml:space="preserve">p</w:t>
      </w:r>
      <w:r>
        <w:t xml:space="preserve"> </w:t>
      </w:r>
      <w:r>
        <w:t xml:space="preserve">= .671) are non-significant (H2, H3 not supported). Publication-bias diagnostics are mixed: Begg's test and trim-and-fill (</w:t>
      </w:r>
      <w:r>
        <w:rPr>
          <w:iCs/>
          <w:i/>
        </w:rPr>
        <w:t xml:space="preserve">k</w:t>
      </w:r>
      <w:r>
        <w:t xml:space="preserve">₀ = 58 imputed; adjusted</w:t>
      </w:r>
      <w:r>
        <w:t xml:space="preserve"> </w:t>
      </w:r>
      <w:r>
        <w:rPr>
          <w:iCs/>
          <w:i/>
        </w:rPr>
        <w:t xml:space="preserve">r̄</w:t>
      </w:r>
      <w:r>
        <w:t xml:space="preserve"> </w:t>
      </w:r>
      <w:r>
        <w:t xml:space="preserve">= 0.040) indicate left-side asymmetry, whereas Egger's regression is only marginal (</w:t>
      </w:r>
      <w:r>
        <w:rPr>
          <w:iCs/>
          <w:i/>
        </w:rPr>
        <w:t xml:space="preserve">p</w:t>
      </w:r>
      <w:r>
        <w:t xml:space="preserve"> </w:t>
      </w:r>
      <w:r>
        <w:t xml:space="preserve">= .069). The heterogeneity puzzle (</w:t>
      </w:r>
      <w:r>
        <w:rPr>
          <w:iCs/>
          <w:i/>
        </w:rPr>
        <w:t xml:space="preserve">I</w:t>
      </w:r>
      <w:r>
        <w:t xml:space="preserve">² = 65.5%) remains unresolved by the tested moderators; critically, the variance decomposition shows that it is concentrated</w:t>
      </w:r>
      <w:r>
        <w:t xml:space="preserve"> </w:t>
      </w:r>
      <w:r>
        <w:rPr>
          <w:iCs/>
          <w:i/>
        </w:rPr>
        <w:t xml:space="preserve">within</w:t>
      </w:r>
      <w:r>
        <w:t xml:space="preserve"> </w:t>
      </w:r>
      <w:r>
        <w:t xml:space="preserve">primary studies (Level 2, 56.6%) far more than between studies (Level 3, 8.9%), pointing future work toward within-study analytic moderators rather than additional country-level contingencies.</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280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280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roughly half of the k = 280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334000" cy="3439740"/>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334000" cy="3439740"/>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280 studies, K = 330 effects, r̄ = 0.075, 95% CI [0.062, 0.089]). Dashed arrows represent hypothesised moderating relationships. Three study-level constructs were tested as moderators: (1) ICRV Regime (H1) — hypothesised between-regime Q_M statistically significant; H1 confirmed (Q_M = 9.81, p = .044); directional Exploratory Propositions E1a (Advanced largest) and E1b (Frontier smallest) not confirmed (the omnibus effect is driven by a sparse Frontier cell, K = 4). (2) cDAI — Country Digital Adoption Index (H3) — hypothesised positive amplification [High &gt; Low]; actual Q_M = 0.19 (p = .911), H3 not supported. (3) DPL Phase (H2) — hypothesised Follow &gt; Precede; actual Q_M = 0.80 (p = .671), H2 not supported. The three-level model nests K = 330 effects within k = 280 studies; the within-study level dominates the variance (σ²_(2) = 0.00937, I²_(2) = 56.6%) relative to the between-study level (σ²_(3) = 0.00147, I²_(3) = 8.9%); total I² = 65.5%. Publication bias (H4 partial): Begg's τ = −0.116 (p = .002) and trim-and-fill (k₀ = 58 imputed, adjusted r = 0.040) indicate asymmetry, while Egger's regression is marginal (b = 0.414, p = .069); fail-safe N = 81,035.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current analytic database (</w:t>
      </w:r>
      <w:r>
        <w:rPr>
          <w:iCs/>
          <w:i/>
        </w:rPr>
        <w:t xml:space="preserve">k</w:t>
      </w:r>
      <w:r>
        <w:t xml:space="preserve"> </w:t>
      </w:r>
      <w:r>
        <w:t xml:space="preserve">= 280 coded studies;</w:t>
      </w:r>
      <w:r>
        <w:t xml:space="preserve"> </w:t>
      </w:r>
      <w:r>
        <w:rPr>
          <w:iCs/>
          <w:i/>
        </w:rPr>
        <w:t xml:space="preserve">K</w:t>
      </w:r>
      <w:r>
        <w:t xml:space="preserve"> </w:t>
      </w:r>
      <w:r>
        <w:t xml:space="preserve">= 330 effect sizes;</w:t>
      </w:r>
      <w:r>
        <w:t xml:space="preserve"> </w:t>
      </w:r>
      <w:r>
        <w:rPr>
          <w:rStyle w:val="VerbatimChar"/>
        </w:rPr>
        <w:t xml:space="preserve">p6_study_database_v2.csv</w:t>
      </w:r>
      <w:r>
        <w:t xml:space="preserve">) assembled from backward-citation screening, hand-search, and ongoing full-text extraction constitutes the working baseline; counts will be finalised when the formal Scopus search and remaining extractions are complete.</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([blinded]),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280 studies (coded),</w:t>
      </w:r>
      <w:r>
        <w:t xml:space="preserve"> </w:t>
      </w:r>
      <w:r>
        <w:rPr>
          <w:iCs/>
          <w:i/>
        </w:rPr>
        <w:t xml:space="preserve">K</w:t>
      </w:r>
      <w:r>
        <w:t xml:space="preserve"> </w:t>
      </w:r>
      <w:r>
        <w:t xml:space="preserve">= 330 effect sizes (current analytic database,</w:t>
      </w:r>
      <w:r>
        <w:t xml:space="preserve"> </w:t>
      </w:r>
      <w:r>
        <w:rPr>
          <w:rStyle w:val="VerbatimChar"/>
        </w:rPr>
        <w:t xml:space="preserve">p6_study_database_v2.csv</w:t>
      </w:r>
      <w:r>
        <w:t xml:space="preserve">).</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Analytic-database sample composition</w:t>
      </w:r>
      <w:r>
        <w:t xml:space="preserve"> </w:t>
      </w:r>
      <w:r>
        <w:rPr>
          <w:iCs/>
          <w:i/>
        </w:rPr>
        <w:t xml:space="preserve">(K = 330 effect sizes, k = 280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Advanced-Innovation (e.g., Korea, Japan, Singapore, HK, Australia)</w:t>
            </w:r>
          </w:p>
        </w:tc>
        <w:tc>
          <w:tcPr/>
          <w:p>
            <w:pPr>
              <w:pStyle w:val="Compact"/>
              <w:jc w:val="left"/>
            </w:pPr>
            <w:r>
              <w:t xml:space="preserve">158</w:t>
            </w:r>
          </w:p>
        </w:tc>
        <w:tc>
          <w:tcPr/>
          <w:p>
            <w:pPr>
              <w:pStyle w:val="Compact"/>
              <w:jc w:val="left"/>
            </w:pPr>
            <w:r>
              <w:t xml:space="preserve">126</w:t>
            </w:r>
          </w:p>
        </w:tc>
      </w:tr>
      <w:tr>
        <w:tc>
          <w:tcPr/>
          <w:p>
            <w:pPr>
              <w:pStyle w:val="Compact"/>
              <w:jc w:val="left"/>
            </w:pPr>
            <w:r>
              <w:t xml:space="preserve">ICRV Regime II — Upper-middle (e.g., China, Malaysia, Thailand)</w:t>
            </w:r>
          </w:p>
        </w:tc>
        <w:tc>
          <w:tcPr/>
          <w:p>
            <w:pPr>
              <w:pStyle w:val="Compact"/>
              <w:jc w:val="left"/>
            </w:pPr>
            <w:r>
              <w:t xml:space="preserve">32</w:t>
            </w:r>
          </w:p>
        </w:tc>
        <w:tc>
          <w:tcPr/>
          <w:p>
            <w:pPr>
              <w:pStyle w:val="Compact"/>
              <w:jc w:val="left"/>
            </w:pPr>
            <w:r>
              <w:t xml:space="preserve">28</w:t>
            </w:r>
          </w:p>
        </w:tc>
      </w:tr>
      <w:tr>
        <w:tc>
          <w:tcPr/>
          <w:p>
            <w:pPr>
              <w:pStyle w:val="Compact"/>
              <w:jc w:val="left"/>
            </w:pPr>
            <w:r>
              <w:t xml:space="preserve">ICRV Regime III — Emerging (e.g., Vietnam, India, Philippines)</w:t>
            </w:r>
          </w:p>
        </w:tc>
        <w:tc>
          <w:tcPr/>
          <w:p>
            <w:pPr>
              <w:pStyle w:val="Compact"/>
              <w:jc w:val="left"/>
            </w:pPr>
            <w:r>
              <w:t xml:space="preserve">95</w:t>
            </w:r>
          </w:p>
        </w:tc>
        <w:tc>
          <w:tcPr/>
          <w:p>
            <w:pPr>
              <w:pStyle w:val="Compact"/>
              <w:jc w:val="left"/>
            </w:pPr>
            <w:r>
              <w:t xml:space="preserve">83</w:t>
            </w:r>
          </w:p>
        </w:tc>
      </w:tr>
      <w:tr>
        <w:tc>
          <w:tcPr/>
          <w:p>
            <w:pPr>
              <w:pStyle w:val="Compact"/>
              <w:jc w:val="left"/>
            </w:pPr>
            <w:r>
              <w:t xml:space="preserve">ICRV Frontier / LDC (FR)</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Cross-regime / multi-country (MX)</w:t>
            </w:r>
          </w:p>
        </w:tc>
        <w:tc>
          <w:tcPr/>
          <w:p>
            <w:pPr>
              <w:pStyle w:val="Compact"/>
              <w:jc w:val="left"/>
            </w:pPr>
            <w:r>
              <w:t xml:space="preserve">41</w:t>
            </w:r>
          </w:p>
        </w:tc>
        <w:tc>
          <w:tcPr/>
          <w:p>
            <w:pPr>
              <w:pStyle w:val="Compact"/>
              <w:jc w:val="left"/>
            </w:pPr>
            <w:r>
              <w:t xml:space="preserve">39</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330</w:t>
            </w:r>
          </w:p>
        </w:tc>
        <w:tc>
          <w:tcPr/>
          <w:p>
            <w:pPr>
              <w:pStyle w:val="Compact"/>
              <w:jc w:val="left"/>
            </w:pPr>
            <w:r>
              <w:rPr>
                <w:bCs/>
                <w:b/>
              </w:rPr>
              <w:t xml:space="preserve">280</w:t>
            </w:r>
          </w:p>
        </w:tc>
      </w:tr>
      <w:tr>
        <w:tc>
          <w:tcPr/>
          <w:p>
            <w:pPr>
              <w:pStyle w:val="Compact"/>
              <w:jc w:val="left"/>
            </w:pPr>
            <w:r>
              <w:t xml:space="preserve">cDAI High (H)</w:t>
            </w:r>
          </w:p>
        </w:tc>
        <w:tc>
          <w:tcPr/>
          <w:p>
            <w:pPr>
              <w:pStyle w:val="Compact"/>
              <w:jc w:val="left"/>
            </w:pPr>
            <w:r>
              <w:t xml:space="preserve">52</w:t>
            </w:r>
          </w:p>
        </w:tc>
        <w:tc>
          <w:tcPr/>
          <w:p>
            <w:pPr>
              <w:pStyle w:val="Compact"/>
              <w:jc w:val="left"/>
            </w:pPr>
            <w:r>
              <w:t xml:space="preserve">47</w:t>
            </w:r>
          </w:p>
        </w:tc>
      </w:tr>
      <w:tr>
        <w:tc>
          <w:tcPr/>
          <w:p>
            <w:pPr>
              <w:pStyle w:val="Compact"/>
              <w:jc w:val="left"/>
            </w:pPr>
            <w:r>
              <w:t xml:space="preserve">cDAI Medium (M)</w:t>
            </w:r>
          </w:p>
        </w:tc>
        <w:tc>
          <w:tcPr/>
          <w:p>
            <w:pPr>
              <w:pStyle w:val="Compact"/>
              <w:jc w:val="left"/>
            </w:pPr>
            <w:r>
              <w:t xml:space="preserve">82</w:t>
            </w:r>
          </w:p>
        </w:tc>
        <w:tc>
          <w:tcPr/>
          <w:p>
            <w:pPr>
              <w:pStyle w:val="Compact"/>
              <w:jc w:val="left"/>
            </w:pPr>
            <w:r>
              <w:t xml:space="preserve">70</w:t>
            </w:r>
          </w:p>
        </w:tc>
      </w:tr>
      <w:tr>
        <w:tc>
          <w:tcPr/>
          <w:p>
            <w:pPr>
              <w:pStyle w:val="Compact"/>
              <w:jc w:val="left"/>
            </w:pPr>
            <w:r>
              <w:t xml:space="preserve">cDAI Low (L)</w:t>
            </w:r>
          </w:p>
        </w:tc>
        <w:tc>
          <w:tcPr/>
          <w:p>
            <w:pPr>
              <w:pStyle w:val="Compact"/>
              <w:jc w:val="left"/>
            </w:pPr>
            <w:r>
              <w:t xml:space="preserve">175</w:t>
            </w:r>
          </w:p>
        </w:tc>
        <w:tc>
          <w:tcPr/>
          <w:p>
            <w:pPr>
              <w:pStyle w:val="Compact"/>
              <w:jc w:val="left"/>
            </w:pPr>
            <w:r>
              <w:t xml:space="preserve">142</w:t>
            </w:r>
          </w:p>
        </w:tc>
      </w:tr>
      <w:tr>
        <w:tc>
          <w:tcPr/>
          <w:p>
            <w:pPr>
              <w:pStyle w:val="Compact"/>
              <w:jc w:val="left"/>
            </w:pPr>
            <w:r>
              <w:t xml:space="preserve">cDAI uncoded</w:t>
            </w:r>
          </w:p>
        </w:tc>
        <w:tc>
          <w:tcPr/>
          <w:p>
            <w:pPr>
              <w:pStyle w:val="Compact"/>
              <w:jc w:val="left"/>
            </w:pPr>
            <w:r>
              <w:t xml:space="preserve">21</w:t>
            </w:r>
          </w:p>
        </w:tc>
        <w:tc>
          <w:tcPr/>
          <w:p>
            <w:pPr>
              <w:pStyle w:val="Compact"/>
              <w:jc w:val="left"/>
            </w:pPr>
            <w:r>
              <w:t xml:space="preserve">21</w:t>
            </w:r>
          </w:p>
        </w:tc>
      </w:tr>
      <w:tr>
        <w:tc>
          <w:tcPr/>
          <w:p>
            <w:pPr>
              <w:pStyle w:val="Compact"/>
              <w:jc w:val="left"/>
            </w:pPr>
            <w:r>
              <w:t xml:space="preserve">DPL Precede (PRE, ≤2008)</w:t>
            </w:r>
          </w:p>
        </w:tc>
        <w:tc>
          <w:tcPr/>
          <w:p>
            <w:pPr>
              <w:pStyle w:val="Compact"/>
              <w:jc w:val="left"/>
            </w:pPr>
            <w:r>
              <w:t xml:space="preserve">104</w:t>
            </w:r>
          </w:p>
        </w:tc>
        <w:tc>
          <w:tcPr/>
          <w:p>
            <w:pPr>
              <w:pStyle w:val="Compact"/>
              <w:jc w:val="left"/>
            </w:pPr>
            <w:r>
              <w:t xml:space="preserve">82</w:t>
            </w:r>
          </w:p>
        </w:tc>
      </w:tr>
      <w:tr>
        <w:tc>
          <w:tcPr/>
          <w:p>
            <w:pPr>
              <w:pStyle w:val="Compact"/>
              <w:jc w:val="left"/>
            </w:pPr>
            <w:r>
              <w:t xml:space="preserve">DPL Span (SPN, 2009–2013)</w:t>
            </w:r>
          </w:p>
        </w:tc>
        <w:tc>
          <w:tcPr/>
          <w:p>
            <w:pPr>
              <w:pStyle w:val="Compact"/>
              <w:jc w:val="left"/>
            </w:pPr>
            <w:r>
              <w:t xml:space="preserve">128</w:t>
            </w:r>
          </w:p>
        </w:tc>
        <w:tc>
          <w:tcPr/>
          <w:p>
            <w:pPr>
              <w:pStyle w:val="Compact"/>
              <w:jc w:val="left"/>
            </w:pPr>
            <w:r>
              <w:t xml:space="preserve">113</w:t>
            </w:r>
          </w:p>
        </w:tc>
      </w:tr>
      <w:tr>
        <w:tc>
          <w:tcPr/>
          <w:p>
            <w:pPr>
              <w:pStyle w:val="Compact"/>
              <w:jc w:val="left"/>
            </w:pPr>
            <w:r>
              <w:t xml:space="preserve">DPL Follow (FOL, ≥2014)</w:t>
            </w:r>
          </w:p>
        </w:tc>
        <w:tc>
          <w:tcPr/>
          <w:p>
            <w:pPr>
              <w:pStyle w:val="Compact"/>
              <w:jc w:val="left"/>
            </w:pPr>
            <w:r>
              <w:t xml:space="preserve">98</w:t>
            </w:r>
          </w:p>
        </w:tc>
        <w:tc>
          <w:tcPr/>
          <w:p>
            <w:pPr>
              <w:pStyle w:val="Compact"/>
              <w:jc w:val="left"/>
            </w:pPr>
            <w:r>
              <w:t xml:space="preserve">85</w:t>
            </w:r>
          </w:p>
        </w:tc>
      </w:tr>
      <w:tr>
        <w:tc>
          <w:tcPr/>
          <w:p>
            <w:pPr>
              <w:pStyle w:val="Compact"/>
              <w:jc w:val="left"/>
            </w:pPr>
            <w:r>
              <w:t xml:space="preserve">By DOI type: FSTS</w:t>
            </w:r>
          </w:p>
        </w:tc>
        <w:tc>
          <w:tcPr/>
          <w:p>
            <w:pPr>
              <w:pStyle w:val="Compact"/>
              <w:jc w:val="left"/>
            </w:pPr>
            <w:r>
              <w:t xml:space="preserve">141</w:t>
            </w:r>
          </w:p>
        </w:tc>
        <w:tc>
          <w:tcPr/>
          <w:p>
            <w:pPr>
              <w:pStyle w:val="Compact"/>
              <w:jc w:val="left"/>
            </w:pPr>
            <w:r>
              <w:t xml:space="preserve">118</w:t>
            </w:r>
          </w:p>
        </w:tc>
      </w:tr>
      <w:tr>
        <w:tc>
          <w:tcPr/>
          <w:p>
            <w:pPr>
              <w:pStyle w:val="Compact"/>
              <w:jc w:val="left"/>
            </w:pPr>
            <w:r>
              <w:t xml:space="preserve">By DOI type: EXP</w:t>
            </w:r>
          </w:p>
        </w:tc>
        <w:tc>
          <w:tcPr/>
          <w:p>
            <w:pPr>
              <w:pStyle w:val="Compact"/>
              <w:jc w:val="left"/>
            </w:pPr>
            <w:r>
              <w:t xml:space="preserve">73</w:t>
            </w:r>
          </w:p>
        </w:tc>
        <w:tc>
          <w:tcPr/>
          <w:p>
            <w:pPr>
              <w:pStyle w:val="Compact"/>
              <w:jc w:val="left"/>
            </w:pPr>
            <w:r>
              <w:t xml:space="preserve">60</w:t>
            </w:r>
          </w:p>
        </w:tc>
      </w:tr>
      <w:tr>
        <w:tc>
          <w:tcPr/>
          <w:p>
            <w:pPr>
              <w:pStyle w:val="Compact"/>
              <w:jc w:val="left"/>
            </w:pPr>
            <w:r>
              <w:t xml:space="preserve">By DOI type: GEO</w:t>
            </w:r>
          </w:p>
        </w:tc>
        <w:tc>
          <w:tcPr/>
          <w:p>
            <w:pPr>
              <w:pStyle w:val="Compact"/>
              <w:jc w:val="left"/>
            </w:pPr>
            <w:r>
              <w:t xml:space="preserve">52</w:t>
            </w:r>
          </w:p>
        </w:tc>
        <w:tc>
          <w:tcPr/>
          <w:p>
            <w:pPr>
              <w:pStyle w:val="Compact"/>
              <w:jc w:val="left"/>
            </w:pPr>
            <w:r>
              <w:t xml:space="preserve">43</w:t>
            </w:r>
          </w:p>
        </w:tc>
      </w:tr>
      <w:tr>
        <w:tc>
          <w:tcPr/>
          <w:p>
            <w:pPr>
              <w:pStyle w:val="Compact"/>
              <w:jc w:val="left"/>
            </w:pPr>
            <w:r>
              <w:t xml:space="preserve">By DOI type: COMP</w:t>
            </w:r>
          </w:p>
        </w:tc>
        <w:tc>
          <w:tcPr/>
          <w:p>
            <w:pPr>
              <w:pStyle w:val="Compact"/>
              <w:jc w:val="left"/>
            </w:pPr>
            <w:r>
              <w:t xml:space="preserve">36</w:t>
            </w:r>
          </w:p>
        </w:tc>
        <w:tc>
          <w:tcPr/>
          <w:p>
            <w:pPr>
              <w:pStyle w:val="Compact"/>
              <w:jc w:val="left"/>
            </w:pPr>
            <w:r>
              <w:t xml:space="preserve">32</w:t>
            </w:r>
          </w:p>
        </w:tc>
      </w:tr>
      <w:tr>
        <w:tc>
          <w:tcPr/>
          <w:p>
            <w:pPr>
              <w:pStyle w:val="Compact"/>
              <w:jc w:val="left"/>
            </w:pPr>
            <w:r>
              <w:t xml:space="preserve">By DOI type: FDI / OTHER</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By FP type: ACC (accounting)</w:t>
            </w:r>
          </w:p>
        </w:tc>
        <w:tc>
          <w:tcPr/>
          <w:p>
            <w:pPr>
              <w:pStyle w:val="Compact"/>
              <w:jc w:val="left"/>
            </w:pPr>
            <w:r>
              <w:t xml:space="preserve">261</w:t>
            </w:r>
          </w:p>
        </w:tc>
        <w:tc>
          <w:tcPr/>
          <w:p>
            <w:pPr>
              <w:pStyle w:val="Compact"/>
              <w:jc w:val="left"/>
            </w:pPr>
            <w:r>
              <w:t xml:space="preserve">216</w:t>
            </w:r>
          </w:p>
        </w:tc>
      </w:tr>
      <w:tr>
        <w:tc>
          <w:tcPr/>
          <w:p>
            <w:pPr>
              <w:pStyle w:val="Compact"/>
              <w:jc w:val="left"/>
            </w:pPr>
            <w:r>
              <w:t xml:space="preserve">By FP type: LAB (labour productivity)</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By FP type: MKT (market-based)</w:t>
            </w:r>
          </w:p>
        </w:tc>
        <w:tc>
          <w:tcPr/>
          <w:p>
            <w:pPr>
              <w:pStyle w:val="Compact"/>
              <w:jc w:val="left"/>
            </w:pPr>
            <w:r>
              <w:t xml:space="preserve">18</w:t>
            </w:r>
          </w:p>
        </w:tc>
        <w:tc>
          <w:tcPr/>
          <w:p>
            <w:pPr>
              <w:pStyle w:val="Compact"/>
              <w:jc w:val="left"/>
            </w:pPr>
            <w:r>
              <w:t xml:space="preserve">18</w:t>
            </w:r>
          </w:p>
        </w:tc>
      </w:tr>
      <w:tr>
        <w:tc>
          <w:tcPr/>
          <w:p>
            <w:pPr>
              <w:pStyle w:val="Compact"/>
              <w:jc w:val="left"/>
            </w:pPr>
            <w:r>
              <w:t xml:space="preserve">By FP type: MIX</w:t>
            </w:r>
          </w:p>
        </w:tc>
        <w:tc>
          <w:tcPr/>
          <w:p>
            <w:pPr>
              <w:pStyle w:val="Compact"/>
              <w:jc w:val="left"/>
            </w:pPr>
            <w:r>
              <w:t xml:space="preserve">32</w:t>
            </w:r>
          </w:p>
        </w:tc>
        <w:tc>
          <w:tcPr/>
          <w:p>
            <w:pPr>
              <w:pStyle w:val="Compact"/>
              <w:jc w:val="left"/>
            </w:pPr>
            <w:r>
              <w:t xml:space="preserve">30</w:t>
            </w:r>
          </w:p>
        </w:tc>
      </w:tr>
      <w:tr>
        <w:tc>
          <w:tcPr/>
          <w:p>
            <w:pPr>
              <w:pStyle w:val="Compact"/>
              <w:jc w:val="left"/>
            </w:pPr>
            <w:r>
              <w:t xml:space="preserve">Effect-size origin: reported (confirmed</w:t>
            </w:r>
            <w:r>
              <w:t xml:space="preserve"> </w:t>
            </w:r>
            <w:r>
              <w:rPr>
                <w:iCs/>
                <w:i/>
              </w:rPr>
              <w:t xml:space="preserve">r</w:t>
            </w:r>
            <w:r>
              <w:t xml:space="preserve">)</w:t>
            </w:r>
          </w:p>
        </w:tc>
        <w:tc>
          <w:tcPr/>
          <w:p>
            <w:pPr>
              <w:pStyle w:val="Compact"/>
              <w:jc w:val="left"/>
            </w:pPr>
            <w:r>
              <w:t xml:space="preserve">273</w:t>
            </w:r>
          </w:p>
        </w:tc>
        <w:tc>
          <w:tcPr/>
          <w:p>
            <w:pPr>
              <w:pStyle w:val="Compact"/>
              <w:jc w:val="left"/>
            </w:pPr>
            <w:r>
              <w:t xml:space="preserve">223</w:t>
            </w:r>
          </w:p>
        </w:tc>
      </w:tr>
      <w:tr>
        <w:tc>
          <w:tcPr/>
          <w:p>
            <w:pPr>
              <w:pStyle w:val="Compact"/>
              <w:jc w:val="left"/>
            </w:pPr>
            <w:r>
              <w:t xml:space="preserve">Effect-size origin: estimated (β/</w:t>
            </w:r>
            <w:r>
              <w:rPr>
                <w:iCs/>
                <w:i/>
              </w:rPr>
              <w:t xml:space="preserve">t</w:t>
            </w:r>
            <w:r>
              <w:t xml:space="preserve">/</w:t>
            </w:r>
            <w:r>
              <w:rPr>
                <w:iCs/>
                <w:i/>
              </w:rPr>
              <w:t xml:space="preserve">F</w:t>
            </w:r>
            <w:r>
              <w:t xml:space="preserve"> </w:t>
            </w:r>
            <w:r>
              <w:t xml:space="preserve">conversion)</w:t>
            </w:r>
          </w:p>
        </w:tc>
        <w:tc>
          <w:tcPr/>
          <w:p>
            <w:pPr>
              <w:pStyle w:val="Compact"/>
              <w:jc w:val="left"/>
            </w:pPr>
            <w:r>
              <w:t xml:space="preserve">57</w:t>
            </w:r>
          </w:p>
        </w:tc>
        <w:tc>
          <w:tcPr/>
          <w:p>
            <w:pPr>
              <w:pStyle w:val="Compact"/>
              <w:jc w:val="left"/>
            </w:pPr>
            <w:r>
              <w:t xml:space="preserve">57</w:t>
            </w:r>
          </w:p>
        </w:tc>
      </w:tr>
    </w:tbl>
    <w:p>
      <w:pPr>
        <w:pStyle w:val="BodyText"/>
      </w:pPr>
      <w:r>
        <w:rPr>
          <w:iCs/>
          <w:i/>
        </w:rPr>
        <w:t xml:space="preserve">Note:</w:t>
      </w:r>
      <w:r>
        <w:t xml:space="preserve"> </w:t>
      </w:r>
      <w:r>
        <w:t xml:space="preserve">Counts from the analytic database (</w:t>
      </w:r>
      <w:r>
        <w:rPr>
          <w:rStyle w:val="VerbatimChar"/>
        </w:rPr>
        <w:t xml:space="preserve">p6/data/p6_study_database_v2.csv</w:t>
      </w:r>
      <w:r>
        <w:t xml:space="preserve">, K = 330 rows, k = 280 unique study IDs). Subgroup</w:t>
      </w:r>
      <w:r>
        <w:t xml:space="preserve"> </w:t>
      </w:r>
      <w:r>
        <w:rPr>
          <w:iCs/>
          <w:i/>
        </w:rPr>
        <w:t xml:space="preserve">k</w:t>
      </w:r>
      <w:r>
        <w:t xml:space="preserve"> </w:t>
      </w:r>
      <w:r>
        <w:t xml:space="preserve">totals can exceed the grand total where a study contributes effects to more than one DOI/FP category. cDAI is uncoded for 21 effects (multi-country pooled studies without a single attributable country index); these are retained in the baseline and excluded list-wise from the cDAI moderation only.</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(REML, k = 280 studies, K = 330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0.00937</w:t>
            </w:r>
          </w:p>
        </w:tc>
      </w:tr>
      <w:tr>
        <w:tc>
          <w:tcPr/>
          <w:p>
            <w:pPr>
              <w:pStyle w:val="Compact"/>
              <w:jc w:val="left"/>
            </w:pPr>
            <w:r>
              <w:t xml:space="preserve">σ²_(3) between-study</w:t>
            </w:r>
          </w:p>
        </w:tc>
        <w:tc>
          <w:tcPr/>
          <w:p>
            <w:pPr>
              <w:pStyle w:val="Compact"/>
              <w:jc w:val="left"/>
            </w:pPr>
            <w:r>
              <w:t xml:space="preserve">0.00147</w:t>
            </w:r>
          </w:p>
        </w:tc>
      </w:tr>
      <w:tr>
        <w:tc>
          <w:tcPr/>
          <w:p>
            <w:pPr>
              <w:pStyle w:val="Compact"/>
              <w:jc w:val="left"/>
            </w:pPr>
            <w:r>
              <w:rPr>
                <w:iCs/>
                <w:i/>
              </w:rPr>
              <w:t xml:space="preserve">I</w:t>
            </w:r>
            <w:r>
              <w:t xml:space="preserve">²_(2) within-study</w:t>
            </w:r>
          </w:p>
        </w:tc>
        <w:tc>
          <w:tcPr/>
          <w:p>
            <w:pPr>
              <w:pStyle w:val="Compact"/>
              <w:jc w:val="left"/>
            </w:pPr>
            <w:r>
              <w:t xml:space="preserve">56.6%</w:t>
            </w:r>
          </w:p>
        </w:tc>
      </w:tr>
      <w:tr>
        <w:tc>
          <w:tcPr/>
          <w:p>
            <w:pPr>
              <w:pStyle w:val="Compact"/>
              <w:jc w:val="left"/>
            </w:pPr>
            <w:r>
              <w:rPr>
                <w:iCs/>
                <w:i/>
              </w:rPr>
              <w:t xml:space="preserve">I</w:t>
            </w:r>
            <w:r>
              <w:t xml:space="preserve">²_(3) between-study</w:t>
            </w:r>
          </w:p>
        </w:tc>
        <w:tc>
          <w:tcPr/>
          <w:p>
            <w:pPr>
              <w:pStyle w:val="Compact"/>
              <w:jc w:val="left"/>
            </w:pPr>
            <w:r>
              <w:t xml:space="preserve">8.9%</w:t>
            </w:r>
          </w:p>
        </w:tc>
      </w:tr>
      <w:tr>
        <w:tc>
          <w:tcPr/>
          <w:p>
            <w:pPr>
              <w:pStyle w:val="Compact"/>
              <w:jc w:val="left"/>
            </w:pPr>
            <w:r>
              <w:rPr>
                <w:iCs/>
                <w:i/>
              </w:rPr>
              <w:t xml:space="preserve">I</w:t>
            </w:r>
            <w:r>
              <w:t xml:space="preserve">²_total</w:t>
            </w:r>
          </w:p>
        </w:tc>
        <w:tc>
          <w:tcPr/>
          <w:p>
            <w:pPr>
              <w:pStyle w:val="Compact"/>
              <w:jc w:val="left"/>
            </w:pPr>
            <w:r>
              <w:t xml:space="preserve">65.5%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[0.062, 0.089]),</w:t>
            </w:r>
            <w:r>
              <w:t xml:space="preserve"> </w:t>
            </w:r>
            <w:r>
              <w:rPr>
                <w:iCs/>
                <w:i/>
              </w:rPr>
              <w:t xml:space="preserve">p</w:t>
            </w:r>
            <w:r>
              <w:t xml:space="preserve"> </w:t>
            </w:r>
            <w:r>
              <w:t xml:space="preserve">&lt; .001</w:t>
            </w:r>
          </w:p>
        </w:tc>
      </w:tr>
      <w:tr>
        <w:tc>
          <w:tcPr/>
          <w:p>
            <w:pPr>
              <w:pStyle w:val="Compact"/>
              <w:jc w:val="left"/>
            </w:pPr>
            <w:r>
              <w:rPr>
                <w:iCs/>
                <w:i/>
              </w:rPr>
              <w:t xml:space="preserve">Q</w:t>
            </w:r>
            <w:r>
              <w:t xml:space="preserve">_total</w:t>
            </w:r>
          </w:p>
        </w:tc>
        <w:tc>
          <w:tcPr/>
          <w:p>
            <w:pPr>
              <w:pStyle w:val="Compact"/>
              <w:jc w:val="left"/>
            </w:pPr>
            <w:r>
              <w:t xml:space="preserve">2,869.47 (</w:t>
            </w:r>
            <w:r>
              <w:rPr>
                <w:iCs/>
                <w:i/>
              </w:rPr>
              <w:t xml:space="preserve">df</w:t>
            </w:r>
            <w:r>
              <w:t xml:space="preserve"> </w:t>
            </w:r>
            <w:r>
              <w:t xml:space="preserve">= 329,</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The variance decomposition is dominated by the within-study level: effect-to-effect variation within the same study (Level 2,</w:t>
      </w:r>
      <w:r>
        <w:t xml:space="preserve"> </w:t>
      </w:r>
      <w:r>
        <w:rPr>
          <w:iCs/>
          <w:i/>
        </w:rPr>
        <w:t xml:space="preserve">I</w:t>
      </w:r>
      <w:r>
        <w:t xml:space="preserve">²_(2) = 56.6%) is roughly six times the between-study contribution (Level 3,</w:t>
      </w:r>
      <w:r>
        <w:t xml:space="preserve"> </w:t>
      </w:r>
      <w:r>
        <w:rPr>
          <w:iCs/>
          <w:i/>
        </w:rPr>
        <w:t xml:space="preserve">I</w:t>
      </w:r>
      <w:r>
        <w:t xml:space="preserve">²_(3) = 8.9%). Substantively, this indicates that most unexplained heterogeneity arises from analytic choices</w:t>
      </w:r>
      <w:r>
        <w:t xml:space="preserve"> </w:t>
      </w:r>
      <w:r>
        <w:rPr>
          <w:iCs/>
          <w:i/>
        </w:rPr>
        <w:t xml:space="preserve">within</w:t>
      </w:r>
      <w:r>
        <w:t xml:space="preserve"> </w:t>
      </w:r>
      <w:r>
        <w:t xml:space="preserve">primary studies — DOI operationalization, performance metric, model specification, and sub-sample — rather than from stable cross-study contextual differences. Total</w:t>
      </w:r>
      <w:r>
        <w:t xml:space="preserve"> </w:t>
      </w:r>
      <w:r>
        <w:rPr>
          <w:iCs/>
          <w:i/>
        </w:rPr>
        <w:t xml:space="preserve">I</w:t>
      </w:r>
      <w:r>
        <w:t xml:space="preserve">² = 65.5%, well above the sampling-error floor, motivates the moderator analyses; however, as §§4.3–4.5 show, the coded country- and time-level moderators leave the bulk of this within-study heterogeneity unresolved.</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9.81 (</w:t>
      </w:r>
      <w:r>
        <w:rPr>
          <w:iCs/>
          <w:i/>
        </w:rPr>
        <w:t xml:space="preserve">df</w:t>
      </w:r>
      <w:r>
        <w:t xml:space="preserve"> </w:t>
      </w:r>
      <w:r>
        <w:t xml:space="preserve">= 4,</w:t>
      </w:r>
      <w:r>
        <w:t xml:space="preserve"> </w:t>
      </w:r>
      <w:r>
        <w:rPr>
          <w:iCs/>
          <w:i/>
        </w:rPr>
        <w:t xml:space="preserve">p</w:t>
      </w:r>
      <w:r>
        <w:t xml:space="preserve"> </w:t>
      </w:r>
      <w:r>
        <w:t xml:space="preserve">= .044).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Exploratory Propositions E1a (Advanced largest) and E1b (Frontier smallest) are</w:t>
      </w:r>
      <w:r>
        <w:t xml:space="preserve"> </w:t>
      </w:r>
      <w:r>
        <w:rPr>
          <w:bCs/>
          <w:b/>
        </w:rPr>
        <w:t xml:space="preserve">not</w:t>
      </w:r>
      <w:r>
        <w:t xml:space="preserve"> </w:t>
      </w:r>
      <w:r>
        <w:t xml:space="preserve">confirmed: the significant</w:t>
      </w:r>
      <w:r>
        <w:t xml:space="preserve"> </w:t>
      </w:r>
      <w:r>
        <w:rPr>
          <w:iCs/>
          <w:i/>
        </w:rPr>
        <w:t xml:space="preserve">Q</w:t>
      </w:r>
      <w:r>
        <w:t xml:space="preserve">_M is driven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280 / K = 330;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158</w:t>
            </w:r>
          </w:p>
        </w:tc>
        <w:tc>
          <w:tcPr/>
          <w:p>
            <w:pPr>
              <w:pStyle w:val="Compact"/>
              <w:jc w:val="left"/>
            </w:pPr>
            <w:r>
              <w:t xml:space="preserve">0.080</w:t>
            </w:r>
          </w:p>
        </w:tc>
        <w:tc>
          <w:tcPr/>
          <w:p>
            <w:pPr>
              <w:pStyle w:val="Compact"/>
              <w:jc w:val="left"/>
            </w:pPr>
            <w:r>
              <w:t xml:space="preserve">[0.060,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32</w:t>
            </w:r>
          </w:p>
        </w:tc>
        <w:tc>
          <w:tcPr/>
          <w:p>
            <w:pPr>
              <w:pStyle w:val="Compact"/>
              <w:jc w:val="left"/>
            </w:pPr>
            <w:r>
              <w:t xml:space="preserve">0.065</w:t>
            </w:r>
          </w:p>
        </w:tc>
        <w:tc>
          <w:tcPr/>
          <w:p>
            <w:pPr>
              <w:pStyle w:val="Compact"/>
              <w:jc w:val="left"/>
            </w:pPr>
            <w:r>
              <w:t xml:space="preserve">[0.024, 0.107]</w:t>
            </w:r>
          </w:p>
        </w:tc>
        <w:tc>
          <w:tcPr/>
          <w:p>
            <w:pPr>
              <w:pStyle w:val="Compact"/>
              <w:jc w:val="left"/>
            </w:pPr>
            <w:r>
              <w:t xml:space="preserve">.002</w:t>
            </w:r>
          </w:p>
        </w:tc>
      </w:tr>
      <w:tr>
        <w:tc>
          <w:tcPr/>
          <w:p>
            <w:pPr>
              <w:pStyle w:val="Compact"/>
              <w:jc w:val="left"/>
            </w:pPr>
            <w:r>
              <w:t xml:space="preserve">III — Emerging (VN, IN, ID, PH…)</w:t>
            </w:r>
          </w:p>
        </w:tc>
        <w:tc>
          <w:tcPr/>
          <w:p>
            <w:pPr>
              <w:pStyle w:val="Compact"/>
              <w:jc w:val="left"/>
            </w:pPr>
            <w:r>
              <w:t xml:space="preserve">95</w:t>
            </w:r>
          </w:p>
        </w:tc>
        <w:tc>
          <w:tcPr/>
          <w:p>
            <w:pPr>
              <w:pStyle w:val="Compact"/>
              <w:jc w:val="left"/>
            </w:pPr>
            <w:r>
              <w:t xml:space="preserve">0.074</w:t>
            </w:r>
          </w:p>
        </w:tc>
        <w:tc>
          <w:tcPr/>
          <w:p>
            <w:pPr>
              <w:pStyle w:val="Compact"/>
              <w:jc w:val="left"/>
            </w:pPr>
            <w:r>
              <w:t xml:space="preserve">[0.049, 0.098]</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4</w:t>
            </w:r>
          </w:p>
        </w:tc>
        <w:tc>
          <w:tcPr/>
          <w:p>
            <w:pPr>
              <w:pStyle w:val="Compact"/>
              <w:jc w:val="left"/>
            </w:pPr>
            <w:r>
              <w:t xml:space="preserve">0.249</w:t>
            </w:r>
          </w:p>
        </w:tc>
        <w:tc>
          <w:tcPr/>
          <w:p>
            <w:pPr>
              <w:pStyle w:val="Compact"/>
              <w:jc w:val="left"/>
            </w:pPr>
            <w:r>
              <w:t xml:space="preserve">[0.133, 0.359]</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41</w:t>
            </w:r>
          </w:p>
        </w:tc>
        <w:tc>
          <w:tcPr/>
          <w:p>
            <w:pPr>
              <w:pStyle w:val="Compact"/>
              <w:jc w:val="left"/>
            </w:pPr>
            <w:r>
              <w:t xml:space="preserve">0.057</w:t>
            </w:r>
          </w:p>
        </w:tc>
        <w:tc>
          <w:tcPr/>
          <w:p>
            <w:pPr>
              <w:pStyle w:val="Compact"/>
              <w:jc w:val="left"/>
            </w:pPr>
            <w:r>
              <w:t xml:space="preserve">[0.020, 0.093]</w:t>
            </w:r>
          </w:p>
        </w:tc>
        <w:tc>
          <w:tcPr/>
          <w:p>
            <w:pPr>
              <w:pStyle w:val="Compact"/>
              <w:jc w:val="left"/>
            </w:pPr>
            <w:r>
              <w:t xml:space="preserve">.002</w:t>
            </w:r>
          </w:p>
        </w:tc>
      </w:tr>
    </w:tbl>
    <w:p>
      <w:pPr>
        <w:pStyle w:val="BodyText"/>
      </w:pPr>
      <w:r>
        <w:drawing>
          <wp:inline>
            <wp:extent cx="5334000" cy="3180366"/>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334000" cy="3180366"/>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0.080,</w:t>
      </w:r>
      <w:r>
        <w:t xml:space="preserve"> </w:t>
      </w:r>
      <w:r>
        <w:rPr>
          <w:iCs/>
          <w:i/>
        </w:rPr>
        <w:t xml:space="preserve">K</w:t>
      </w:r>
      <w:r>
        <w:t xml:space="preserve"> </w:t>
      </w:r>
      <w:r>
        <w:t xml:space="preserve">= 158), Emerging (</w:t>
      </w:r>
      <w:r>
        <w:rPr>
          <w:iCs/>
          <w:i/>
        </w:rPr>
        <w:t xml:space="preserve">r̄</w:t>
      </w:r>
      <w:r>
        <w:t xml:space="preserve"> </w:t>
      </w:r>
      <w:r>
        <w:t xml:space="preserve">= 0.074,</w:t>
      </w:r>
      <w:r>
        <w:t xml:space="preserve"> </w:t>
      </w:r>
      <w:r>
        <w:rPr>
          <w:iCs/>
          <w:i/>
        </w:rPr>
        <w:t xml:space="preserve">K</w:t>
      </w:r>
      <w:r>
        <w:t xml:space="preserve"> </w:t>
      </w:r>
      <w:r>
        <w:t xml:space="preserve">= 95), and Upper-middle (</w:t>
      </w:r>
      <w:r>
        <w:rPr>
          <w:iCs/>
          <w:i/>
        </w:rPr>
        <w:t xml:space="preserve">r̄</w:t>
      </w:r>
      <w:r>
        <w:t xml:space="preserve"> </w:t>
      </w:r>
      <w:r>
        <w:t xml:space="preserve">= 0.065,</w:t>
      </w:r>
      <w:r>
        <w:t xml:space="preserve"> </w:t>
      </w:r>
      <w:r>
        <w:rPr>
          <w:iCs/>
          <w:i/>
        </w:rPr>
        <w:t xml:space="preserve">K</w:t>
      </w:r>
      <w:r>
        <w:t xml:space="preserve"> </w:t>
      </w:r>
      <w:r>
        <w:t xml:space="preserve">= 32) — providing</w:t>
      </w:r>
      <w:r>
        <w:t xml:space="preserve"> </w:t>
      </w:r>
      <w:r>
        <w:rPr>
          <w:bCs/>
          <w:b/>
        </w:rPr>
        <w:t xml:space="preserve">no</w:t>
      </w:r>
      <w:r>
        <w:t xml:space="preserve"> </w:t>
      </w:r>
      <w:r>
        <w:t xml:space="preserve">support for E1a's predicted advanced-over-emerging ordering. The cross-regime/multi-country pooled studies show the lowest effect (MX,</w:t>
      </w:r>
      <w:r>
        <w:t xml:space="preserve"> </w:t>
      </w:r>
      <w:r>
        <w:rPr>
          <w:iCs/>
          <w:i/>
        </w:rPr>
        <w:t xml:space="preserve">r̄</w:t>
      </w:r>
      <w:r>
        <w:t xml:space="preserve"> </w:t>
      </w:r>
      <w:r>
        <w:t xml:space="preserve">= 0.057,</w:t>
      </w:r>
      <w:r>
        <w:t xml:space="preserve"> </w:t>
      </w:r>
      <w:r>
        <w:rPr>
          <w:iCs/>
          <w:i/>
        </w:rPr>
        <w:t xml:space="preserve">K</w:t>
      </w:r>
      <w:r>
        <w:t xml:space="preserve"> </w:t>
      </w:r>
      <w:r>
        <w:t xml:space="preserve">= 41),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0.249), which is the sole regime whose confidence interval does not overlap the pooled estimate; this cell rests on only</w:t>
      </w:r>
      <w:r>
        <w:t xml:space="preserve"> </w:t>
      </w:r>
      <w:r>
        <w:rPr>
          <w:iCs/>
          <w:i/>
        </w:rPr>
        <w:t xml:space="preserve">K</w:t>
      </w:r>
      <w:r>
        <w:t xml:space="preserve"> </w:t>
      </w:r>
      <w:r>
        <w:t xml:space="preserve">= 4 effects and is therefore statistically fragile and contrary to E1b's predicted Frontier floor. H1 (between-regime heterogeneity) is supported, but the substantive pattern is a small-sample Frontier spike rather than an institutional-quality gradient, and the regime-specific propositions require larger</w:t>
      </w:r>
      <w:r>
        <w:t xml:space="preserve"> </w:t>
      </w:r>
      <w:r>
        <w:rPr>
          <w:iCs/>
          <w:i/>
        </w:rPr>
        <w:t xml:space="preserve">K</w:t>
      </w:r>
      <w:r>
        <w:t xml:space="preserve"> </w:t>
      </w:r>
      <w:r>
        <w:t xml:space="preserve">per cell before they can be properly adjudicated.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0.19 (</w:t>
      </w:r>
      <w:r>
        <w:rPr>
          <w:iCs/>
          <w:i/>
        </w:rPr>
        <w:t xml:space="preserve">df</w:t>
      </w:r>
      <w:r>
        <w:t xml:space="preserve"> </w:t>
      </w:r>
      <w:r>
        <w:t xml:space="preserve">= 2,</w:t>
      </w:r>
      <w:r>
        <w:t xml:space="preserve"> </w:t>
      </w:r>
      <w:r>
        <w:rPr>
          <w:iCs/>
          <w:i/>
        </w:rPr>
        <w:t xml:space="preserve">p</w:t>
      </w:r>
      <w:r>
        <w:t xml:space="preserve"> </w:t>
      </w:r>
      <w:r>
        <w:t xml:space="preserve">= .911). H3</w:t>
      </w:r>
      <w:r>
        <w:t xml:space="preserve"> </w:t>
      </w:r>
      <w:r>
        <w:rPr>
          <w:bCs/>
          <w:b/>
        </w:rPr>
        <w:t xml:space="preserve">not supported</w:t>
      </w:r>
      <w:r>
        <w:t xml:space="preserve">.</w:t>
      </w:r>
    </w:p>
    <w:p>
      <w:pPr>
        <w:pStyle w:val="BodyText"/>
      </w:pPr>
      <w:r>
        <w:rPr>
          <w:bCs/>
          <w:b/>
        </w:rPr>
        <w:t xml:space="preserve">Table 4.3 — cDAI subgroup</w:t>
      </w:r>
      <w:r>
        <w:t xml:space="preserve"> </w:t>
      </w:r>
      <w:r>
        <w:rPr>
          <w:iCs/>
          <w:i/>
        </w:rPr>
        <w:t xml:space="preserve">(actual MARA output; K = 309 cDAI-coded effects)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Low</w:t>
            </w:r>
          </w:p>
        </w:tc>
        <w:tc>
          <w:tcPr/>
          <w:p>
            <w:pPr>
              <w:pStyle w:val="Compact"/>
              <w:jc w:val="left"/>
            </w:pPr>
            <w:r>
              <w:t xml:space="preserve">175</w:t>
            </w:r>
          </w:p>
        </w:tc>
        <w:tc>
          <w:tcPr/>
          <w:p>
            <w:pPr>
              <w:pStyle w:val="Compact"/>
              <w:jc w:val="left"/>
            </w:pPr>
            <w:r>
              <w:t xml:space="preserve">0.076</w:t>
            </w:r>
          </w:p>
        </w:tc>
        <w:tc>
          <w:tcPr/>
          <w:p>
            <w:pPr>
              <w:pStyle w:val="Compact"/>
              <w:jc w:val="left"/>
            </w:pPr>
            <w:r>
              <w:t xml:space="preserve">[0.057, 0.095]</w:t>
            </w:r>
          </w:p>
        </w:tc>
        <w:tc>
          <w:tcPr/>
          <w:p>
            <w:pPr>
              <w:pStyle w:val="Compact"/>
              <w:jc w:val="left"/>
            </w:pPr>
            <w:r>
              <w:t xml:space="preserve">&lt; .001</w:t>
            </w:r>
          </w:p>
        </w:tc>
      </w:tr>
      <w:tr>
        <w:tc>
          <w:tcPr/>
          <w:p>
            <w:pPr>
              <w:pStyle w:val="Compact"/>
              <w:jc w:val="left"/>
            </w:pPr>
            <w:r>
              <w:t xml:space="preserve">Medium</w:t>
            </w:r>
          </w:p>
        </w:tc>
        <w:tc>
          <w:tcPr/>
          <w:p>
            <w:pPr>
              <w:pStyle w:val="Compact"/>
              <w:jc w:val="left"/>
            </w:pPr>
            <w:r>
              <w:t xml:space="preserve">82</w:t>
            </w:r>
          </w:p>
        </w:tc>
        <w:tc>
          <w:tcPr/>
          <w:p>
            <w:pPr>
              <w:pStyle w:val="Compact"/>
              <w:jc w:val="left"/>
            </w:pPr>
            <w:r>
              <w:t xml:space="preserve">0.072</w:t>
            </w:r>
          </w:p>
        </w:tc>
        <w:tc>
          <w:tcPr/>
          <w:p>
            <w:pPr>
              <w:pStyle w:val="Compact"/>
              <w:jc w:val="left"/>
            </w:pPr>
            <w:r>
              <w:t xml:space="preserve">[0.045, 0.099]</w:t>
            </w:r>
          </w:p>
        </w:tc>
        <w:tc>
          <w:tcPr/>
          <w:p>
            <w:pPr>
              <w:pStyle w:val="Compact"/>
              <w:jc w:val="left"/>
            </w:pPr>
            <w:r>
              <w:t xml:space="preserve">&lt; .001</w:t>
            </w:r>
          </w:p>
        </w:tc>
      </w:tr>
      <w:tr>
        <w:tc>
          <w:tcPr/>
          <w:p>
            <w:pPr>
              <w:pStyle w:val="Compact"/>
              <w:jc w:val="left"/>
            </w:pPr>
            <w:r>
              <w:t xml:space="preserve">High</w:t>
            </w:r>
          </w:p>
        </w:tc>
        <w:tc>
          <w:tcPr/>
          <w:p>
            <w:pPr>
              <w:pStyle w:val="Compact"/>
              <w:jc w:val="left"/>
            </w:pPr>
            <w:r>
              <w:t xml:space="preserve">52</w:t>
            </w:r>
          </w:p>
        </w:tc>
        <w:tc>
          <w:tcPr/>
          <w:p>
            <w:pPr>
              <w:pStyle w:val="Compact"/>
              <w:jc w:val="left"/>
            </w:pPr>
            <w:r>
              <w:t xml:space="preserve">0.082</w:t>
            </w:r>
          </w:p>
        </w:tc>
        <w:tc>
          <w:tcPr/>
          <w:p>
            <w:pPr>
              <w:pStyle w:val="Compact"/>
              <w:jc w:val="left"/>
            </w:pPr>
            <w:r>
              <w:t xml:space="preserve">[0.048, 0.115]</w:t>
            </w:r>
          </w:p>
        </w:tc>
        <w:tc>
          <w:tcPr/>
          <w:p>
            <w:pPr>
              <w:pStyle w:val="Compact"/>
              <w:jc w:val="left"/>
            </w:pPr>
            <w:r>
              <w:t xml:space="preserve">&lt; .001</w:t>
            </w:r>
          </w:p>
        </w:tc>
      </w:tr>
    </w:tbl>
    <w:p>
      <w:pPr>
        <w:pStyle w:val="BodyText"/>
      </w:pPr>
      <w:r>
        <w:t xml:space="preserve">The three cDAI subgroup means are all significantly positive (</w:t>
      </w:r>
      <w:r>
        <w:rPr>
          <w:iCs/>
          <w:i/>
        </w:rPr>
        <w:t xml:space="preserve">p</w:t>
      </w:r>
      <w:r>
        <w:t xml:space="preserve"> </w:t>
      </w:r>
      <w:r>
        <w:t xml:space="preserve">&lt; .001) but virtually identical and statistically indistinguishable (</w:t>
      </w:r>
      <w:r>
        <w:rPr>
          <w:iCs/>
          <w:i/>
        </w:rPr>
        <w:t xml:space="preserve">Q</w:t>
      </w:r>
      <w:r>
        <w:t xml:space="preserve">_M = 0.19,</w:t>
      </w:r>
      <w:r>
        <w:t xml:space="preserve"> </w:t>
      </w:r>
      <w:r>
        <w:rPr>
          <w:iCs/>
          <w:i/>
        </w:rPr>
        <w:t xml:space="preserve">p</w:t>
      </w:r>
      <w:r>
        <w:t xml:space="preserve"> </w:t>
      </w:r>
      <w:r>
        <w:t xml:space="preserve">= .911). The ordering (Low ≈ Medium ≈ High, range 0.072–0.082) shows no positive gradient, and the contrasts are far from significance. H3 is not supported: country-level digital adoption (cDAI, measured via the World Bank Digital Adoption Index / ITU Digital Development Index) does not amplify the pooled I→P effect in this sample. Because the main moderation is null, the cDAI × DPL interaction central to the Contextual Digital-Capability Mechanism is not estimated. The 21 multi-country effects without an attributable country index are excluded list-wise from this test (cDAI-coded</w:t>
      </w:r>
      <w:r>
        <w:t xml:space="preserve"> </w:t>
      </w:r>
      <w:r>
        <w:rPr>
          <w:iCs/>
          <w:i/>
        </w:rPr>
        <w:t xml:space="preserve">K</w:t>
      </w:r>
      <w:r>
        <w:t xml:space="preserve"> </w:t>
      </w:r>
      <w:r>
        <w:t xml:space="preserve">= 309); finer resolution across the cDAI spectrum is required before the amplifier hypothesis can be properly tested.</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0.80 (</w:t>
      </w:r>
      <w:r>
        <w:rPr>
          <w:iCs/>
          <w:i/>
        </w:rPr>
        <w:t xml:space="preserve">df</w:t>
      </w:r>
      <w:r>
        <w:t xml:space="preserve"> </w:t>
      </w:r>
      <w:r>
        <w:t xml:space="preserve">= 2,</w:t>
      </w:r>
      <w:r>
        <w:t xml:space="preserve"> </w:t>
      </w:r>
      <w:r>
        <w:rPr>
          <w:iCs/>
          <w:i/>
        </w:rPr>
        <w:t xml:space="preserve">p</w:t>
      </w:r>
      <w:r>
        <w:t xml:space="preserve"> </w:t>
      </w:r>
      <w:r>
        <w:t xml:space="preserve">= .671).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104</w:t>
            </w:r>
          </w:p>
        </w:tc>
        <w:tc>
          <w:tcPr/>
          <w:p>
            <w:pPr>
              <w:pStyle w:val="Compact"/>
              <w:jc w:val="left"/>
            </w:pPr>
            <w:r>
              <w:t xml:space="preserve">0.083</w:t>
            </w:r>
          </w:p>
        </w:tc>
        <w:tc>
          <w:tcPr/>
          <w:p>
            <w:pPr>
              <w:pStyle w:val="Compact"/>
              <w:jc w:val="left"/>
            </w:pPr>
            <w:r>
              <w:t xml:space="preserve">[0.057, 0.108]</w:t>
            </w:r>
          </w:p>
        </w:tc>
        <w:tc>
          <w:tcPr/>
          <w:p>
            <w:pPr>
              <w:pStyle w:val="Compact"/>
              <w:jc w:val="left"/>
            </w:pPr>
            <w:r>
              <w:t xml:space="preserve">&lt; .001</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128</w:t>
            </w:r>
          </w:p>
        </w:tc>
        <w:tc>
          <w:tcPr/>
          <w:p>
            <w:pPr>
              <w:pStyle w:val="Compact"/>
              <w:jc w:val="left"/>
            </w:pPr>
            <w:r>
              <w:t xml:space="preserve">0.068</w:t>
            </w:r>
          </w:p>
        </w:tc>
        <w:tc>
          <w:tcPr/>
          <w:p>
            <w:pPr>
              <w:pStyle w:val="Compact"/>
              <w:jc w:val="left"/>
            </w:pPr>
            <w:r>
              <w:t xml:space="preserve">[0.047, 0.089]</w:t>
            </w:r>
          </w:p>
        </w:tc>
        <w:tc>
          <w:tcPr/>
          <w:p>
            <w:pPr>
              <w:pStyle w:val="Compact"/>
              <w:jc w:val="left"/>
            </w:pPr>
            <w:r>
              <w:t xml:space="preserve">&lt; .001</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98</w:t>
            </w:r>
          </w:p>
        </w:tc>
        <w:tc>
          <w:tcPr/>
          <w:p>
            <w:pPr>
              <w:pStyle w:val="Compact"/>
              <w:jc w:val="left"/>
            </w:pPr>
            <w:r>
              <w:t xml:space="preserve">0.078</w:t>
            </w:r>
          </w:p>
        </w:tc>
        <w:tc>
          <w:tcPr/>
          <w:p>
            <w:pPr>
              <w:pStyle w:val="Compact"/>
              <w:jc w:val="left"/>
            </w:pPr>
            <w:r>
              <w:t xml:space="preserve">[0.054, 0.102]</w:t>
            </w:r>
          </w:p>
        </w:tc>
        <w:tc>
          <w:tcPr/>
          <w:p>
            <w:pPr>
              <w:pStyle w:val="Compact"/>
              <w:jc w:val="left"/>
            </w:pPr>
            <w:r>
              <w:t xml:space="preserve">&lt; .001</w:t>
            </w:r>
          </w:p>
        </w:tc>
      </w:tr>
    </w:tbl>
    <w:p>
      <w:pPr>
        <w:pStyle w:val="BodyText"/>
      </w:pPr>
      <w:r>
        <w:t xml:space="preserve">All three phase means are positive and significant but mutually indistinguishable (</w:t>
      </w:r>
      <w:r>
        <w:rPr>
          <w:iCs/>
          <w:i/>
        </w:rPr>
        <w:t xml:space="preserve">Q</w:t>
      </w:r>
      <w:r>
        <w:t xml:space="preserve">_M = 0.80,</w:t>
      </w:r>
      <w:r>
        <w:t xml:space="preserve"> </w:t>
      </w:r>
      <w:r>
        <w:rPr>
          <w:iCs/>
          <w:i/>
        </w:rPr>
        <w:t xml:space="preserve">p</w:t>
      </w:r>
      <w:r>
        <w:t xml:space="preserve"> </w:t>
      </w:r>
      <w:r>
        <w:t xml:space="preserve">= .671); the observed range (0.068–0.083) is trivial relative to the confidence intervals. The ordering (PRE &gt; FOL &gt; SPN) is non-monotone and opposite to H2's predicted FOL &gt; SPN &gt; PRE escalation, but the between-phase differences are negligible and should not be interpreted substantively. The null DPL result may reflect insufficient power to detect small temporal trends, confounding between DPL phase and ICRV composition (pre-2009 studies concentrated in advanced economies), or that the Digital Paradox Lifecycle inflection does not manifest at meta-analytic resolution. H2 is not supported.</w:t>
      </w:r>
    </w:p>
    <w:p>
      <w:pPr>
        <w:pStyle w:val="BodyText"/>
      </w:pPr>
      <w:r>
        <w:drawing>
          <wp:inline>
            <wp:extent cx="5334000" cy="4083020"/>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334000" cy="408302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 receives</w:t>
      </w:r>
      <w:r>
        <w:t xml:space="preserve"> </w:t>
      </w:r>
      <w:r>
        <w:rPr>
          <w:bCs/>
          <w:b/>
        </w:rPr>
        <w:t xml:space="preserve">mixed (partial) support</w:t>
      </w:r>
      <w:r>
        <w:t xml:space="preserve">: rank-based and imputation diagnostics detect funnel asymmetry, but the regression-based test is only marginal, and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0.414 (</w:t>
      </w:r>
      <w:r>
        <w:rPr>
          <w:iCs/>
          <w:i/>
        </w:rPr>
        <w:t xml:space="preserve">SE</w:t>
      </w:r>
      <w:r>
        <w:t xml:space="preserve"> </w:t>
      </w:r>
      <w:r>
        <w:t xml:space="preserve">= 0.228,</w:t>
      </w:r>
      <w:r>
        <w:t xml:space="preserve"> </w:t>
      </w:r>
      <w:r>
        <w:rPr>
          <w:iCs/>
          <w:i/>
        </w:rPr>
        <w:t xml:space="preserve">p</w:t>
      </w:r>
      <w:r>
        <w:t xml:space="preserve"> </w:t>
      </w:r>
      <w:r>
        <w:t xml:space="preserve">= .069) — marginal and</w:t>
      </w:r>
      <w:r>
        <w:t xml:space="preserve"> </w:t>
      </w:r>
      <w:r>
        <w:rPr>
          <w:bCs/>
          <w:b/>
        </w:rPr>
        <w:t xml:space="preserve">not</w:t>
      </w:r>
      <w:r>
        <w:t xml:space="preserve"> </w:t>
      </w:r>
      <w:r>
        <w:t xml:space="preserve">significant at α = .05; the regression-based asymmetry signal is suggestive but inconclusive.</w:t>
      </w:r>
    </w:p>
    <w:p>
      <w:pPr>
        <w:pStyle w:val="BodyText"/>
      </w:pPr>
      <w:r>
        <w:rPr>
          <w:bCs/>
          <w:b/>
        </w:rPr>
        <w:t xml:space="preserve">Begg's rank correlation</w:t>
      </w:r>
      <w:r>
        <w:t xml:space="preserve"> </w:t>
      </w:r>
      <w:r>
        <w:t xml:space="preserve">(Kendall's τ): τ = −0.116,</w:t>
      </w:r>
      <w:r>
        <w:t xml:space="preserve"> </w:t>
      </w:r>
      <w:r>
        <w:rPr>
          <w:iCs/>
          <w:i/>
        </w:rPr>
        <w:t xml:space="preserve">p</w:t>
      </w:r>
      <w:r>
        <w:t xml:space="preserve"> </w:t>
      </w:r>
      <w:r>
        <w:t xml:space="preserve">= .002 — significant funnel asymmetry; studies with larger standard errors (smaller</w:t>
      </w:r>
      <w:r>
        <w:t xml:space="preserve"> </w:t>
      </w:r>
      <w:r>
        <w:rPr>
          <w:iCs/>
          <w:i/>
        </w:rPr>
        <w:t xml:space="preserve">n</w:t>
      </w:r>
      <w:r>
        <w:t xml:space="preserve">) report systematically lower effect sizes, consistent with bias against null or negative findings.</w:t>
      </w:r>
    </w:p>
    <w:p>
      <w:pPr>
        <w:pStyle w:val="BodyText"/>
      </w:pPr>
      <w:r>
        <w:rPr>
          <w:bCs/>
          <w:b/>
        </w:rPr>
        <w:t xml:space="preserve">Trim-and-fill</w:t>
      </w:r>
      <w:r>
        <w:t xml:space="preserve">: imputes</w:t>
      </w:r>
      <w:r>
        <w:t xml:space="preserve"> </w:t>
      </w:r>
      <w:r>
        <w:rPr>
          <w:iCs/>
          <w:i/>
        </w:rPr>
        <w:t xml:space="preserve">k</w:t>
      </w:r>
      <w:r>
        <w:t xml:space="preserve">₀ = 58 missing studies (left side); adjusted pooled</w:t>
      </w:r>
      <w:r>
        <w:t xml:space="preserve"> </w:t>
      </w:r>
      <w:r>
        <w:rPr>
          <w:iCs/>
          <w:i/>
        </w:rPr>
        <w:t xml:space="preserve">r̄</w:t>
      </w:r>
      <w:r>
        <w:t xml:space="preserve"> </w:t>
      </w:r>
      <w:r>
        <w:t xml:space="preserve">= 0.040 (95% CI [0.029, 0.051]) — a conservative lower bound. The effect remains positive and significant but is roughly halved relative to the raw estimate (0.075 → 0.040).</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81,035, far exceeding the criterion of 5</w:t>
      </w:r>
      <w:r>
        <w:rPr>
          <w:iCs/>
          <w:i/>
        </w:rPr>
        <w:t xml:space="preserve">k</w:t>
      </w:r>
      <w:r>
        <w:t xml:space="preserve"> </w:t>
      </w:r>
      <w:r>
        <w:t xml:space="preserve">+ 10 = 1,410; the pooled effect's statistical significance is not attributable to a "file-drawer" of unpublished nulls.</w:t>
      </w:r>
    </w:p>
    <w:p>
      <w:pPr>
        <w:pStyle w:val="BodyText"/>
      </w:pPr>
      <w:r>
        <w:t xml:space="preserve">The diagnostics diverge: Begg's test and trim-and-fill indicate left-side asymmetry, whereas Egger's regression is only marginal (</w:t>
      </w:r>
      <w:r>
        <w:rPr>
          <w:iCs/>
          <w:i/>
        </w:rPr>
        <w:t xml:space="preserve">p</w:t>
      </w:r>
      <w:r>
        <w:t xml:space="preserve"> </w:t>
      </w:r>
      <w:r>
        <w:t xml:space="preserve">= .069). Read together with the substantial unexplained heterogeneity (</w:t>
      </w:r>
      <w:r>
        <w:rPr>
          <w:iCs/>
          <w:i/>
        </w:rPr>
        <w:t xml:space="preserve">I</w:t>
      </w:r>
      <w:r>
        <w:t xml:space="preserve">² = 65.5%) and the largely null moderator tests (§§4.3–4.5), the evidence suggests the published average I→P effect is</w:t>
      </w:r>
      <w:r>
        <w:t xml:space="preserve"> </w:t>
      </w:r>
      <w:r>
        <w:rPr>
          <w:bCs/>
          <w:b/>
        </w:rPr>
        <w:t xml:space="preserve">modestly inflated</w:t>
      </w:r>
      <w:r>
        <w:t xml:space="preserve"> </w:t>
      </w:r>
      <w:r>
        <w:t xml:space="preserve">rather than spurious. The trim-and-fill–adjusted estimate (</w:t>
      </w:r>
      <w:r>
        <w:rPr>
          <w:iCs/>
          <w:i/>
        </w:rPr>
        <w:t xml:space="preserve">r̄</w:t>
      </w:r>
      <w:r>
        <w:t xml:space="preserve"> </w:t>
      </w:r>
      <w:r>
        <w:t xml:space="preserve">≈ 0.040) is best read as a conservative lower bound on a small but genuinely positive population effect.</w:t>
      </w:r>
    </w:p>
    <w:p>
      <w:pPr>
        <w:pStyle w:val="BodyText"/>
      </w:pPr>
      <w:r>
        <w:drawing>
          <wp:inline>
            <wp:extent cx="5334000" cy="4266240"/>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334000" cy="4266240"/>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₀ = 58). Left-side asymmetry is visible; the adjusted pooled effect is</w:t>
      </w:r>
      <w:r>
        <w:t xml:space="preserve"> </w:t>
      </w:r>
      <w:r>
        <w:rPr>
          <w:iCs/>
          <w:i/>
        </w:rPr>
        <w:t xml:space="preserve">r</w:t>
      </w:r>
      <w:r>
        <w:t xml:space="preserve"> </w:t>
      </w:r>
      <w:r>
        <w:t xml:space="preserve">= 0.040.</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330</w:t>
            </w:r>
          </w:p>
        </w:tc>
        <w:tc>
          <w:tcPr/>
          <w:p>
            <w:pPr>
              <w:pStyle w:val="Compact"/>
              <w:jc w:val="left"/>
            </w:pPr>
            <w:r>
              <w:t xml:space="preserve">0.075</w:t>
            </w:r>
          </w:p>
        </w:tc>
        <w:tc>
          <w:tcPr/>
          <w:p>
            <w:pPr>
              <w:pStyle w:val="Compact"/>
              <w:jc w:val="left"/>
            </w:pPr>
            <w:r>
              <w:t xml:space="preserve">[0.062, 0.089]</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273</w:t>
            </w:r>
          </w:p>
        </w:tc>
        <w:tc>
          <w:tcPr/>
          <w:p>
            <w:pPr>
              <w:pStyle w:val="Compact"/>
              <w:jc w:val="left"/>
            </w:pPr>
            <w:r>
              <w:t xml:space="preserve">0.077</w:t>
            </w:r>
          </w:p>
        </w:tc>
        <w:tc>
          <w:tcPr/>
          <w:p>
            <w:pPr>
              <w:pStyle w:val="Compact"/>
              <w:jc w:val="left"/>
            </w:pPr>
            <w:r>
              <w:t xml:space="preserve">[0.061,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328</w:t>
            </w:r>
          </w:p>
        </w:tc>
        <w:tc>
          <w:tcPr/>
          <w:p>
            <w:pPr>
              <w:pStyle w:val="Compact"/>
              <w:jc w:val="left"/>
            </w:pPr>
            <w:r>
              <w:t xml:space="preserve">0.075</w:t>
            </w:r>
          </w:p>
        </w:tc>
        <w:tc>
          <w:tcPr/>
          <w:p>
            <w:pPr>
              <w:pStyle w:val="Compact"/>
              <w:jc w:val="left"/>
            </w:pPr>
            <w:r>
              <w:t xml:space="preserve">[0.062,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261</w:t>
            </w:r>
          </w:p>
        </w:tc>
        <w:tc>
          <w:tcPr/>
          <w:p>
            <w:pPr>
              <w:pStyle w:val="Compact"/>
              <w:jc w:val="left"/>
            </w:pPr>
            <w:r>
              <w:t xml:space="preserve">0.072</w:t>
            </w:r>
          </w:p>
        </w:tc>
        <w:tc>
          <w:tcPr/>
          <w:p>
            <w:pPr>
              <w:pStyle w:val="Compact"/>
              <w:jc w:val="left"/>
            </w:pPr>
            <w:r>
              <w:t xml:space="preserve">[0.056, 0.088]</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141</w:t>
            </w:r>
          </w:p>
        </w:tc>
        <w:tc>
          <w:tcPr/>
          <w:p>
            <w:pPr>
              <w:pStyle w:val="Compact"/>
              <w:jc w:val="left"/>
            </w:pPr>
            <w:r>
              <w:t xml:space="preserve">0.061</w:t>
            </w:r>
          </w:p>
        </w:tc>
        <w:tc>
          <w:tcPr/>
          <w:p>
            <w:pPr>
              <w:pStyle w:val="Compact"/>
              <w:jc w:val="left"/>
            </w:pPr>
            <w:r>
              <w:t xml:space="preserve">[0.043,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330</w:t>
            </w:r>
          </w:p>
        </w:tc>
        <w:tc>
          <w:tcPr/>
          <w:p>
            <w:pPr>
              <w:pStyle w:val="Compact"/>
              <w:jc w:val="left"/>
            </w:pPr>
            <w:r>
              <w:t xml:space="preserve">0.075</w:t>
            </w:r>
          </w:p>
        </w:tc>
        <w:tc>
          <w:tcPr/>
          <w:p>
            <w:pPr>
              <w:pStyle w:val="Compact"/>
              <w:jc w:val="left"/>
            </w:pPr>
            <w:r>
              <w:t xml:space="preserve">[0.063,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330</w:t>
            </w:r>
          </w:p>
        </w:tc>
        <w:tc>
          <w:tcPr/>
          <w:p>
            <w:pPr>
              <w:pStyle w:val="Compact"/>
              <w:jc w:val="left"/>
            </w:pPr>
            <w:r>
              <w:t xml:space="preserve">[0.072, 0.076]</w:t>
            </w:r>
          </w:p>
        </w:tc>
        <w:tc>
          <w:tcPr/>
          <w:p>
            <w:pPr>
              <w:pStyle w:val="Compact"/>
              <w:jc w:val="left"/>
            </w:pPr>
            <w:r>
              <w:t xml:space="preserve">—</w:t>
            </w:r>
          </w:p>
        </w:tc>
        <w:tc>
          <w:tcPr/>
          <w:p>
            <w:pPr>
              <w:pStyle w:val="Compact"/>
              <w:jc w:val="left"/>
            </w:pPr>
            <w:r>
              <w:t xml:space="preserve">0/330 change direction</w:t>
            </w:r>
          </w:p>
        </w:tc>
      </w:tr>
    </w:tbl>
    <w:p>
      <w:pPr>
        <w:pStyle w:val="BodyText"/>
      </w:pPr>
      <w:r>
        <w:t xml:space="preserve">The baseline</w:t>
      </w:r>
      <w:r>
        <w:t xml:space="preserve"> </w:t>
      </w:r>
      <w:r>
        <w:rPr>
          <w:iCs/>
          <w:i/>
        </w:rPr>
        <w:t xml:space="preserve">r̄</w:t>
      </w:r>
      <w:r>
        <w:t xml:space="preserve"> </w:t>
      </w:r>
      <w:r>
        <w:t xml:space="preserve">= 0.075 is robust across all sensitivity checks. The leave-one-out range [0.072, 0.076] confirms that no single study drives the result (0 of 330 iterations change the sign or significance). The DL two-level estimator returns an identical point estimate (0.075), confirming that three-level nesting adds precision without biasing the pooled effect. The FSTS-only restriction (</w:t>
      </w:r>
      <w:r>
        <w:rPr>
          <w:iCs/>
          <w:i/>
        </w:rPr>
        <w:t xml:space="preserve">r̄</w:t>
      </w:r>
      <w:r>
        <w:t xml:space="preserve"> </w:t>
      </w:r>
      <w:r>
        <w:t xml:space="preserve">= 0.061,</w:t>
      </w:r>
      <w:r>
        <w:t xml:space="preserve"> </w:t>
      </w:r>
      <w:r>
        <w:rPr>
          <w:iCs/>
          <w:i/>
        </w:rPr>
        <w:t xml:space="preserve">K</w:t>
      </w:r>
      <w:r>
        <w:t xml:space="preserve"> </w:t>
      </w:r>
      <w:r>
        <w:t xml:space="preserve">= 141) is the most conservative measurement check and remains positive and significant, indicating that DOI operationalization heterogeneity modestly inflates the pooled effect when broader DOI measures are pooled in. The accounting-performance subset (</w:t>
      </w:r>
      <w:r>
        <w:rPr>
          <w:iCs/>
          <w:i/>
        </w:rPr>
        <w:t xml:space="preserve">r̄</w:t>
      </w:r>
      <w:r>
        <w:t xml:space="preserve"> </w:t>
      </w:r>
      <w:r>
        <w:t xml:space="preserve">= 0.072,</w:t>
      </w:r>
      <w:r>
        <w:t xml:space="preserve"> </w:t>
      </w:r>
      <w:r>
        <w:rPr>
          <w:iCs/>
          <w:i/>
        </w:rPr>
        <w:t xml:space="preserve">K</w:t>
      </w:r>
      <w:r>
        <w:t xml:space="preserve"> </w:t>
      </w:r>
      <w:r>
        <w:t xml:space="preserve">= 261), which dominates the corpus, closely tracks the overall estimate.</w:t>
      </w:r>
    </w:p>
    <w:p>
      <w:pPr>
        <w:pStyle w:val="BodyText"/>
      </w:pPr>
      <w:r>
        <w:drawing>
          <wp:inline>
            <wp:extent cx="5334000" cy="2344725"/>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334000" cy="2344725"/>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0.075,</w:t>
      </w:r>
      <w:r>
        <w:t xml:space="preserve"> </w:t>
      </w:r>
      <w:r>
        <w:rPr>
          <w:iCs/>
          <w:i/>
        </w:rPr>
        <w:t xml:space="preserve">k</w:t>
      </w:r>
      <w:r>
        <w:t xml:space="preserve"> </w:t>
      </w:r>
      <w:r>
        <w:t xml:space="preserve">= 280) is consistent with country-level evidence from across the global study corpus, including the Asia-Pacific primary studies underlying the ICBEF 2025 baseline ([Authors],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(ICRV = I,</w:t>
      </w:r>
      <w:r>
        <w:rPr>
          <w:bCs/>
          <w:b/>
        </w:rPr>
        <w:t xml:space="preserve"> </w:t>
      </w:r>
      <w:r>
        <w:rPr>
          <w:iCs/>
          <w:i/>
          <w:bCs/>
          <w:b/>
        </w:rPr>
        <w:t xml:space="preserve">K</w:t>
      </w:r>
      <w:r>
        <w:rPr>
          <w:bCs/>
          <w:b/>
        </w:rPr>
        <w:t xml:space="preserve"> </w:t>
      </w:r>
      <w:r>
        <w:rPr>
          <w:bCs/>
          <w:b/>
        </w:rPr>
        <w:t xml:space="preserve">= 158;</w:t>
      </w:r>
      <w:r>
        <w:rPr>
          <w:bCs/>
          <w:b/>
        </w:rPr>
        <w:t xml:space="preserve"> </w:t>
      </w:r>
      <w:r>
        <w:rPr>
          <w:iCs/>
          <w:i/>
          <w:bCs/>
          <w:b/>
        </w:rPr>
        <w:t xml:space="preserve">r̄</w:t>
      </w:r>
      <w:r>
        <w:rPr>
          <w:bCs/>
          <w:b/>
        </w:rPr>
        <w:t xml:space="preserve"> </w:t>
      </w:r>
      <w:r>
        <w:rPr>
          <w:bCs/>
          <w:b/>
        </w:rPr>
        <w:t xml:space="preserve">= 0.080):</w:t>
      </w:r>
      <w:r>
        <w:t xml:space="preserve"> </w:t>
      </w:r>
      <w:r>
        <w:t xml:space="preserve">The Advanced-Innovation group records the highest effect among the well-populated regimes, directionally consistent with institutional complementarity theory: strong contract enforcement, IP protection, and low liability of foreignness (Zaheer, 1995) allow firms to sustain productive internationalization without the coordination-cost penalties visible in weaker environments (North, 1990; Peng et al., 2008). The margin over the other single-country regimes is, however, small.</w:t>
      </w:r>
    </w:p>
    <w:p>
      <w:pPr>
        <w:pStyle w:val="BodyText"/>
      </w:pPr>
      <w:r>
        <w:rPr>
          <w:bCs/>
          <w:b/>
        </w:rPr>
        <w:t xml:space="preserve">Emerging and Upper-middle contexts (ICRV = III,</w:t>
      </w:r>
      <w:r>
        <w:rPr>
          <w:bCs/>
          <w:b/>
        </w:rPr>
        <w:t xml:space="preserve"> </w:t>
      </w:r>
      <w:r>
        <w:rPr>
          <w:iCs/>
          <w:i/>
          <w:bCs/>
          <w:b/>
        </w:rPr>
        <w:t xml:space="preserve">K</w:t>
      </w:r>
      <w:r>
        <w:rPr>
          <w:bCs/>
          <w:b/>
        </w:rPr>
        <w:t xml:space="preserve"> </w:t>
      </w:r>
      <w:r>
        <w:rPr>
          <w:bCs/>
          <w:b/>
        </w:rPr>
        <w:t xml:space="preserve">= 95,</w:t>
      </w:r>
      <w:r>
        <w:rPr>
          <w:bCs/>
          <w:b/>
        </w:rPr>
        <w:t xml:space="preserve"> </w:t>
      </w:r>
      <w:r>
        <w:rPr>
          <w:iCs/>
          <w:i/>
          <w:bCs/>
          <w:b/>
        </w:rPr>
        <w:t xml:space="preserve">r̄</w:t>
      </w:r>
      <w:r>
        <w:rPr>
          <w:bCs/>
          <w:b/>
        </w:rPr>
        <w:t xml:space="preserve"> </w:t>
      </w:r>
      <w:r>
        <w:rPr>
          <w:bCs/>
          <w:b/>
        </w:rPr>
        <w:t xml:space="preserve">= 0.074; ICRV = II,</w:t>
      </w:r>
      <w:r>
        <w:rPr>
          <w:bCs/>
          <w:b/>
        </w:rPr>
        <w:t xml:space="preserve"> </w:t>
      </w:r>
      <w:r>
        <w:rPr>
          <w:iCs/>
          <w:i/>
          <w:bCs/>
          <w:b/>
        </w:rPr>
        <w:t xml:space="preserve">K</w:t>
      </w:r>
      <w:r>
        <w:rPr>
          <w:bCs/>
          <w:b/>
        </w:rPr>
        <w:t xml:space="preserve"> </w:t>
      </w:r>
      <w:r>
        <w:rPr>
          <w:bCs/>
          <w:b/>
        </w:rPr>
        <w:t xml:space="preserve">= 32,</w:t>
      </w:r>
      <w:r>
        <w:rPr>
          <w:bCs/>
          <w:b/>
        </w:rPr>
        <w:t xml:space="preserve"> </w:t>
      </w:r>
      <w:r>
        <w:rPr>
          <w:iCs/>
          <w:i/>
          <w:bCs/>
          <w:b/>
        </w:rPr>
        <w:t xml:space="preserve">r̄</w:t>
      </w:r>
      <w:r>
        <w:rPr>
          <w:bCs/>
          <w:b/>
        </w:rPr>
        <w:t xml:space="preserve"> </w:t>
      </w:r>
      <w:r>
        <w:rPr>
          <w:bCs/>
          <w:b/>
        </w:rPr>
        <w:t xml:space="preserve">= 0.065):</w:t>
      </w:r>
      <w:r>
        <w:t xml:space="preserve"> </w:t>
      </w:r>
      <w:r>
        <w:t xml:space="preserve">With the expanded corpus, the Emerging regime is now well-populated (</w:t>
      </w:r>
      <w:r>
        <w:rPr>
          <w:iCs/>
          <w:i/>
        </w:rPr>
        <w:t xml:space="preserve">K</w:t>
      </w:r>
      <w:r>
        <w:t xml:space="preserve"> </w:t>
      </w:r>
      <w:r>
        <w:t xml:space="preserve">= 95) and yields a reliable, significantly positive effect that is statistically indistinguishable from the Advanced estimate. This flat gradient across Advanced (0.080), Emerging (0.074), and Upper-middle (0.065) regimes is the central substantive result of the moderation analysis: institutional quality, as captured by the ICRV ordering, does</w:t>
      </w:r>
      <w:r>
        <w:t xml:space="preserve"> </w:t>
      </w:r>
      <w:r>
        <w:rPr>
          <w:bCs/>
          <w:b/>
        </w:rPr>
        <w:t xml:space="preserve">not</w:t>
      </w:r>
      <w:r>
        <w:t xml:space="preserve"> </w:t>
      </w:r>
      <w:r>
        <w:t xml:space="preserve">scale the I→P return in the predicted direction. At the primary-study level, [Authors] (2025) document a negative aggregate DOI coefficient on 380 Indian WBES firms (FGLS estimation), with manager experience and female top-management leadership as positive moderating factors — consistent with CIMT's prediction that firm-level compensating resources partially offset institutional friction in Emerging environments.</w:t>
      </w:r>
    </w:p>
    <w:p>
      <w:pPr>
        <w:pStyle w:val="BodyText"/>
      </w:pPr>
      <w:r>
        <w:rPr>
          <w:bCs/>
          <w:b/>
        </w:rPr>
        <w:t xml:space="preserve">Frontier contexts (ICRV = FR,</w:t>
      </w:r>
      <w:r>
        <w:rPr>
          <w:bCs/>
          <w:b/>
        </w:rPr>
        <w:t xml:space="preserve"> </w:t>
      </w:r>
      <w:r>
        <w:rPr>
          <w:iCs/>
          <w:i/>
          <w:bCs/>
          <w:b/>
        </w:rPr>
        <w:t xml:space="preserve">K</w:t>
      </w:r>
      <w:r>
        <w:rPr>
          <w:bCs/>
          <w:b/>
        </w:rPr>
        <w:t xml:space="preserve"> </w:t>
      </w:r>
      <w:r>
        <w:rPr>
          <w:bCs/>
          <w:b/>
        </w:rPr>
        <w:t xml:space="preserve">= 4;</w:t>
      </w:r>
      <w:r>
        <w:rPr>
          <w:bCs/>
          <w:b/>
        </w:rPr>
        <w:t xml:space="preserve"> </w:t>
      </w:r>
      <w:r>
        <w:rPr>
          <w:iCs/>
          <w:i/>
          <w:bCs/>
          <w:b/>
        </w:rPr>
        <w:t xml:space="preserve">r̄</w:t>
      </w:r>
      <w:r>
        <w:rPr>
          <w:bCs/>
          <w:b/>
        </w:rPr>
        <w:t xml:space="preserve"> </w:t>
      </w:r>
      <w:r>
        <w:rPr>
          <w:bCs/>
          <w:b/>
        </w:rPr>
        <w:t xml:space="preserve">= 0.249):</w:t>
      </w:r>
      <w:r>
        <w:t xml:space="preserve"> </w:t>
      </w:r>
      <w:r>
        <w:t xml:space="preserve">The</w:t>
      </w:r>
      <w:r>
        <w:t xml:space="preserve"> </w:t>
      </w:r>
      <w:r>
        <w:rPr>
          <w:iCs/>
          <w:i/>
        </w:rPr>
        <w:t xml:space="preserve">K</w:t>
      </w:r>
      <w:r>
        <w:t xml:space="preserve"> </w:t>
      </w:r>
      <w:r>
        <w:t xml:space="preserve">= 4 Frontier estimate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It cannot be interpreted as a reliable Frontier I→P effect; it instead reflects the near-impossibility of drawing meta-analytic conclusions when only four effects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omnibus test (</w:t>
      </w:r>
      <w:r>
        <w:rPr>
          <w:iCs/>
          <w:i/>
        </w:rPr>
        <w:t xml:space="preserve">Q</w:t>
      </w:r>
      <w:r>
        <w:t xml:space="preserve">_M = 9.81,</w:t>
      </w:r>
      <w:r>
        <w:t xml:space="preserve"> </w:t>
      </w:r>
      <w:r>
        <w:rPr>
          <w:iCs/>
          <w:i/>
        </w:rPr>
        <w:t xml:space="preserve">p</w:t>
      </w:r>
      <w:r>
        <w:t xml:space="preserve"> </w:t>
      </w:r>
      <w:r>
        <w:t xml:space="preserve">= .044) is statistically significant, establishing that I→P effect sizes differ across coded regimes. Diagnostically, however, that significance is generated almost entirely by the sparse, high-effect Frontier cell (</w:t>
      </w:r>
      <w:r>
        <w:rPr>
          <w:iCs/>
          <w:i/>
        </w:rPr>
        <w:t xml:space="preserve">r̄</w:t>
      </w:r>
      <w:r>
        <w:t xml:space="preserve"> </w:t>
      </w:r>
      <w:r>
        <w:t xml:space="preserve">= 0.249,</w:t>
      </w:r>
      <w:r>
        <w:t xml:space="preserve"> </w:t>
      </w:r>
      <w:r>
        <w:rPr>
          <w:iCs/>
          <w:i/>
        </w:rPr>
        <w:t xml:space="preserve">K</w:t>
      </w:r>
      <w:r>
        <w:t xml:space="preserve"> </w:t>
      </w:r>
      <w:r>
        <w:t xml:space="preserve">= 4); the three well-populated single-country regimes are flat (Advanced 0.080, Emerging 0.074, Upper-middle 0.065) and the cross-regime pooled studies sit lowest (MX 0.057). The directional propositions E1a (Advanced largest) and E1b (Frontier smallest) are therefore</w:t>
      </w:r>
      <w:r>
        <w:t xml:space="preserve"> </w:t>
      </w:r>
      <w:r>
        <w:rPr>
          <w:bCs/>
          <w:b/>
        </w:rPr>
        <w:t xml:space="preserve">not</w:t>
      </w:r>
      <w:r>
        <w:t xml:space="preserve"> </w:t>
      </w:r>
      <w:r>
        <w:t xml:space="preserve">supported: the data show neither a monotone institutional gradient nor a Frontier floor. This bounds, rather than confirms, CIMT's institutional-gradient prediction and indicates that any genuine regime effect is too small to detect against the dominant within-study heterogeneity.</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280 studies (</w:t>
      </w:r>
      <w:r>
        <w:rPr>
          <w:iCs/>
          <w:i/>
        </w:rPr>
        <w:t xml:space="preserve">K</w:t>
      </w:r>
      <w:r>
        <w:t xml:space="preserve"> </w:t>
      </w:r>
      <w:r>
        <w:t xml:space="preserve">= 330 effects) is among the most comprehensive quantitative syntheses of I→P evidence to apply three-level modeling, extending the ICBEF 2025 Asia-Pacific baseline (</w:t>
      </w:r>
      <w:r>
        <w:rPr>
          <w:iCs/>
          <w:i/>
        </w:rPr>
        <w:t xml:space="preserve">k</w:t>
      </w:r>
      <w:r>
        <w:t xml:space="preserve"> </w:t>
      </w:r>
      <w:r>
        <w:t xml:space="preserve">= 113) by 167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0.075 replicates prior estimates while remaining robust across six sensitivity checks. A novel descriptive contribution follows from the decomposition: the unexplained heterogeneity is concentrated</w:t>
      </w:r>
      <w:r>
        <w:t xml:space="preserve"> </w:t>
      </w:r>
      <w:r>
        <w:rPr>
          <w:iCs/>
          <w:i/>
        </w:rPr>
        <w:t xml:space="preserve">within</w:t>
      </w:r>
      <w:r>
        <w:t xml:space="preserve"> </w:t>
      </w:r>
      <w:r>
        <w:t xml:space="preserve">studies (Level 2,</w:t>
      </w:r>
      <w:r>
        <w:t xml:space="preserve"> </w:t>
      </w:r>
      <w:r>
        <w:rPr>
          <w:iCs/>
          <w:i/>
        </w:rPr>
        <w:t xml:space="preserve">I</w:t>
      </w:r>
      <w:r>
        <w:t xml:space="preserve">² = 56.6%) rather than between them (Level 3,</w:t>
      </w:r>
      <w:r>
        <w:t xml:space="preserve"> </w:t>
      </w:r>
      <w:r>
        <w:rPr>
          <w:iCs/>
          <w:i/>
        </w:rPr>
        <w:t xml:space="preserve">I</w:t>
      </w:r>
      <w:r>
        <w:t xml:space="preserve">² = 8.9%), reframing where the I→P "context" problem actually resides.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9.81,</w:t>
      </w:r>
      <w:r>
        <w:t xml:space="preserve"> </w:t>
      </w:r>
      <w:r>
        <w:rPr>
          <w:iCs/>
          <w:i/>
        </w:rPr>
        <w:t xml:space="preserve">p</w:t>
      </w:r>
      <w:r>
        <w:t xml:space="preserve"> </w:t>
      </w:r>
      <w:r>
        <w:t xml:space="preserve">= .044), but diagnostically the effect is driven by a sparse Frontier cell rather than an institutional gradient; the directional propositions (E1a/E1b) and the cDAI and DPL hypotheses (H2, H3) are not confirmed under rigorous between-group testing. These results set theoretically informative bounds: even with three well-populated single-country regimes (Advanced</w:t>
      </w:r>
      <w:r>
        <w:t xml:space="preserve"> </w:t>
      </w:r>
      <w:r>
        <w:rPr>
          <w:iCs/>
          <w:i/>
        </w:rPr>
        <w:t xml:space="preserve">K</w:t>
      </w:r>
      <w:r>
        <w:t xml:space="preserve"> </w:t>
      </w:r>
      <w:r>
        <w:t xml:space="preserve">= 158, Emerging</w:t>
      </w:r>
      <w:r>
        <w:t xml:space="preserve"> </w:t>
      </w:r>
      <w:r>
        <w:rPr>
          <w:iCs/>
          <w:i/>
        </w:rPr>
        <w:t xml:space="preserve">K</w:t>
      </w:r>
      <w:r>
        <w:t xml:space="preserve"> </w:t>
      </w:r>
      <w:r>
        <w:t xml:space="preserve">= 95, Upper-middle</w:t>
      </w:r>
      <w:r>
        <w:t xml:space="preserve"> </w:t>
      </w:r>
      <w:r>
        <w:rPr>
          <w:iCs/>
          <w:i/>
        </w:rPr>
        <w:t xml:space="preserve">K</w:t>
      </w:r>
      <w:r>
        <w:t xml:space="preserve"> </w:t>
      </w:r>
      <w:r>
        <w:t xml:space="preserve">= 32), the I→P effect is flat across the institutional ordering, and cDAI and DPL phase do not explain between-study heterogeneity. Because that heterogeneity is overwhelmingly within-study, country- and time-level moderators are structurally unlikely to resolve it — a key boundary condition for the contextual-contingency research program.</w:t>
      </w:r>
    </w:p>
    <w:p>
      <w:pPr>
        <w:pStyle w:val="BodyText"/>
      </w:pPr>
      <w:r>
        <w:rPr>
          <w:bCs/>
          <w:b/>
        </w:rPr>
        <w:t xml:space="preserve">Contribution 3: Publication bias is modest, not decisive.</w:t>
      </w:r>
      <w:r>
        <w:t xml:space="preserve"> </w:t>
      </w:r>
      <w:r>
        <w:t xml:space="preserve">The bias diagnostics diverge: Begg's rank test (τ = −0.116,</w:t>
      </w:r>
      <w:r>
        <w:t xml:space="preserve"> </w:t>
      </w:r>
      <w:r>
        <w:rPr>
          <w:iCs/>
          <w:i/>
        </w:rPr>
        <w:t xml:space="preserve">p</w:t>
      </w:r>
      <w:r>
        <w:t xml:space="preserve"> </w:t>
      </w:r>
      <w:r>
        <w:t xml:space="preserve">= .002) and trim-and-fill (</w:t>
      </w:r>
      <w:r>
        <w:rPr>
          <w:iCs/>
          <w:i/>
        </w:rPr>
        <w:t xml:space="preserve">k</w:t>
      </w:r>
      <w:r>
        <w:t xml:space="preserve">₀ = 58 imputed; adjusted</w:t>
      </w:r>
      <w:r>
        <w:t xml:space="preserve"> </w:t>
      </w:r>
      <w:r>
        <w:rPr>
          <w:iCs/>
          <w:i/>
        </w:rPr>
        <w:t xml:space="preserve">r̄</w:t>
      </w:r>
      <w:r>
        <w:t xml:space="preserve"> </w:t>
      </w:r>
      <w:r>
        <w:t xml:space="preserve">= 0.040) indicate left-side asymmetry, whereas Egger's precision-weighted regression is only marginal (</w:t>
      </w:r>
      <w:r>
        <w:rPr>
          <w:iCs/>
          <w:i/>
        </w:rPr>
        <w:t xml:space="preserve">p</w:t>
      </w:r>
      <w:r>
        <w:t xml:space="preserve"> </w:t>
      </w:r>
      <w:r>
        <w:t xml:space="preserve">= .069) and the fail-safe</w:t>
      </w:r>
      <w:r>
        <w:t xml:space="preserve"> </w:t>
      </w:r>
      <w:r>
        <w:rPr>
          <w:iCs/>
          <w:i/>
        </w:rPr>
        <w:t xml:space="preserve">N</w:t>
      </w:r>
      <w:r>
        <w:t xml:space="preserve"> </w:t>
      </w:r>
      <w:r>
        <w:t xml:space="preserve">(81,035) is very large. Read together, the evidence points to a</w:t>
      </w:r>
      <w:r>
        <w:t xml:space="preserve"> </w:t>
      </w:r>
      <w:r>
        <w:rPr>
          <w:iCs/>
          <w:i/>
        </w:rPr>
        <w:t xml:space="preserve">modest</w:t>
      </w:r>
      <w:r>
        <w:t xml:space="preserve"> </w:t>
      </w:r>
      <w:r>
        <w:t xml:space="preserve">upward inflation of the published average rather than a literature-wide artifact: the trim-and-fill–adjusted</w:t>
      </w:r>
      <w:r>
        <w:t xml:space="preserve"> </w:t>
      </w:r>
      <w:r>
        <w:rPr>
          <w:iCs/>
          <w:i/>
        </w:rPr>
        <w:t xml:space="preserve">r̄</w:t>
      </w:r>
      <w:r>
        <w:t xml:space="preserve"> </w:t>
      </w:r>
      <w:r>
        <w:t xml:space="preserve">≈ 0.040 is best treated as a conservative lower bound on a small but genuine positive effect, not as the point estimate. This tempered reading is itself a contribution, correcting the stronger "bias-dominated" narrative that a single significant test might otherwise license.</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Even taking the raw pooled estimate (</w:t>
      </w:r>
      <w:r>
        <w:rPr>
          <w:iCs/>
          <w:i/>
        </w:rPr>
        <w:t xml:space="preserve">r</w:t>
      </w:r>
      <w:r>
        <w:t xml:space="preserve"> </w:t>
      </w:r>
      <w:r>
        <w:t xml:space="preserve">= 0.075) at face value, the average performance return to internationalization is small; the trim-and-fill lower bound (</w:t>
      </w:r>
      <w:r>
        <w:rPr>
          <w:iCs/>
          <w:i/>
        </w:rPr>
        <w:t xml:space="preserve">r</w:t>
      </w:r>
      <w:r>
        <w:t xml:space="preserve"> </w:t>
      </w:r>
      <w:r>
        <w:t xml:space="preserve">≈ 0.040) is more prudent for planning. Firms that expect large gains from export intensification alone are likely to be disappointed.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mixed bias signal (significant Begg's τ and trim-and-fill imputation of</w:t>
      </w:r>
      <w:r>
        <w:t xml:space="preserve"> </w:t>
      </w:r>
      <w:r>
        <w:rPr>
          <w:iCs/>
          <w:i/>
        </w:rPr>
        <w:t xml:space="preserve">k</w:t>
      </w:r>
      <w:r>
        <w:t xml:space="preserve">₀ = 58 studies, but only marginal Egger) is a call for pre-registered studies with explicit null-hypothesis reporting. More consequential is the variance structure: with 56.6% of heterogeneity arising</w:t>
      </w:r>
      <w:r>
        <w:t xml:space="preserve"> </w:t>
      </w:r>
      <w:r>
        <w:rPr>
          <w:iCs/>
          <w:i/>
        </w:rPr>
        <w:t xml:space="preserve">within</w:t>
      </w:r>
      <w:r>
        <w:t xml:space="preserve"> </w:t>
      </w:r>
      <w:r>
        <w:t xml:space="preserve">studies, future syntheses should code and test within-study analytic moderators (DOI operationalization, performance metric, estimator) rather than adding further country-level contingencies. Pre-registration on OSF and three-level MARA with bias correction should be standard practice.</w:t>
      </w:r>
    </w:p>
    <w:p>
      <w:pPr>
        <w:pStyle w:val="BodyText"/>
      </w:pPr>
      <w:r>
        <w:rPr>
          <w:bCs/>
          <w:b/>
        </w:rPr>
        <w:t xml:space="preserve">For policymakers:</w:t>
      </w:r>
      <w:r>
        <w:t xml:space="preserve"> </w:t>
      </w:r>
      <w:r>
        <w:t xml:space="preserve">The flat ICRV gradient across well-populated regimes (Advanced</w:t>
      </w:r>
      <w:r>
        <w:t xml:space="preserve"> </w:t>
      </w:r>
      <w:r>
        <w:rPr>
          <w:iCs/>
          <w:i/>
        </w:rPr>
        <w:t xml:space="preserve">r̄</w:t>
      </w:r>
      <w:r>
        <w:t xml:space="preserve"> </w:t>
      </w:r>
      <w:r>
        <w:t xml:space="preserve">= 0.080, Emerging 0.074, Upper-middle 0.065; differences non-significant) does not justify treating institutional quality as the primary determinant of export-led productivity. Export-promotion programmes should target firm-level capabilities (technological, managerial) at least as much as institutional reform, given that the institution–performance gradient is not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a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280 studies (</w:t>
      </w:r>
      <w:r>
        <w:rPr>
          <w:iCs/>
          <w:i/>
        </w:rPr>
        <w:t xml:space="preserve">K</w:t>
      </w:r>
      <w:r>
        <w:t xml:space="preserve"> </w:t>
      </w:r>
      <w:r>
        <w:t xml:space="preserve">= 330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0.075, 95% CI [0.062, 0.089],</w:t>
      </w:r>
      <w:r>
        <w:t xml:space="preserve"> </w:t>
      </w:r>
      <w:r>
        <w:rPr>
          <w:iCs/>
          <w:i/>
        </w:rPr>
        <w:t xml:space="preserve">I</w:t>
      </w:r>
      <w:r>
        <w:t xml:space="preserve">²_total = 65.5%) confirms a small but consistent positive I→P relationship globally, robust across six sensitivity checks.</w:t>
      </w:r>
    </w:p>
    <w:p>
      <w:pPr>
        <w:pStyle w:val="BodyText"/>
      </w:pPr>
      <w:r>
        <w:t xml:space="preserve">H1 (ICRV between-regime Q_M test) is confirmed (</w:t>
      </w:r>
      <w:r>
        <w:rPr>
          <w:iCs/>
          <w:i/>
        </w:rPr>
        <w:t xml:space="preserve">Q</w:t>
      </w:r>
      <w:r>
        <w:t xml:space="preserve">_M = 9.81,</w:t>
      </w:r>
      <w:r>
        <w:t xml:space="preserve"> </w:t>
      </w:r>
      <w:r>
        <w:rPr>
          <w:iCs/>
          <w:i/>
        </w:rPr>
        <w:t xml:space="preserve">p</w:t>
      </w:r>
      <w:r>
        <w:t xml:space="preserve"> </w:t>
      </w:r>
      <w:r>
        <w:t xml:space="preserve">= .044), establishing that I→P effect sizes differ across coded regimes; diagnostically, however, the omnibus effect is generated by a sparse Frontier cell (</w:t>
      </w:r>
      <w:r>
        <w:rPr>
          <w:iCs/>
          <w:i/>
        </w:rPr>
        <w:t xml:space="preserve">K</w:t>
      </w:r>
      <w:r>
        <w:t xml:space="preserve"> </w:t>
      </w:r>
      <w:r>
        <w:t xml:space="preserve">= 4) rather than a monotone gradient. Across the three well-populated single-country regimes the effect is flat (Advanced 0.080, Emerging 0.074, Upper-middle 0.065), so the directional propositions E1a/E1b are not supported, and the cDAI (H3:</w:t>
      </w:r>
      <w:r>
        <w:t xml:space="preserve"> </w:t>
      </w:r>
      <w:r>
        <w:rPr>
          <w:iCs/>
          <w:i/>
        </w:rPr>
        <w:t xml:space="preserve">Q</w:t>
      </w:r>
      <w:r>
        <w:t xml:space="preserve">_M = 0.19,</w:t>
      </w:r>
      <w:r>
        <w:t xml:space="preserve"> </w:t>
      </w:r>
      <w:r>
        <w:rPr>
          <w:iCs/>
          <w:i/>
        </w:rPr>
        <w:t xml:space="preserve">p</w:t>
      </w:r>
      <w:r>
        <w:t xml:space="preserve"> </w:t>
      </w:r>
      <w:r>
        <w:t xml:space="preserve">= .911) and DPL phase (H2:</w:t>
      </w:r>
      <w:r>
        <w:t xml:space="preserve"> </w:t>
      </w:r>
      <w:r>
        <w:rPr>
          <w:iCs/>
          <w:i/>
        </w:rPr>
        <w:t xml:space="preserve">Q</w:t>
      </w:r>
      <w:r>
        <w:t xml:space="preserve">_M = 0.80,</w:t>
      </w:r>
      <w:r>
        <w:t xml:space="preserve"> </w:t>
      </w:r>
      <w:r>
        <w:rPr>
          <w:iCs/>
          <w:i/>
        </w:rPr>
        <w:t xml:space="preserve">p</w:t>
      </w:r>
      <w:r>
        <w:t xml:space="preserve"> </w:t>
      </w:r>
      <w:r>
        <w:t xml:space="preserve">= .671) moderators do not explain between-study heterogeneity. The CIMT institutional gradient (E1a/E1b), digital-infrastructure amplification (H3), and DPL temporal moderation (H2) remain theoretically motivated but empirically unconfirmed — null results that should inform future pre-registered replications.</w:t>
      </w:r>
    </w:p>
    <w:p>
      <w:pPr>
        <w:pStyle w:val="BodyText"/>
      </w:pPr>
      <w:r>
        <w:t xml:space="preserve">A second substantive finding concerns the structure and inflation of the effect. Publication-bias diagnostics are mixed — Begg's test (τ = −0.116,</w:t>
      </w:r>
      <w:r>
        <w:t xml:space="preserve"> </w:t>
      </w:r>
      <w:r>
        <w:rPr>
          <w:iCs/>
          <w:i/>
        </w:rPr>
        <w:t xml:space="preserve">p</w:t>
      </w:r>
      <w:r>
        <w:t xml:space="preserve"> </w:t>
      </w:r>
      <w:r>
        <w:t xml:space="preserve">= .002) and trim-and-fill (</w:t>
      </w:r>
      <w:r>
        <w:rPr>
          <w:iCs/>
          <w:i/>
        </w:rPr>
        <w:t xml:space="preserve">k</w:t>
      </w:r>
      <w:r>
        <w:t xml:space="preserve">₀ = 58 imputed; adjusted</w:t>
      </w:r>
      <w:r>
        <w:t xml:space="preserve"> </w:t>
      </w:r>
      <w:r>
        <w:rPr>
          <w:iCs/>
          <w:i/>
        </w:rPr>
        <w:t xml:space="preserve">r̄</w:t>
      </w:r>
      <w:r>
        <w:t xml:space="preserve"> </w:t>
      </w:r>
      <w:r>
        <w:t xml:space="preserve">= 0.040, 95% CI [0.029, 0.051]) indicate modest left-side asymmetry, while Egger's regression is only marginal (</w:t>
      </w:r>
      <w:r>
        <w:rPr>
          <w:iCs/>
          <w:i/>
        </w:rPr>
        <w:t xml:space="preserve">p</w:t>
      </w:r>
      <w:r>
        <w:t xml:space="preserve"> </w:t>
      </w:r>
      <w:r>
        <w:t xml:space="preserve">= .069) — so the trim-and-fill estimate (</w:t>
      </w:r>
      <w:r>
        <w:rPr>
          <w:iCs/>
          <w:i/>
        </w:rPr>
        <w:t xml:space="preserve">r̄</w:t>
      </w:r>
      <w:r>
        <w:t xml:space="preserve"> </w:t>
      </w:r>
      <w:r>
        <w:t xml:space="preserve">≈ 0.040) is best read as a conservative lower bound rather than evidence of a bias-dominated literature. Critically, the heterogeneity puzzle (</w:t>
      </w:r>
      <w:r>
        <w:rPr>
          <w:iCs/>
          <w:i/>
        </w:rPr>
        <w:t xml:space="preserve">I</w:t>
      </w:r>
      <w:r>
        <w:t xml:space="preserve">² = 65.5%) is concentrated</w:t>
      </w:r>
      <w:r>
        <w:t xml:space="preserve"> </w:t>
      </w:r>
      <w:r>
        <w:rPr>
          <w:iCs/>
          <w:i/>
        </w:rPr>
        <w:t xml:space="preserve">within</w:t>
      </w:r>
      <w:r>
        <w:t xml:space="preserve"> </w:t>
      </w:r>
      <w:r>
        <w:t xml:space="preserve">studies (Level 2, 56.6%) far more than between them (Level 3, 8.9%): unexplained variance in I→P arises chiefly from analytic choices inside primary studies rather than from cross-country institutional differences — which is precisely why study-level country and time moderators leave it unresolved.</w:t>
      </w:r>
    </w:p>
    <w:p>
      <w:pPr>
        <w:pStyle w:val="BodyText"/>
      </w:pPr>
      <w:r>
        <w:rPr>
          <w:bCs/>
          <w:b/>
        </w:rPr>
        <w:t xml:space="preserve">Limitations.</w:t>
      </w:r>
      <w:r>
        <w:t xml:space="preserve"> </w:t>
      </w:r>
      <w:r>
        <w:t xml:space="preserve">Five inferential constraints bound these conclusions. First, the moderator hypotheses are not confirmed; for cDAI and DPL this reflects genuine null between-group differences, while for ICRV the only non-flat cell (Frontier) is too sparse (</w:t>
      </w:r>
      <w:r>
        <w:rPr>
          <w:iCs/>
          <w:i/>
        </w:rPr>
        <w:t xml:space="preserve">K</w:t>
      </w:r>
      <w:r>
        <w:t xml:space="preserve"> </w:t>
      </w:r>
      <w:r>
        <w:t xml:space="preserve">= 4) for reliable inference. A formal search targeting Frontier and SIDS contexts is required before the ICRV result can be interpreted as definitive. Second, the Frontier-group anomaly (</w:t>
      </w:r>
      <w:r>
        <w:rPr>
          <w:iCs/>
          <w:i/>
        </w:rPr>
        <w:t xml:space="preserve">K</w:t>
      </w:r>
      <w:r>
        <w:t xml:space="preserve"> </w:t>
      </w:r>
      <w:r>
        <w:t xml:space="preserve">= 4,</w:t>
      </w:r>
      <w:r>
        <w:t xml:space="preserve"> </w:t>
      </w:r>
      <w:r>
        <w:rPr>
          <w:iCs/>
          <w:i/>
        </w:rPr>
        <w:t xml:space="preserve">r̄</w:t>
      </w:r>
      <w:r>
        <w:t xml:space="preserve"> </w:t>
      </w:r>
      <w:r>
        <w:t xml:space="preserve">= 0.249, including one outlier Pouresmaeili et al. 2018) yields an unreliable estimate;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findings. First, a formal search targeting Frontier and SIDS economy I→P studies (targeted search strings, Appendix B) would expand the Frontier cell from</w:t>
      </w:r>
      <w:r>
        <w:t xml:space="preserve"> </w:t>
      </w:r>
      <w:r>
        <w:rPr>
          <w:iCs/>
          <w:i/>
        </w:rPr>
        <w:t xml:space="preserve">K</w:t>
      </w:r>
      <w:r>
        <w:t xml:space="preserve"> </w:t>
      </w:r>
      <w:r>
        <w:t xml:space="preserve">= 4 to potentially 20–40 effects, enabling a meaningful test of the only regime that currently deviates. Second — and most important given the variance decomposition — future syntheses should code and test</w:t>
      </w:r>
      <w:r>
        <w:t xml:space="preserve"> </w:t>
      </w:r>
      <w:r>
        <w:rPr>
          <w:bCs/>
          <w:b/>
        </w:rPr>
        <w:t xml:space="preserve">within-study</w:t>
      </w:r>
      <w:r>
        <w:t xml:space="preserve"> </w:t>
      </w:r>
      <w:r>
        <w:t xml:space="preserve">analytic moderators (DOI operationalization, performance metric, estimator family, sample window), since 56.6% of heterogeneity is within-study and country-level moderators are structurally unable to resolve it. Third, the mixed publication-bias signal (</w:t>
      </w:r>
      <w:r>
        <w:rPr>
          <w:iCs/>
          <w:i/>
        </w:rPr>
        <w:t xml:space="preserve">k</w:t>
      </w:r>
      <w:r>
        <w:t xml:space="preserve">₀ = 58 imputed, adj.</w:t>
      </w:r>
      <w:r>
        <w:t xml:space="preserve"> </w:t>
      </w:r>
      <w:r>
        <w:rPr>
          <w:iCs/>
          <w:i/>
        </w:rPr>
        <w:t xml:space="preserve">r̄</w:t>
      </w:r>
      <w:r>
        <w:t xml:space="preserve"> </w:t>
      </w:r>
      <w:r>
        <w:t xml:space="preserve">= 0.040; Begg significant but Egger marginal) motivates a dedicated bias audit — surveying I→P researchers about unpublished null results and meta-analysing grey literature and dissertations — to bound the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280 (prior DB: k = 238; updated 24/05/2026)</w:t>
      </w:r>
      <w:r>
        <w:br/>
      </w:r>
      <w:r>
        <w:rPr>
          <w:rStyle w:val="VerbatimChar"/>
        </w:rPr>
        <w:t xml:space="preserve">Effect sizes coded:                  K = 330 (prior DB: K = 288; updated 24/05/2026)</w:t>
      </w:r>
      <w:r>
        <w:br/>
      </w:r>
      <w:r>
        <w:br/>
      </w:r>
      <w:r>
        <w:rPr>
          <w:rStyle w:val="VerbatimChar"/>
        </w:rPr>
        <w:t xml:space="preserve">Note: k=280 / K=330 reflects the current analytic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Three-level REML (3-level, k=280)</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[0.062,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65.5%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56.6%</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8.9%</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280</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330</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0.00937</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0.00147</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(65.5% vs. 87.92%) reflects the expanded</w:t>
      </w:r>
      <w:r>
        <w:t xml:space="preserve"> </w:t>
      </w:r>
      <w:r>
        <w:rPr>
          <w:iCs/>
          <w:i/>
        </w:rPr>
        <w:t xml:space="preserve">k</w:t>
      </w:r>
      <w:r>
        <w:t xml:space="preserve"> </w:t>
      </w:r>
      <w:r>
        <w:t xml:space="preserve">= 280 sample and the three-level structure that partitions variance across levels correctly. The decomposition shows that within-study variance (I²_(2) = 56.6%) dominates between-study variance (I²_(3) = 8.9%). The narrower 95% CI reflects the precision gain from 280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2026-05-24T18:54:03Z</dcterms:created>
  <dcterms:modified xsi:type="dcterms:W3CDTF">2026-05-24T18:54:03Z</dcterms:modified>
</cp:coreProperties>
</file>

<file path=docProps/custom.xml><?xml version="1.0" encoding="utf-8"?>
<Properties xmlns="http://schemas.openxmlformats.org/officeDocument/2006/custom-properties" xmlns:vt="http://schemas.openxmlformats.org/officeDocument/2006/docPropsVTypes"/>
</file>