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c9352da3341fdb240710e39a0f204acdec9b23"/>
    <w:p>
      <w:pPr>
        <w:pStyle w:val="Heading1"/>
      </w:pPr>
      <w:r>
        <w:t xml:space="preserve">Nhìn lại mối quan hệ giữa quốc tế hoá và hiệu quả hoạt động của doanh nghiệp tại một thị trường mới nổi: Vai trò của năng lực công nghệ và mức áp dụng công nghệ số nền tảng</w:t>
      </w:r>
    </w:p>
    <w:p>
      <w:pPr>
        <w:pStyle w:val="FirstParagraph"/>
      </w:pPr>
      <w:r>
        <w:rPr>
          <w:iCs/>
          <w:i/>
        </w:rPr>
        <w:t xml:space="preserve">[Bản dịch tiếng Việt — Vietnamese Translation. Phiên bản 07/06/2026. Bản dịch đầy đủ tương ứng với bản thảo tiếng Anh đã rút gọn nộp Journal of Economics and Development (Emerald). Số liệu thống kê, ký hiệu, và trích dẫn giữ nguyên theo bản gốc tiếng Anh để bảo đảm tính kiểm chứng. Thuật ngữ tuân theo bảng thuật ngữ Anh–Việt WBES/IB của dự án.]</w:t>
      </w:r>
    </w:p>
    <w:bookmarkStart w:id="20" w:name="tóm-tắt"/>
    <w:p>
      <w:pPr>
        <w:pStyle w:val="Heading2"/>
      </w:pPr>
      <w:r>
        <w:t xml:space="preserve">Tóm tắt</w:t>
      </w:r>
    </w:p>
    <w:p>
      <w:pPr>
        <w:pStyle w:val="FirstParagraph"/>
      </w:pPr>
      <w:r>
        <w:t xml:space="preserve">Mục đích: Nghiên cứu này nhìn lại mối quan hệ giữa quốc tế hoá (internationalisation) và hiệu quả hoạt động của doanh nghiệp tại Việt Nam qua ba đợt khảo sát, kiểm định liệu năng lực công nghệ (technological capability) có điều tiết tác động của cường độ xuất khẩu hay không, và một chỉ báo số tầng 1 (Tier 1) tiến triển ra sao qua các thế hệ thể chế.</w:t>
      </w:r>
    </w:p>
    <w:p>
      <w:pPr>
        <w:pStyle w:val="BodyText"/>
      </w:pPr>
      <w:r>
        <w:t xml:space="preserve">Thiết kế/phương pháp/tiếp cận: Ba đợt Khảo sát Doanh nghiệp của Ngân hàng Thế giới (World Bank Enterprise Survey — WBES; Việt Nam 2009, 2015, 2023; N = 2,958) làm nền cho các mô hình bình phương nhỏ nhất (OLS) theo từng đợt và gộp, với sai số chuẩn vững HC1, số hạng bậc hai của FSTS, và các số hạng tương tác năng lực. TCI (chứng nhận chất lượng, công nghệ nhập khẩu có giấy phép) là cấu trúc chính; một chỉ báo website tầng 1 đóng vai trò biến kiểm soát hiện diện số.</w:t>
      </w:r>
    </w:p>
    <w:p>
      <w:pPr>
        <w:pStyle w:val="BodyText"/>
      </w:pPr>
      <w:r>
        <w:t xml:space="preserve">Phát hiện: Quan hệ hình chữ U ngược (inverted U-shape) giữa cường độ xuất khẩu và năng suất lao động tồn tại ở cả ba đợt, với các điểm ngoặt (turning point) tập trung trong khoảng 39%–46% — một dải bền vững suốt 14 năm. Tính phi tuyến phản ánh hiệu ứng biên tham gia (participation margin): trên mẫu chỉ gồm doanh nghiệp xuất khẩu, số hạng bậc hai mất ý nghĩa thống kê. TCI điều tiết tích cực năng suất và độ cong của đường cong I–P qua các đợt. Chỉ báo website đi theo quỹ đạo lỗi thời của biến đại diện (proxy obsolescence): dương năm 2009, không ý nghĩa năm 2015, và tương tác âm năm 2023.</w:t>
      </w:r>
    </w:p>
    <w:p>
      <w:pPr>
        <w:pStyle w:val="BodyText"/>
      </w:pPr>
      <w:r>
        <w:t xml:space="preserve">Tính độc đáo/giá trị: Hình chữ U ngược trong bối cảnh nhiều giá trị không (zero-inflated) này phản ánh hiệu ứng rào cản tham gia hơn là sự bão hoà theo cường độ; các hệ số tầng 1 gộp che lấp quá trình lỗi thời tăng dần của biến đại diện. Cụm điểm ngoặt gắn với thể chế (39%–46% FSTS) chuyển trọng tâm tranh luận từ "quốc tế hoá có giúp ích không?" sang "trong điều kiện thể chế nào thì ngưỡng dịch chuyển?".</w:t>
      </w:r>
    </w:p>
    <w:p>
      <w:pPr>
        <w:pStyle w:val="BodyText"/>
      </w:pPr>
      <w:r>
        <w:t xml:space="preserve">Từ khoá: quan hệ quốc tế hoá–hiệu quả; thị trường mới nổi; năng lực công nghệ; tính bền vững của ngưỡng; Việt Nam; năng suất doanh nghiệp.</w:t>
      </w:r>
    </w:p>
    <w:p>
      <w:pPr>
        <w:pStyle w:val="BodyText"/>
      </w:pPr>
      <w:r>
        <w:t xml:space="preserve">Phân loại JEL: F23, O33, D22, L25, O53.</w:t>
      </w:r>
    </w:p>
    <w:p>
      <w:pPr>
        <w:pStyle w:val="BodyText"/>
      </w:pPr>
      <w:r>
        <w:t xml:space="preserve">Loại bài: Bài nghiên cứu.</w:t>
      </w:r>
    </w:p>
    <w:bookmarkEnd w:id="20"/>
    <w:bookmarkStart w:id="21" w:name="X8291021638e5c0ee7b47a0aaabc4b853f1da348"/>
    <w:p>
      <w:pPr>
        <w:pStyle w:val="Heading2"/>
      </w:pPr>
      <w:r>
        <w:t xml:space="preserve">1. Giới thiệu</w:t>
      </w:r>
    </w:p>
    <w:p>
      <w:pPr>
        <w:pStyle w:val="FirstParagraph"/>
      </w:pPr>
      <w:r>
        <w:t xml:space="preserve">Việt Nam là một bối cảnh có giá trị phân tích để nhìn lại mối quan hệ giữa quốc tế hoá và hiệu quả hoạt động của doanh nghiệp (quan hệ I–P), bởi các doanh nghiệp mở rộng ra nước ngoài trong điều kiện chuyển đổi thể chế, tích luỹ năng lực không đồng đều, và hạ tầng số thay đổi nhanh. Trong những bối cảnh như vậy, không nên mặc định rằng quốc tế hoá tạo ra một khoản lợi tức hiệu quả tuyến tính đơn giản: doanh nghiệp có thể tiếp cận thị trường lớn hơn, hưởng lợi từ học hỏi, và đa dạng hoá doanh thu, nhưng cũng có thể đối mặt với chi phí phối hợp gia tăng, gánh nặng xử lý thông tin, và căng thẳng tổ chức khi mức độ tham gia quốc tế ngày càng sâu (Wright</w:t>
      </w:r>
      <w:r>
        <w:t xml:space="preserve"> </w:t>
      </w:r>
      <w:r>
        <w:rPr>
          <w:iCs/>
          <w:i/>
        </w:rPr>
        <w:t xml:space="preserve">et al.</w:t>
      </w:r>
      <w:r>
        <w:t xml:space="preserve">, 2005; Cuervo-Cazurra and Genc, 2008; Wu</w:t>
      </w:r>
      <w:r>
        <w:t xml:space="preserve"> </w:t>
      </w:r>
      <w:r>
        <w:rPr>
          <w:iCs/>
          <w:i/>
        </w:rPr>
        <w:t xml:space="preserve">et al.</w:t>
      </w:r>
      <w:r>
        <w:t xml:space="preserve">, 2016). Bằng chứng phân tích tổng hợp (meta-analysis) ủng hộ quan điểm rằng tính phi tuyến là một đặc trưng trung tâm của mối quan hệ này, chứ không phải một dị thường thực nghiệm (Vernon, 1979; Lu and Beamish, 2004; Hennart, 2007; Coviello</w:t>
      </w:r>
      <w:r>
        <w:t xml:space="preserve"> </w:t>
      </w:r>
      <w:r>
        <w:rPr>
          <w:iCs/>
          <w:i/>
        </w:rPr>
        <w:t xml:space="preserve">et al.</w:t>
      </w:r>
      <w:r>
        <w:t xml:space="preserve">, 2017; Marano</w:t>
      </w:r>
      <w:r>
        <w:t xml:space="preserve"> </w:t>
      </w:r>
      <w:r>
        <w:rPr>
          <w:iCs/>
          <w:i/>
        </w:rPr>
        <w:t xml:space="preserve">et al.</w:t>
      </w:r>
      <w:r>
        <w:t xml:space="preserve">, 2016).</w:t>
      </w:r>
    </w:p>
    <w:p>
      <w:pPr>
        <w:pStyle w:val="BodyText"/>
      </w:pPr>
      <w:r>
        <w:t xml:space="preserve">Số hoá bổ sung thêm một tầng phức tạp. Các công cụ số có thể giảm ma sát truyền thông và hỗ trợ phối hợp xuyên biên giới, nhưng giá trị thực hiện được phụ thuộc vào việc doanh nghiệp có chiều sâu tổ chức, năng lực hấp thụ (absorptive capacity), và các quy trình bổ trợ cần thiết để chuyển hoá việc áp dụng thành lợi ích năng suất hay không (Cohen and Levinthal, 1990; Vial, 2019; Verhoef</w:t>
      </w:r>
      <w:r>
        <w:t xml:space="preserve"> </w:t>
      </w:r>
      <w:r>
        <w:rPr>
          <w:iCs/>
          <w:i/>
        </w:rPr>
        <w:t xml:space="preserve">et al.</w:t>
      </w:r>
      <w:r>
        <w:t xml:space="preserve">, 2021; Petricevic and Teece, 2019). Điều này dẫn tới câu hỏi trung tâm của nghiên cứu: năng lực số ở Việt Nam vận hành như một tài sản nâng cao hiệu quả ổn định, hay như một nguồn lực phụ thuộc giai đoạn (stage-contingent) mà giá trị thay đổi theo vòng đời quốc tế hoá?</w:t>
      </w:r>
    </w:p>
    <w:p>
      <w:pPr>
        <w:pStyle w:val="BodyText"/>
      </w:pPr>
      <w:r>
        <w:t xml:space="preserve">Ba bước ngoặt thể chế định hình cửa sổ quan sát. Việt Nam gia nhập Tổ chức Thương mại Thế giới (WTO) đầu năm 2007, mở ra giai đoạn trước đợt khảo sát 2009. Đợt 2015 nắm bắt một pha trong đó xuất khẩu chế tạo đang mở rộng cùng tồn tại với hạ tầng thương mại số chưa phát triển và một nhóm doanh nghiệp xuất khẩu vẫn tập trung ở các phân khúc thâm dụng lao động. Đợt 2023 diễn ra sau Chương trình Chuyển đổi số Quốc gia 2020, sự mở rộng nhanh của các nền tảng thanh toán điện tử và thương mại điện tử xuyên biên giới, cùng sự tái cân bằng của đầu tư trực tiếp nước ngoài (FDI) theo hướng sản xuất qua trung gian số. Ba đợt do đó quan sát các doanh nghiệp dưới những tổ hợp khác biệt về cấu trúc giữa áp lực quốc tế hoá và mức sẵn có của hạ tầng số, khiến cách đọc theo vòng đời trở nên có thể kiểm định được chứ không chỉ mang tính khái niệm.</w:t>
      </w:r>
    </w:p>
    <w:p>
      <w:pPr>
        <w:pStyle w:val="BodyText"/>
      </w:pPr>
      <w:r>
        <w:t xml:space="preserve">Một quy luật trung tâm nổi lên là: hình chữ U ngược quan sát được trên toàn mẫu được dẫn dắt bởi biên tham gia (chênh lệch năng suất giữa các doanh nghiệp vượt từ không xuất khẩu sang có cường độ xuất khẩu dương) hơn là bởi sự bão hoà chi phí phối hợp trong nội bộ nhóm doanh nghiệp xuất khẩu. Khi đã khử biên tham gia, độ cong theo cường độ trong nội bộ nhóm xuất khẩu không phân biệt được về mặt thống kê với đường phẳng. Mô thức của Việt Nam do đó đọc như một hàm bậc thang (step function) băng qua ngưỡng gia nhập xuất khẩu trong một nền kinh tế chuyển đổi, chứ không phải một đường bão hoà liên tục như được ghi nhận trong các mẫu thị trường phát triển.</w:t>
      </w:r>
    </w:p>
    <w:p>
      <w:pPr>
        <w:pStyle w:val="BodyText"/>
      </w:pPr>
      <w:r>
        <w:t xml:space="preserve">Ba khoảng trống thúc đẩy nghiên cứu. Thứ nhất, các công trình hiện có thường xem số hoá như một nguồn lực tích cực một cách tổng quát mà chưa chú ý đầy đủ tới biến thiên theo thời gian và bối cảnh trong khoản lợi tức của nó (Strange and Zucchella, 2017; Goldfarb and Tucker, 2019); trên thực tế, số hoá có thể tạo ra lợi tức không đồng đều vì các doanh nghiệp khác nhau về quy mô, quy trình, và năng lực bổ trợ. Thứ hai, sự phân biệt giữa năng lực công nghệ (kho năng lực nội tại sâu hơn về học hỏi, giải quyết vấn đề, và năng lực đổi mới; Lall, 1992) và mức áp dụng công nghệ số nền tảng (một tầng cơ bản hơn về độ sẵn sàng số và các giao diện được số hoá; Bharadwaj</w:t>
      </w:r>
      <w:r>
        <w:t xml:space="preserve"> </w:t>
      </w:r>
      <w:r>
        <w:rPr>
          <w:iCs/>
          <w:i/>
        </w:rPr>
        <w:t xml:space="preserve">et al.</w:t>
      </w:r>
      <w:r>
        <w:t xml:space="preserve">, 2013; Verhoef</w:t>
      </w:r>
      <w:r>
        <w:t xml:space="preserve"> </w:t>
      </w:r>
      <w:r>
        <w:rPr>
          <w:iCs/>
          <w:i/>
        </w:rPr>
        <w:t xml:space="preserve">et al.</w:t>
      </w:r>
      <w:r>
        <w:t xml:space="preserve">, 2021; Hanelt</w:t>
      </w:r>
      <w:r>
        <w:t xml:space="preserve"> </w:t>
      </w:r>
      <w:r>
        <w:rPr>
          <w:iCs/>
          <w:i/>
        </w:rPr>
        <w:t xml:space="preserve">et al.</w:t>
      </w:r>
      <w:r>
        <w:t xml:space="preserve">, 2021) vẫn chưa được phát triển đầy đủ; gộp chúng thành một biến chung làm mờ các cơ chế liên kết số hoá với hiệu quả. Thứ ba, các ước lượng gộp có thể che lấp tính dị biệt theo vòng đời, nên một thiết kế kết hợp phân tích gộp và phân tích theo từng đợt là cần thiết để xác định liệu các tác động là ổn định hay phụ thuộc giai đoạn. Công trình phân tích tổng hợp gần đây củng cố mối lo này: Pisani</w:t>
      </w:r>
      <w:r>
        <w:t xml:space="preserve"> </w:t>
      </w:r>
      <w:r>
        <w:rPr>
          <w:iCs/>
          <w:i/>
        </w:rPr>
        <w:t xml:space="preserve">et al.</w:t>
      </w:r>
      <w:r>
        <w:t xml:space="preserve"> </w:t>
      </w:r>
      <w:r>
        <w:t xml:space="preserve">(2020) phát hiện rằng hình chữ U ngược suy yếu đáng kể, và đôi khi biến mất, dưới các nhận dạng chặt chẽ hơn trên các mẫu gộp đa quốc gia, trong khi Wu</w:t>
      </w:r>
      <w:r>
        <w:t xml:space="preserve"> </w:t>
      </w:r>
      <w:r>
        <w:rPr>
          <w:iCs/>
          <w:i/>
        </w:rPr>
        <w:t xml:space="preserve">et al.</w:t>
      </w:r>
      <w:r>
        <w:t xml:space="preserve"> </w:t>
      </w:r>
      <w:r>
        <w:t xml:space="preserve">(2022) cho thấy bối cảnh thể chế điều tiết kích thước tác động I–P mạnh hơn các biến năng lực cấp doanh nghiệp. Các thiết kế dọc trong nội bộ một quốc gia, vốn giữ bối cảnh thể chế cố định trong khi để thời gian biến thiên, do đó cung cấp một kiểm định đáng tin cậy hơn về việc liệu hình chữ U ngược có phải là một sản phẩm giả tạo của việc gộp đa quốc gia hay không; bộ dữ liệu ba đợt WBES Việt Nam cung cấp đúng thiết kế này.</w:t>
      </w:r>
    </w:p>
    <w:p>
      <w:pPr>
        <w:pStyle w:val="BodyText"/>
      </w:pPr>
      <w:r>
        <w:t xml:space="preserve">Nghiên cứu có bốn đóng góp. Thứ nhất, nó tinh chỉnh tranh luận I–P bằng cách cho thấy bằng chứng Việt Nam ủng hộ một mối quan hệ phi tuyến mà độ nổi bật thay đổi theo thời gian, nên đường cong I–P phải được đọc cùng với môi trường năng lực rộng hơn. Thứ hai, nó cải thiện độ giá trị cấu trúc (construct validity) bằng cách tách năng lực công nghệ khỏi mức áp dụng công nghệ số nền tảng; điều này quan trọng vì kho năng lực sâu và mức kích hoạt số cơ bản có thể tạo ra hiệu quả qua những kênh khác nhau và không thể hiện cùng một mô thức qua các đợt khảo sát Việt Nam. Thứ ba, nó giới thiệu một cách diễn giải quốc tế hoá số theo phụ thuộc giai đoạn xuyên các đợt: vì dữ liệu WBES là các lát cắt ngang lặp lại (repeated cross-sections), không thể quan sát quỹ đạo trong nội bộ doanh nghiệp, nhưng bằng chứng xuyên đợt gợi ý rằng năng lực số không phải là một khoản lợi tức ổn định phổ quát cũng không phải một nguồn lực vô hiệu đồng đều. Thứ tư, nó tái định hình chính hình chữ U ngược: điểm ngoặt được nhận dạng vững (39%–46% FSTS) nổi lên như một hàm bậc thang băng qua rào cản tham gia xuất khẩu hơn là một đường bão hoà chi phí phối hợp liên tục, định vị ma sát liên quan đến năng suất ở biên tham gia — nơi các rào cản thể chế, năng lực, và chi phí chìm ràng buộc mạnh nhất trong một nền kinh tế chuyển đổi — hơn là ở phần đuôi cường độ.</w:t>
      </w:r>
    </w:p>
    <w:bookmarkEnd w:id="21"/>
    <w:bookmarkStart w:id="29" w:name="X05ef95b78b31c427f3190b04e65ba3eba048287"/>
    <w:p>
      <w:pPr>
        <w:pStyle w:val="Heading2"/>
      </w:pPr>
      <w:r>
        <w:t xml:space="preserve">2. Cơ sở lý thuyết và giả thuyết</w:t>
      </w:r>
    </w:p>
    <w:bookmarkStart w:id="22" w:name="X27799ae45049c8a5130505151276ddbc596555a"/>
    <w:p>
      <w:pPr>
        <w:pStyle w:val="Heading3"/>
      </w:pPr>
      <w:r>
        <w:t xml:space="preserve">2.1 Quốc tế hoá và hiệu quả hoạt động của doanh nghiệp</w:t>
      </w:r>
    </w:p>
    <w:p>
      <w:pPr>
        <w:pStyle w:val="FirstParagraph"/>
      </w:pPr>
      <w:r>
        <w:t xml:space="preserve">Mối quan hệ I–P khó có thể tuyến tính trong một nền kinh tế chuyển đổi như Việt Nam. Mở rộng ra nước ngoài có thể cải thiện hiệu quả nhờ tầm với thị trường lớn hơn, đa dạng hoá, và học hỏi, nhưng mức độ tham gia quốc tế sâu hơn thường tạo ra chi phí phối hợp và gánh nặng tổ chức mà, khi mở rộng ngày càng mạnh, có thể tăng nhanh hơn lợi ích, dẫn tới lợi tức giảm dần hoặc âm. Lập luận này là nền tảng của quan điểm phi tuyến cổ điển về quan hệ I–P (Contractor, 2007; Hennart, 2011; Marano</w:t>
      </w:r>
      <w:r>
        <w:t xml:space="preserve"> </w:t>
      </w:r>
      <w:r>
        <w:rPr>
          <w:iCs/>
          <w:i/>
        </w:rPr>
        <w:t xml:space="preserve">et al.</w:t>
      </w:r>
      <w:r>
        <w:t xml:space="preserve">, 2016), và các cách tiếp cận quá trình, bao gồm khung Uppsala cập nhật, cũng nhấn mạnh rằng lợi ích và chi phí điều chỉnh diễn ra tăng dần khi doanh nghiệp tích luỹ tri thức và cam kết thị trường (Vahlne and Johanson, 2017; Knight and Liesch, 2016).</w:t>
      </w:r>
    </w:p>
    <w:p>
      <w:pPr>
        <w:pStyle w:val="BodyText"/>
      </w:pPr>
      <w:r>
        <w:t xml:space="preserve">Hai lực đối lập tạo nên độ cong. Ở phía thuận lợi, cường độ xuất khẩu trực tiếp gia tăng tạo ra lợi thế kinh tế nhờ quy mô, lan toả tri thức, và các hiệu ứng học hỏi nhờ xuất khẩu (learning-by-exporting) làm tăng năng suất (Wagner, 2007). Ở phía bất lợi, việc phối hợp sản xuất cho các thị trường xa cách về thể chế áp đặt chi phí xử lý thông tin mà chi phí phối hợp biên của nó tăng nhanh hơn lợi ích quy mô biên khi vượt một ngưỡng. Cơ chế ở đây là chi phí giao dịch thể chế (Williamson, 1985; Hennart, 2007): trong một nền kinh tế chuyển đổi, khoảng trống thực thi, thiếu hụt hậu cần, và bất cân xứng thông tin khiến mức suy giảm sau ngưỡng ràng buộc ở cường độ xuất khẩu thấp hơn so với các bối cảnh nơi hạ tầng số và chất lượng thực thi hợp đồng đã hấp thụ phần lớn ma sát này.</w:t>
      </w:r>
    </w:p>
    <w:p>
      <w:pPr>
        <w:pStyle w:val="BodyText"/>
      </w:pPr>
      <w:r>
        <w:t xml:space="preserve">Một cân nhắc thứ hai phát sinh từ cấu trúc của cường độ xuất khẩu trực tiếp trong WBES Việt Nam: biến FSTS bị chặn dưới ở không và có nhiều giá trị không (tỷ lệ doanh nghiệp không xuất khẩu là 71.6% năm 2009, 79.3% năm 2015 và 81.2% năm 2023; gộp 77.4%). Mối quan hệ I–P do đó bao gồm hai biên phân biệt về mặt phân tích. Biên tham gia là bước nhảy từ FSTS = 0 sang FSTS &gt; 0, nơi doanh nghiệp vượt ngưỡng gia nhập và hấp thụ chi phí gia nhập cố định; biên cường độ (intensity margin) là biến thiên của FSTS trong nội bộ nhóm doanh nghiệp xuất khẩu. Trong các nền kinh tế chuyển đổi với hạ tầng xuất khẩu mỏng, biên tham gia hợp lý là biên nâng cao năng suất chủ đạo, trong khi biên cường độ có thể cho thấy lợi tức giảm dần hoặc không có một khi đã vượt qua ngưỡng tham gia (Bernard</w:t>
      </w:r>
      <w:r>
        <w:t xml:space="preserve"> </w:t>
      </w:r>
      <w:r>
        <w:rPr>
          <w:iCs/>
          <w:i/>
        </w:rPr>
        <w:t xml:space="preserve">et al.</w:t>
      </w:r>
      <w:r>
        <w:t xml:space="preserve">, 2007; Wagner, 2007).</w:t>
      </w:r>
    </w:p>
    <w:p>
      <w:pPr>
        <w:pStyle w:val="BodyText"/>
      </w:pPr>
      <w:r>
        <w:rPr>
          <w:bCs/>
          <w:b/>
        </w:rPr>
        <w:t xml:space="preserve">H1.</w:t>
      </w:r>
      <w:r>
        <w:t xml:space="preserve"> </w:t>
      </w:r>
      <w:r>
        <w:t xml:space="preserve">Trong bối cảnh xuất khẩu nhiều giá trị không của Việt Nam, mối quan hệ I–P là phi đơn điệu trên toàn mẫu và được hiểu tốt nhất qua một cấu trúc tham-gia-và-cường-độ, vì các cơ chế chi phí phối hợp và học hỏi vận hành khác nhau ở biên tham gia so với trong nội bộ nhóm xuất khẩu (Hennart, 2007; Wagner, 2007).</w:t>
      </w:r>
      <w:r>
        <w:t xml:space="preserve"> </w:t>
      </w:r>
      <w:r>
        <w:rPr>
          <w:iCs/>
          <w:i/>
        </w:rPr>
        <w:t xml:space="preserve">(H1a, biên tham gia)</w:t>
      </w:r>
      <w:r>
        <w:t xml:space="preserve"> </w:t>
      </w:r>
      <w:r>
        <w:t xml:space="preserve">Việc vượt từ không xuất khẩu (FSTS = 0) sang có xuất khẩu (FSTS &gt; 0) gắn dương với năng suất lao động, nắm bắt bước nhảy học-hỏi-và-quy-mô tại điểm gia nhập.</w:t>
      </w:r>
      <w:r>
        <w:t xml:space="preserve"> </w:t>
      </w:r>
      <w:r>
        <w:rPr>
          <w:iCs/>
          <w:i/>
        </w:rPr>
        <w:t xml:space="preserve">(H1b, biên cường độ)</w:t>
      </w:r>
      <w:r>
        <w:t xml:space="preserve"> </w:t>
      </w:r>
      <w:r>
        <w:t xml:space="preserve">Trong nội bộ nhóm xuất khẩu, cường độ xuất khẩu trực tiếp tăng thêm dự kiến thể hiện lợi tức biên yếu hơn, giảm dần, hoặc không có ý nghĩa. Đặc tả chỉ-gồm-xuất-khẩu cung cấp kiểm định trực tiếp nhất cho H1b: nếu độ cong phản ánh biến thiên cường độ nội bộ nhóm xuất khẩu, số hạng bậc hai nên vẫn có ý nghĩa trong mẫu con đó.</w:t>
      </w:r>
    </w:p>
    <w:bookmarkEnd w:id="22"/>
    <w:bookmarkStart w:id="23" w:name="X693d7761e660017b0030ce2c3cb459e0903a67b"/>
    <w:p>
      <w:pPr>
        <w:pStyle w:val="Heading3"/>
      </w:pPr>
      <w:r>
        <w:t xml:space="preserve">2.2 Năng lực công nghệ và tiêu chuẩn nước ngoài, và hiệu quả doanh nghiệp</w:t>
      </w:r>
    </w:p>
    <w:p>
      <w:pPr>
        <w:pStyle w:val="FirstParagraph"/>
      </w:pPr>
      <w:r>
        <w:t xml:space="preserve">Theo truyền thống Lall (1992) cho các doanh nghiệp thị trường mới nổi, bài viết này dùng một cách đọc chặt về đo lường đối với năng lực công nghệ: một năng lực công nghệ và tiêu chuẩn nước ngoài nắm bắt mức độ tiếp xúc của doanh nghiệp với các đầu vào công nghệ được xác nhận từ bên ngoài: chứng nhận chất lượng được công nhận quốc tế và công nghệ nhập khẩu có giấy phép. Đây là một khía cạnh quan sát được của cấu trúc năng lực hấp thụ rộng hơn của Cohen and Levinthal (1990) và cấu trúc năng lực động (dynamic capability) của Teece (2007), nhưng thước đo này không tuyên bố nhận dạng toàn bộ kho năng lực hấp thụ; nó nắm bắt thành phần hướng ra bên ngoài (Eisenhardt and Martin, 2000; Karna</w:t>
      </w:r>
      <w:r>
        <w:t xml:space="preserve"> </w:t>
      </w:r>
      <w:r>
        <w:rPr>
          <w:iCs/>
          <w:i/>
        </w:rPr>
        <w:t xml:space="preserve">et al.</w:t>
      </w:r>
      <w:r>
        <w:t xml:space="preserve">, 2016). Một doanh nghiệp có năng lực công nghệ/tiêu chuẩn nước ngoài mạnh hơn có nhiều khả năng chuyển hoá tiếp xúc quốc tế thành lợi ích năng suất, điều chỉnh sản phẩm và quy trình để đáp ứng yêu cầu nước ngoài và tích hợp công nghệ có giấy phép vào sản xuất, và ngay cả khi nó không làm thay đổi độ cong của quan hệ I–P, vẫn nên nâng sàn năng suất trong nhóm doanh nghiệp có tiếp xúc. TCI_z chính được xây dựng từ hai mục, chứng nhận chất lượng được công nhận quốc tế (b8) và công nghệ nhập khẩu có giấy phép (e6), vốn đo lường mức tiếp xúc với các kênh công nghệ và tiêu chuẩn nước ngoài hơn là nỗ lực R&amp;D nội bộ.</w:t>
      </w:r>
    </w:p>
    <w:p>
      <w:pPr>
        <w:pStyle w:val="BodyText"/>
      </w:pPr>
      <w:r>
        <w:rPr>
          <w:bCs/>
          <w:b/>
        </w:rPr>
        <w:t xml:space="preserve">H2.</w:t>
      </w:r>
      <w:r>
        <w:t xml:space="preserve"> </w:t>
      </w:r>
      <w:r>
        <w:t xml:space="preserve">Trong môi trường xuất khẩu chuyển đổi của Việt Nam, năng lực công nghệ và tiêu chuẩn nước ngoài (TCI_z) mạnh hơn gắn với năng suất lao động cao hơn, vì tiếp xúc với chứng nhận chất lượng được công nhận quốc tế và công nghệ nhập khẩu có giấy phép nâng cao khả năng của doanh nghiệp trong việc đáp ứng yêu cầu thị trường nước ngoài và tích hợp đầu vào công nghệ bên ngoài vào quy trình sản xuất (Lall, 1992; Cohen and Levinthal, 1990), trước khi khoản lợi tức từ kênh này bị chặn bởi chiều sâu hấp thụ của doanh nghiệp so với toàn bộ kho đổi mới-và-R&amp;D (Eisenhardt and Martin, 2000).</w:t>
      </w:r>
    </w:p>
    <w:bookmarkEnd w:id="23"/>
    <w:bookmarkStart w:id="24" w:name="X9926f6fdeb2563ca16dc9ee150e247403451c38"/>
    <w:p>
      <w:pPr>
        <w:pStyle w:val="Heading3"/>
      </w:pPr>
      <w:r>
        <w:t xml:space="preserve">2.3 Hiện diện số dựa trên website và hiệu quả doanh nghiệp</w:t>
      </w:r>
    </w:p>
    <w:p>
      <w:pPr>
        <w:pStyle w:val="FirstParagraph"/>
      </w:pPr>
      <w:r>
        <w:t xml:space="preserve">DAI_z chính là một thước đo hiện diện số dựa trên website: một chỉ báo nhị phân về việc doanh nghiệp có website riêng hay không. Đây là một dấu hiệu nền tảng và có thể so sánh xuyên đợt của mức áp dụng số; nó không đo lường tích hợp số ở cấp giao dịch, hạ tầng thanh toán điện tử, hay chuyển đổi số theo nghĩa của Bharadwaj</w:t>
      </w:r>
      <w:r>
        <w:t xml:space="preserve"> </w:t>
      </w:r>
      <w:r>
        <w:rPr>
          <w:iCs/>
          <w:i/>
        </w:rPr>
        <w:t xml:space="preserve">et al.</w:t>
      </w:r>
      <w:r>
        <w:t xml:space="preserve"> </w:t>
      </w:r>
      <w:r>
        <w:t xml:space="preserve">(2013) / Verhoef</w:t>
      </w:r>
      <w:r>
        <w:t xml:space="preserve"> </w:t>
      </w:r>
      <w:r>
        <w:rPr>
          <w:iCs/>
          <w:i/>
        </w:rPr>
        <w:t xml:space="preserve">et al.</w:t>
      </w:r>
      <w:r>
        <w:t xml:space="preserve"> </w:t>
      </w:r>
      <w:r>
        <w:t xml:space="preserve">(2021) / Vial (2019). Chúng tôi dùng nó vì đây là chỉ báo số duy nhất mà công cụ WBES mang theo một cách có thể so sánh xuyên các đợt 2009 / 2015 / 2023; các mục cấp giao dịch như tỷ trọng thanh toán điện tử chỉ xuất hiện trong bảng hỏi 2023 (Brouthers</w:t>
      </w:r>
      <w:r>
        <w:t xml:space="preserve"> </w:t>
      </w:r>
      <w:r>
        <w:rPr>
          <w:iCs/>
          <w:i/>
        </w:rPr>
        <w:t xml:space="preserve">et al.</w:t>
      </w:r>
      <w:r>
        <w:t xml:space="preserve">, 2016; Goldfarb and Tucker, 2019). Đối với các doanh nghiệp tham gia thị trường nước ngoài, ngay cả việc áp dụng website nền tảng cũng có thể hạ chi phí để khách hàng nước ngoài tìm thấy doanh nghiệp, hỗ trợ giao tiếp bất đồng bộ, và phát tín hiệu tính chính danh; nhưng phạm vi của các lợi ích này bị chặn, và khoản lợi tức thực hiện được phụ thuộc vào việc doanh nghiệp có quy mô và quy trình để chuyển hiển thị trực tuyến thành hoạt động xuất khẩu hay không. Hiện diện số dựa trên website do đó nên cho thấy một liên hệ trung bình dương với hiệu quả, nhưng không nhất thiết đồng nhất qua các đợt: năm 2009 một website là một giao diện thị trường có tính phân biệt; tới năm 2023 nó gần với một dấu hiệu thường lệ về hiện diện số cơ bản.</w:t>
      </w:r>
    </w:p>
    <w:p>
      <w:pPr>
        <w:pStyle w:val="BodyText"/>
      </w:pPr>
      <w:r>
        <w:t xml:space="preserve">Theo Verhoef</w:t>
      </w:r>
      <w:r>
        <w:t xml:space="preserve"> </w:t>
      </w:r>
      <w:r>
        <w:rPr>
          <w:iCs/>
          <w:i/>
        </w:rPr>
        <w:t xml:space="preserve">et al.</w:t>
      </w:r>
      <w:r>
        <w:t xml:space="preserve"> </w:t>
      </w:r>
      <w:r>
        <w:t xml:space="preserve">(2021), năng lực số có thể được xếp trên một thang bốn tầng từ tầng 1 (hiện diện số: website, e-mail) qua tầng 2–3 (thương mại điện tử, thanh toán điện tử, số hoá chuỗi cung ứng) đến tầng 4 (năng lực số động); DAI_z chính neo ở tầng 1. Vì DAI_z rút gọn thành một mục nhị phân duy nhất (hiện diện website riêng c22b) và quyền sở hữu website đã lan tới gần một nửa dân số doanh nghiệp (49.8% năm 2023 so với 42.5% năm 2009), DAI_z</w:t>
      </w:r>
      <w:r>
        <w:t xml:space="preserve"> </w:t>
      </w:r>
      <w:r>
        <w:rPr>
          <w:bCs/>
          <w:b/>
        </w:rPr>
        <w:t xml:space="preserve">không được hình thức hoá thành một cấu trúc mang giả thuyết chính</w:t>
      </w:r>
      <w:r>
        <w:t xml:space="preserve">; nó được giữ trong mọi đặc tả như một biến kiểm soát hiện diện số nền tảng, báo cáo mang tính mô tả. Do đó không có H3 nào được phát biểu ở đây; phép thăm dò điều tiết số mang tính khám phá tiếp sau (§2.4) được đánh số H4 để giữ tính nhất quán với khung luận án rộng hơn, trong đó H3 theo quy ước tương ứng với điều tiết thể chế trong các bài đa quốc gia.</w:t>
      </w:r>
    </w:p>
    <w:bookmarkEnd w:id="24"/>
    <w:bookmarkStart w:id="28" w:name="Xce6c9a7d1c5c7c35771643fb67f4c7850f13da7"/>
    <w:p>
      <w:pPr>
        <w:pStyle w:val="Heading3"/>
      </w:pPr>
      <w:r>
        <w:t xml:space="preserve">2.4 Giá trị số phụ thuộc giai đoạn</w:t>
      </w:r>
    </w:p>
    <w:p>
      <w:pPr>
        <w:pStyle w:val="FirstParagraph"/>
      </w:pPr>
      <w:r>
        <w:t xml:space="preserve">Vì công cụ WBES Việt Nam không thể nhận dạng năng lực số tầng 2–4 xuyên các đợt, bài viết không đưa ra một tuyên bố chuyển đổi số chính; phần dưới đây định hình một phép thăm dò khám phá thứ cấp về việc liệu chỉ báo website tầng 1 có tương tác với cường độ xuất khẩu khác nhau qua các đợt hay không. Ở các pha đầu của quốc tế hoá, công cụ số có thể tạo lợi ích tương đối trực tiếp bằng cách giúp doanh nghiệp giao tiếp nhanh hơn và quản lý giao dịch; ở các pha sau, lợi ích có thể trở nên phụ thuộc điều kiện nhiều hơn, ngày càng tuỳ thuộc việc công cụ số có được nhúng vào các quy trình tổ chức rộng hơn và phù hợp với quy mô xuất khẩu hay không (Banalieva and Dhanaraj, 2019; Petricevic and Teece, 2019). Bất kỳ tương tác âm DAI × FSTS nào ở các đợt sau đều có thể được đọc qua hai cơ chế bổ sung, vận hành đồng thời. Cơ chế thứ nhất là độ phức tạp phối hợp phụ thuộc giai đoạn: ở cường độ xuất khẩu cao, ma sát ràng buộc là sự thiếu vắng tích hợp quy trình tầng 2–3 sâu hơn mà một website tầng 1 đơn lẻ không thể hỗ trợ. Cơ chế thứ hai là sự lỗi thời của cấu trúc dưới khuếch tán dân số: khi quyền sở hữu website tiến tới mức gần phổ quát, c22b vận hành như một dấu hiệu vệ sinh tổ chức hơn là một tín hiệu phân biệt. Thiết kế 2009 / 2015 / 2023 không thể tách hoàn toàn hai kênh, và cả hai cách đọc đều được xem là chính đáng trong giới hạn của dữ liệu.</w:t>
      </w:r>
    </w:p>
    <w:p>
      <w:pPr>
        <w:pStyle w:val="BodyText"/>
      </w:pPr>
      <w:r>
        <w:rPr>
          <w:bCs/>
          <w:b/>
        </w:rPr>
        <w:t xml:space="preserve">H4 (phép thăm dò khám phá, không phải giả thuyết chính).</w:t>
      </w:r>
      <w:r>
        <w:t xml:space="preserve"> </w:t>
      </w:r>
      <w:r>
        <w:t xml:space="preserve">Mức độ liên quan đến năng suất của hiện diện website nền tảng (DAI_z, chỉ tầng 1) có thể biến thiên qua các pha quốc tế hoá và chuyển đổi thể chế, nên bất kỳ điều tiết nào lên đường cong cường độ xuất khẩu bởi hiện diện số nền tảng đều dự kiến mang tính đặc thù theo đợt hơn là hiện diện đồng đều, với khả năng phát hiện trong mẫu mạnh nhất được dự đoán ở năm 2023. Một kết quả không ý nghĩa hoặc đổi dấu nên được đọc như sự lỗi thời của cấu trúc theo tầng hơn là bằng chứng phản bác điều tiết năng lực số động.</w:t>
      </w:r>
    </w:p>
    <w:p>
      <w:pPr>
        <w:pStyle w:val="BodyText"/>
      </w:pPr>
      <w:r>
        <w:drawing>
          <wp:inline>
            <wp:extent cx="5334000" cy="2930266"/>
            <wp:effectExtent b="0" l="0" r="0" t="0"/>
            <wp:docPr descr="Hình 1: Mô hình khái niệm" title="" id="26" name="Picture"/>
            <a:graphic>
              <a:graphicData uri="http://schemas.openxmlformats.org/drawingml/2006/picture">
                <pic:pic>
                  <pic:nvPicPr>
                    <pic:cNvPr descr="figures/vietnam/figure_1_conceptual_model.png" id="27" name="Picture"/>
                    <pic:cNvPicPr>
                      <a:picLocks noChangeArrowheads="1" noChangeAspect="1"/>
                    </pic:cNvPicPr>
                  </pic:nvPicPr>
                  <pic:blipFill>
                    <a:blip r:embed="rId25"/>
                    <a:stretch>
                      <a:fillRect/>
                    </a:stretch>
                  </pic:blipFill>
                  <pic:spPr bwMode="auto">
                    <a:xfrm>
                      <a:off x="0" y="0"/>
                      <a:ext cx="5334000" cy="2930266"/>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TCI, DAI, và cường độ xuất khẩu như những yếu tố quyết định hiệu quả doanh nghiệp (Việt Nam, ba đợt). Mũi tên liền biểu thị các tác động trực tiếp và phi tuyến được giả thuyết; mũi tên đứt biểu thị các tác động điều tiết. Cường độ quốc tế hoá (FSTS_c, FSTS_c²) là biến độc lập và ln(năng suất lao động) là biến phụ thuộc. H1 (hình chữ U ngược: β₁ &gt; 0, β₂ &lt; 0) dựa trên mô hình Uppsala (Johanson and Vahlne, 1977, 2009) và lý thuyết chi phí phối hợp (Hitt</w:t>
      </w:r>
      <w:r>
        <w:t xml:space="preserve"> </w:t>
      </w:r>
      <w:r>
        <w:rPr>
          <w:iCs/>
          <w:i/>
        </w:rPr>
        <w:t xml:space="preserve">et al.</w:t>
      </w:r>
      <w:r>
        <w:t xml:space="preserve">, 1997). H2 đặc tả năng lực công nghệ (TCI_z; Lý thuyết dựa trên nguồn lực, Barney, 1991) như một tác động trực tiếp dịch chuyển mức và một biến điều tiết thứ cấp. H4 xem mức áp dụng dựa trên website (DAI_z, chỉ tầng 1) như một phép thăm dò khám phá của Lăng kính Năng lực Số (Banalieva and Dhanaraj, 2019). Các biến kiểm soát (ln quy mô doanh nghiệp, tuổi doanh nghiệp, sở hữu nước ngoài, hiệu ứng cố định ngành và đợt) nhập cộng tính. Dữ liệu: WBES 2009, 2015, 2023; N = 2,958 (gộp), n_đợt = 989/956/1,013.</w:t>
      </w:r>
    </w:p>
    <w:bookmarkEnd w:id="28"/>
    <w:bookmarkEnd w:id="29"/>
    <w:bookmarkStart w:id="35" w:name="X9625864dada8107383b4a16f8e95c829edc6c27"/>
    <w:p>
      <w:pPr>
        <w:pStyle w:val="Heading2"/>
      </w:pPr>
      <w:r>
        <w:t xml:space="preserve">3. Dữ liệu, biến số, và chiến lược thực nghiệm</w:t>
      </w:r>
    </w:p>
    <w:bookmarkStart w:id="30" w:name="Xe2cb903402e003c83e737f7cc4a1dae6c613e85"/>
    <w:p>
      <w:pPr>
        <w:pStyle w:val="Heading3"/>
      </w:pPr>
      <w:r>
        <w:t xml:space="preserve">3.1 Cấu trúc dữ liệu</w:t>
      </w:r>
    </w:p>
    <w:p>
      <w:pPr>
        <w:pStyle w:val="FirstParagraph"/>
      </w:pPr>
      <w:r>
        <w:t xml:space="preserve">Phân tích sử dụng bằng chứng cấp doanh nghiệp đã hài hoà hoá cho Việt Nam qua ba đợt WBES: 2009, 2015 và 2023 (World Bank, 2010, 2016, 2024). Ước lượng theo từng đợt cho thấy liệu các mối quan hệ là ổn định hay đặc thù theo thời gian; ước lượng gộp nhận dạng các tác động trung bình. Các mẫu hiệu dụng là 989 (2009), 956 (2015) và 1,013 (2023); mô hình gộp chứa 2,958 quan sát.</w:t>
      </w:r>
    </w:p>
    <w:bookmarkEnd w:id="30"/>
    <w:bookmarkStart w:id="31" w:name="X4ccc2fb137c87b79d1e71cbfea6dc6e4b23640a"/>
    <w:p>
      <w:pPr>
        <w:pStyle w:val="Heading3"/>
      </w:pPr>
      <w:r>
        <w:t xml:space="preserve">3.2 Biến số</w:t>
      </w:r>
    </w:p>
    <w:p>
      <w:pPr>
        <w:pStyle w:val="FirstParagraph"/>
      </w:pPr>
      <w:r>
        <w:t xml:space="preserve">Hiệu quả doanh nghiệp được đo bằng log năng suất lao động, lnLP = ln(d2 / l1), trong đó d2 là tổng doanh thu năm (quy đổi PPP bằng giảm phát ICP của Ngân hàng Thế giới) và l1 là số lao động chính thức toàn thời gian. Quốc tế hoá là cường độ xuất khẩu trực tiếp, FSTS = d3c / 100, được trừ trung bình trong từng đợt (FSTS_c) và bình phương (FSTS_c²) để các số hạng tuyến tính và bậc hai có thể nhập đồng thời nhằm kiểm định tính phi tuyến. Chỉ số Năng lực Công nghệ chính (TCI_z) là trung bình đã chuẩn hoá theo z trong từng đợt của b8 (chứng nhận chất lượng được công nhận quốc tế) và e6 (công nghệ nhập khẩu có giấy phép), mỗi mục mã hoá lại thành 1/0; nó được diễn giải hẹp như một thước đo công nghệ và tiêu chuẩn nước ngoài (Lall, 1992; Cohen and Levinthal, 1990). Chỉ số Áp dụng Số chính (DAI_z) là chỉ báo hiện diện website c22b đã chuẩn hoá theo z trong từng đợt; theo đặc tả này không có mục nào dùng chung giữa TCI và DAI. Các biến kiểm soát gồm quy mô doanh nghiệp (lnEmp = ln l1), tuổi doanh nghiệp (năm khảo sát trừ b5), sở hữu nước ngoài (ForeignOwned = 1 nếu vốn nước ngoài b2b &gt; 0), hiệu ứng cố định ngành ISIC một chữ số (a4b cho 2009/2015; a4a cho 2023), và hiệu ứng cố định đợt trong các đặc tả gộp. Mã không phản hồi của WBES (−9) được xử lý là khuyết trước khi xây dựng các chỉ số hợp thành, với loại bỏ theo dòng trên tập biến trọng tâm. Hai chỉ số hợp thành mở rộng chỉ được dùng trong phân tích vững khi sự sẵn có của mục cho phép: TCI_full thêm các mục đổi mới sản phẩm (h1) và R&amp;D (h8) ở năm 2015 và 2023; DAI_rich, chỉ xây dựng cho 2023, mở rộng c22b với các tỷ trọng thanh toán điện tử (k33, k38). Định nghĩa biến, mục nguồn, và quy tắc xây dựng được báo cáo trong Bảng I.</w:t>
      </w:r>
    </w:p>
    <w:p>
      <w:pPr>
        <w:pStyle w:val="BodyText"/>
      </w:pPr>
      <w:r>
        <w:t xml:space="preserve">[Chèn Bảng I vào đây]</w:t>
      </w:r>
    </w:p>
    <w:bookmarkEnd w:id="31"/>
    <w:bookmarkStart w:id="32" w:name="X8642aea1e604fb368b9205dd294c100b0dc6e7e"/>
    <w:p>
      <w:pPr>
        <w:pStyle w:val="Heading3"/>
      </w:pPr>
      <w:r>
        <w:t xml:space="preserve">3.3 Chuỗi mô hình</w:t>
      </w:r>
    </w:p>
    <w:p>
      <w:pPr>
        <w:pStyle w:val="FirstParagraph"/>
      </w:pPr>
      <w:r>
        <w:t xml:space="preserve">Chiến lược tuân theo một chuỗi OLS lồng nhau với sai số chuẩn vững HC1. Gọi lnLP_it là log năng suất lao động của doanh nghiệp</w:t>
      </w:r>
      <w:r>
        <w:t xml:space="preserve"> </w:t>
      </w:r>
      <w:r>
        <w:rPr>
          <w:iCs/>
          <w:i/>
        </w:rPr>
        <w:t xml:space="preserve">i</w:t>
      </w:r>
      <w:r>
        <w:t xml:space="preserve"> </w:t>
      </w:r>
      <w:r>
        <w:t xml:space="preserve">ở đợt</w:t>
      </w:r>
      <w:r>
        <w:t xml:space="preserve"> </w:t>
      </w:r>
      <w:r>
        <w:rPr>
          <w:iCs/>
          <w:i/>
        </w:rPr>
        <w:t xml:space="preserve">t</w:t>
      </w:r>
      <w:r>
        <w:t xml:space="preserve">, FSTS_c_it là cường độ xuất khẩu đã trừ trung bình trong đợt,</w:t>
      </w:r>
      <w:r>
        <w:t xml:space="preserve"> </w:t>
      </w:r>
      <w:r>
        <w:rPr>
          <w:bCs/>
          <w:b/>
        </w:rPr>
        <w:t xml:space="preserve">X</w:t>
      </w:r>
      <w:r>
        <w:t xml:space="preserve">_it là các biến kiểm soát (lnEmp, FirmAge, ForeignOwned), δ_s là hiệu ứng cố định ngành, và λ_t là hiệu ứng cố định đợt (chỉ trong mô hình gộp). M0 là các biến kiểm soát nền; M1 thêm FSTS_c (tuyến tính); M2 thêm FSTS_c² (kiểm định H1, đòi hỏi β₁ &gt; 0, β₂ &lt; 0, với điểm ngoặt TP* = −β₁/(2β₂) được xác nhận bằng kiểm định u của Lind–Mehlum (2010)); M3 thêm TCI_z và các tương tác FSTS của nó (kiểm định H2); M4 thêm DAI_z và các tương tác FSTS của nó (H4 khám phá); M5 và M6 nhập TCI_z và DAI_z chỉ như tác động trực tiếp; M7 là mô hình hai-trực-tiếp không tương tác; M8 là mô hình đầy đủ (hai-trực-tiếp cộng điều tiết DAI). Chuỗi M0–M8 được ước lượng theo từng đợt và trên tệp gộp, tạo ra bốn bộ ước lượng (2009, 2015, 2023, gộp). Xuyên suốt, kết quả được mô tả như các liên hệ (association) hơn là tác động (effect), nhất quán với giới hạn suy luận của dữ liệu lát cắt ngang lặp lại (Antonakis</w:t>
      </w:r>
      <w:r>
        <w:t xml:space="preserve"> </w:t>
      </w:r>
      <w:r>
        <w:rPr>
          <w:iCs/>
          <w:i/>
        </w:rPr>
        <w:t xml:space="preserve">et al.</w:t>
      </w:r>
      <w:r>
        <w:t xml:space="preserve">, 2010; Wooldridge, 2010).</w:t>
      </w:r>
    </w:p>
    <w:bookmarkEnd w:id="32"/>
    <w:bookmarkStart w:id="33" w:name="Xaffa7f4882c8db08de9b3ea58f8af7d820aee53"/>
    <w:p>
      <w:pPr>
        <w:pStyle w:val="Heading3"/>
      </w:pPr>
      <w:r>
        <w:t xml:space="preserve">3.4 Nhận dạng và nội sinh</w:t>
      </w:r>
    </w:p>
    <w:p>
      <w:pPr>
        <w:pStyle w:val="FirstParagraph"/>
      </w:pPr>
      <w:r>
        <w:t xml:space="preserve">Một mối lo trung tâm là các doanh nghiệp xuất khẩu tự chọn vào thị trường nước ngoài dựa trên những đặc điểm cũng dự báo năng suất (Wagner, 2007; Wooldridge, 2010). Ba đặc trưng thiết kế xử lý điều này. Hiệu chỉnh Heckman hai bước thêm một tỉ số Mills nghịch đảo (IMR) từ phương trình lựa chọn probit với hiệu ứng cố định ngành × vùng × đợt; một IMR không ý nghĩa cho thấy ước lượng OLS không bị nhiễm đáng kể bởi tự chọn dương (Certo</w:t>
      </w:r>
      <w:r>
        <w:t xml:space="preserve"> </w:t>
      </w:r>
      <w:r>
        <w:rPr>
          <w:iCs/>
          <w:i/>
        </w:rPr>
        <w:t xml:space="preserve">et al.</w:t>
      </w:r>
      <w:r>
        <w:t xml:space="preserve">, 2016; Heckman, 1979). Ước lượng biến công cụ (IV) dùng tỷ lệ áp dụng của doanh nghiệp cùng nhóm theo ngành × vùng × đợt kiểu loại-một-ra (leave-one-out) làm công cụ cho DAI và TCI, với thống kê F giai đoạn một là 22–35, vượt xa ngưỡng 10 của Staiger–Stock (1997). Giới hạn ổn định hệ số Oster (2019) cho thấy không hệ số trọng tâm nào đổi dấu hoặc sụp về không dưới mức tự chọn không quan sát hợp lý. Cấu trúc lát cắt ngang lặp lại ngăn cản ước lượng hiệu ứng cố định trong nội bộ doanh nghiệp, nên nhận dạng dựa vào ba cách tiếp cận bổ sung này; mọi suy luận được mô tả như các liên hệ (Shaver, 2020).</w:t>
      </w:r>
    </w:p>
    <w:bookmarkEnd w:id="33"/>
    <w:bookmarkStart w:id="34" w:name="Xad36f696c4a8882228a774e3d4ccef218d0b35c"/>
    <w:p>
      <w:pPr>
        <w:pStyle w:val="Heading3"/>
      </w:pPr>
      <w:r>
        <w:t xml:space="preserve">3.5 Tái lập và khả năng tái tạo</w:t>
      </w:r>
    </w:p>
    <w:p>
      <w:pPr>
        <w:pStyle w:val="FirstParagraph"/>
      </w:pPr>
      <w:r>
        <w:t xml:space="preserve">Toàn bộ quy trình được triển khai dưới dạng một bản thiết kế Stata mười bước phân phối kèm bản thảo, bao gồm làm sạch và hài hoà hoá các đợt, chuỗi M0–M8, kiểm tra điểm ngoặt Lind–Mehlum, các phép thăm dò lựa chọn Heckman, kiểm định z xuyên đợt của Paternoster</w:t>
      </w:r>
      <w:r>
        <w:t xml:space="preserve"> </w:t>
      </w:r>
      <w:r>
        <w:rPr>
          <w:iCs/>
          <w:i/>
        </w:rPr>
        <w:t xml:space="preserve">et al.</w:t>
      </w:r>
      <w:r>
        <w:t xml:space="preserve"> </w:t>
      </w:r>
      <w:r>
        <w:t xml:space="preserve">(1998), và các bảng phân tích vững. Chạy lại quy trình từ một bản sao mới tái tạo mọi hệ số được báo cáo dưới đây (Aguinis</w:t>
      </w:r>
      <w:r>
        <w:t xml:space="preserve"> </w:t>
      </w:r>
      <w:r>
        <w:rPr>
          <w:iCs/>
          <w:i/>
        </w:rPr>
        <w:t xml:space="preserve">et al.</w:t>
      </w:r>
      <w:r>
        <w:t xml:space="preserve">, 2021; Shaver, 2020).</w:t>
      </w:r>
    </w:p>
    <w:bookmarkEnd w:id="34"/>
    <w:bookmarkEnd w:id="35"/>
    <w:bookmarkStart w:id="44" w:name="Xc1528237297c4ce8999628372a6b48494fd6214"/>
    <w:p>
      <w:pPr>
        <w:pStyle w:val="Heading2"/>
      </w:pPr>
      <w:r>
        <w:t xml:space="preserve">4. Kết quả</w:t>
      </w:r>
    </w:p>
    <w:p>
      <w:pPr>
        <w:pStyle w:val="FirstParagraph"/>
      </w:pPr>
      <w:r>
        <w:t xml:space="preserve">Bảng II báo cáo thống kê mô tả của mẫu phân tích theo đợt. Ba mô thức nổi bật trước phân tích suy luận. Tỷ lệ doanh nghiệp báo cáo bất kỳ cường độ xuất khẩu trực tiếp dương nào giảm từ 28.4% năm 2009 xuống 20.7% năm 2015 và 18.8% năm 2023, phản ánh sự tái cân bằng của nhóm doanh nghiệp xuất khẩu rời khỏi chế tạo thâm dụng lao động hướng tới dịch vụ và các doanh nghiệp chuỗi cung ứng gắn FDI. Trung bình trong đợt của chỉ báo website tăng từ 0.425 (2009) lên 0.483 (2015) và 0.498 (2023), cho thấy sự khuếch tán rộng của hiện diện số cơ bản. Trung bình log năng suất lao động tăng đơn điệu (19.41 / 20.04 / 20.55), nhất quán với sự hội tụ năng suất rộng hơn của Việt Nam.</w:t>
      </w:r>
    </w:p>
    <w:p>
      <w:pPr>
        <w:pStyle w:val="BodyText"/>
      </w:pPr>
      <w:r>
        <w:t xml:space="preserve">[Chèn Bảng II vào đây]</w:t>
      </w:r>
    </w:p>
    <w:bookmarkStart w:id="36" w:name="Xf3d6ceb3b570cc5cd95995f2b47f6035efbb788"/>
    <w:p>
      <w:pPr>
        <w:pStyle w:val="Heading3"/>
      </w:pPr>
      <w:r>
        <w:t xml:space="preserve">4.1 Phát hiện theo từng đợt</w:t>
      </w:r>
    </w:p>
    <w:p>
      <w:pPr>
        <w:pStyle w:val="FirstParagraph"/>
      </w:pPr>
      <w:r>
        <w:t xml:space="preserve">Đợt 2009 thể hiện một quan hệ I–P phi tuyến rõ ràng với các tác động trực tiếp năng lực và áp dụng số mạnh. Đặc tả hình chữ U ngược (M2) cho số hạng tuyến tính dương (β = 1.045, p = .015) và số hạng bậc hai âm (β = -1.774, p = .009); kiểm định Lind–Mehlum bác bỏ tính đơn điệu ở p = .006. Trong M7 hai-trực-tiếp, cả TCI_z (β = 0.215, p &lt; .001) và DAI_z (β = 0.175, p &lt; .001) đều dương. Điều tiết TCI phân biệt được với không về mặt thống kê (M3 joint p = .040; FSTS_c × TCI_z = -0.579, p = .087), nhưng điều tiết DAI thì không (M4 joint p = .825; M8 joint p = .700). Cả hai chiều năng lực năm 2009 vận hành chủ yếu như những yếu tố dịch chuyển mức trực tiếp.</w:t>
      </w:r>
    </w:p>
    <w:p>
      <w:pPr>
        <w:pStyle w:val="BodyText"/>
      </w:pPr>
      <w:r>
        <w:t xml:space="preserve">Đợt 2015 cho thấy độ cong rõ ràng nhưng kênh số yếu nhất. M2 cho FSTS_c β = 1.159 (p = .029) và FSTS_c² β = -2.115 (p = .004), Lind–Mehlum p = .009. TCI_z giữ một liên hệ trực tiếp dương (β = 0.128, p = .010), khoảng 60% kích thước của năm 2009, trong khi DAI_z mất hoàn toàn độ nổi bật trực tiếp (β = -0.044, p = .377). Điều tiết TCI không ý nghĩa (M3 joint p = .713) và điều tiết DAI nhiều nhất là biên (M4 joint p = .125; M8 joint p = .093). Đợt này trông giống một đợt trong đó độ cong I–P sắc bất thường trong khi kênh số nén lại hoàn toàn, nhất quán với cách giải thích đường cong J năng suất (productivity J-curve) trong đó doanh nghiệp đầu tư vào công cụ số cơ bản trước khi những điều chỉnh tổ chức bổ trợ tạo ra lợi ích đo lường được (Brynjolfsson</w:t>
      </w:r>
      <w:r>
        <w:t xml:space="preserve"> </w:t>
      </w:r>
      <w:r>
        <w:rPr>
          <w:iCs/>
          <w:i/>
        </w:rPr>
        <w:t xml:space="preserve">et al.</w:t>
      </w:r>
      <w:r>
        <w:t xml:space="preserve">, 2021).</w:t>
      </w:r>
    </w:p>
    <w:p>
      <w:pPr>
        <w:pStyle w:val="BodyText"/>
      </w:pPr>
      <w:r>
        <w:t xml:space="preserve">Đợt 2023 là nơi tín hiệu điều tiết số nổi lên sắc nét nhất. M2 lại cho thấy hình chữ U ngược rõ (FSTS_c β = 0.962, p = .039; FSTS_c² β = -1.686, p = .008; Lind–Mehlum p = .013). Trong M7, cả hai chiều năng lực đều dương (TCI_z β = 0.123, p = .006; DAI_z β = 0.095, p = .038). Khi thêm các tương tác DAI vào M8, tương tác tuyến tính âm và có ý nghĩa riêng lẻ (FSTS_c × DAI_z = -0.912, p = .043), tương tác bậc hai dương nhưng không ý nghĩa (FSTS_c² × DAI_z = 1.043, p = .099), và kiểm định joint vượt .05 (M4 joint p = .102; M8 joint p = .062). Tới năm 2023, mức áp dụng số cơ bản trở nên phụ thuộc cường độ xuất khẩu nhiều hơn: vượt mức FSTS trung bình, đóng góp năng suất của hiện diện số cơ bản suy giảm. Một cách giải thích bổ sung, nhất quán với kết quả không ý nghĩa 2SLS đối với DAI được công cụ hoá (β = 0.018, p = .942), là sự lỗi thời của biến đại diện: hiện diện website đã trở thành một chứng chỉ ngưỡng tối thiểu hơn là một yếu tố phân biệt năng lực khi mức áp dụng tầng 1 khuếch tán tới mức gần phổ quát.</w:t>
      </w:r>
    </w:p>
    <w:p>
      <w:pPr>
        <w:pStyle w:val="BodyText"/>
      </w:pPr>
      <w:r>
        <w:t xml:space="preserve">Gộp lại, các kết quả theo đợt vạch ra hai liên hệ nhất quán với phụ thuộc giai đoạn. Năng lực công nghệ/tiêu chuẩn nước ngoài dương ở cả ba đợt với kích thước suy giảm vừa phải (TCI_z = 0.215 → 0.128 → 0.123) nhưng điều tiết vẫn tồn tại ở các panel 2009, 2023 và gộp. Hiện diện số dựa trên website đi theo một quỹ đạo phi đơn điệu (mạnh năm 2009, không ý nghĩa năm 2015, tái nổi lên năm 2023), và kênh điều tiết của nó chỉ hiện ra ở năm 2023. Một kiểm định tương tác đợt × biến trọng tâm gộp chính thức gợi ý rằng chỉ các dịch chuyển trực tiếp DAI là phân biệt được xuyên đợt, nên chúng tôi đọc mô thức như các liên hệ đặc thù theo đợt nhất quán với phụ thuộc giai đoạn hơn là một dịch chuyển cấu trúc được nhận dạng đầy đủ xuyên đợt.</w:t>
      </w:r>
    </w:p>
    <w:bookmarkEnd w:id="36"/>
    <w:bookmarkStart w:id="40" w:name="Xd39f9c27da9271ef2f4cd20efce39375d68921a"/>
    <w:p>
      <w:pPr>
        <w:pStyle w:val="Heading3"/>
      </w:pPr>
      <w:r>
        <w:t xml:space="preserve">4.2 Phát hiện gộp</w:t>
      </w:r>
    </w:p>
    <w:p>
      <w:pPr>
        <w:pStyle w:val="FirstParagraph"/>
      </w:pPr>
      <w:r>
        <w:t xml:space="preserve">Các ước lượng gộp nhất quán với một quan hệ I–P phi tuyến trung bình. Trong M2, số hạng tuyến tính FSTS_c dương (β = 0.984, p &lt; .001) và bậc hai âm (β = -1.909, p &lt; .001); Lind–Mehlum bác bỏ tính đơn điệu ở p &lt; .001 với điểm ngoặt ở 39.7% cường độ xuất khẩu trực tiếp. Theo Haans</w:t>
      </w:r>
      <w:r>
        <w:t xml:space="preserve"> </w:t>
      </w:r>
      <w:r>
        <w:rPr>
          <w:iCs/>
          <w:i/>
        </w:rPr>
        <w:t xml:space="preserve">et al.</w:t>
      </w:r>
      <w:r>
        <w:t xml:space="preserve"> </w:t>
      </w:r>
      <w:r>
        <w:t xml:space="preserve">(2016), cả bốn điều kiện cho một hình chữ U ngược thực sự đều được thoả mãn (β₁ = +0.984 và β₂ = −1.909, đều p &lt; .001; TP* = 39.7% nằm trong dải quan sát; lợi tức biên dương ở chặn dưới của dữ liệu và âm ở chặn trên). Độ cong vẫn tồn tại trong M8 (FSTS_c β = 0.845, p = .006; FSTS_c² β = -1.650, p &lt; .001), nhất quán với H1 và với bằng chứng phân tích tổng hợp về dạng phi tuyến của lợi tức quốc tế hoá ở các doanh nghiệp thị trường mới nổi (Marano</w:t>
      </w:r>
      <w:r>
        <w:t xml:space="preserve"> </w:t>
      </w:r>
      <w:r>
        <w:rPr>
          <w:iCs/>
          <w:i/>
        </w:rPr>
        <w:t xml:space="preserve">et al.</w:t>
      </w:r>
      <w:r>
        <w:t xml:space="preserve">, 2016).</w:t>
      </w:r>
    </w:p>
    <w:p>
      <w:pPr>
        <w:pStyle w:val="BodyText"/>
      </w:pPr>
      <w:r>
        <w:t xml:space="preserve">Cả hai chiều năng lực đều gắn dương với hiệu quả trung bình. Trong M7 gộp, TCI_z dương (β = 0.179, p &lt; .001) và DAI_z dương (β = 0.078, p = .004). Trong M8, TCI_z gần như không đổi (β = 0.184, p &lt; .001) trong khi hệ số trực tiếp DAI_z trở nên không phân biệt được với không (β = 0.032, p = .537) một khi các tương tác nhập vào, nhất quán với việc DAI_z kết hợp một tác động mức dương với một tương tác âm với FSTS_c ở cường độ cao hơn, đúng mô thức năm 2023. Các tương tác DAI gộp chỉ mang một tín hiệu joint biên (FSTS_c × DAI_z = -0.448, p = .116; FSTS_c² × DAI_z = 0.460, p = .276; M8 joint p = .083), được dẫn dắt chủ yếu bởi đợt 2023. Điều tiết năng lực công nghệ phân bố đồng đều hơn: kiểm định joint M3 phân biệt được với không ở ba trong bốn panel (2009 p = .040, 2023 p = .027, gộp p = .003) và chỉ không ý nghĩa ở 2015 (p = .713); gộp lại, tương tác tuyến tính âm (FSTS_c × TCI_z = -0.587, p = .003) và bậc hai dương (FSTS_c² × TCI_z = 0.640, p = .031), cho thấy hình chữ U ngược phẳng đi đối với các doanh nghiệp năng lực cao hơn là dịch chuyển về mức (Cohen and Levinthal, 1990; Lall, 1992). Nếu phân tích dừng ở ước lượng gộp, người ta có thể kết luận rằng số hoá tạo ra một khoản lợi tức dương rộng nhưng đơn giản về cấu trúc; bằng chứng theo đợt cho thấy điều này sẽ không đầy đủ.</w:t>
      </w:r>
    </w:p>
    <w:p>
      <w:pPr>
        <w:pStyle w:val="BodyText"/>
      </w:pPr>
      <w:r>
        <w:drawing>
          <wp:inline>
            <wp:extent cx="5334000" cy="3555999"/>
            <wp:effectExtent b="0" l="0" r="0" t="0"/>
            <wp:docPr descr="Hình 2: Năng suất lao động dự báo theo FSTS, theo đợt và gộp" title="" id="38" name="Picture"/>
            <a:graphic>
              <a:graphicData uri="http://schemas.openxmlformats.org/drawingml/2006/picture">
                <pic:pic>
                  <pic:nvPicPr>
                    <pic:cNvPr descr="figures/vietnam/figure_2d.png" id="39" name="Picture"/>
                    <pic:cNvPicPr>
                      <a:picLocks noChangeArrowheads="1" noChangeAspect="1"/>
                    </pic:cNvPicPr>
                  </pic:nvPicPr>
                  <pic:blipFill>
                    <a:blip r:embed="rId37"/>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ln(năng suất lao động) dự báo như một hàm của FSTS (M2). Điểm ngoặt: ≈ 46% (2009), ≈ 39% (2015), ≈ 42% (2023), ≈ 40% (gộp); Lind–Mehlum p = .006 / .009 / .013 / &lt;.001. Các panel theo từng đợt (Hình 2a–2d) được cung cấp trong Tài liệu Bổ sung.</w:t>
      </w:r>
    </w:p>
    <w:bookmarkEnd w:id="40"/>
    <w:bookmarkStart w:id="41" w:name="X78d4c366d6bfb1572651ffbbe35fe9d8afd2d69"/>
    <w:p>
      <w:pPr>
        <w:pStyle w:val="Heading3"/>
      </w:pPr>
      <w:r>
        <w:t xml:space="preserve">4.3 Diễn giải các kiểm định giả thuyết</w:t>
      </w:r>
    </w:p>
    <w:p>
      <w:pPr>
        <w:pStyle w:val="FirstParagraph"/>
      </w:pPr>
      <w:r>
        <w:t xml:space="preserve">H1 nhận được sự ủng hộ có điều kiện. Lind–Mehlum bác bỏ tính đơn điệu ở cả ba đợt (2009 p = .006, 2015 p = .009, 2023 p = .013) và gộp (p &lt; .001), và các điểm ngoặt hàm ý tập trung chặt trong khoảng 39.3% (2015) và 46.2% (2009), gộp 39.7%. Đồng thời, các mô hình chỉ-gồm-xuất-khẩu cho thấy độ cong suy yếu đáng kể một khi biên tham gia được khử; do đó cách diễn giải có cơ sở nhất là một cấu trúc tham-gia-và-cường-độ kết hợp với phần tương phản liên quan đến năng suất tập trung ở bước chuyển từ không xuất khẩu sang có xuất khẩu. Cách đọc theo bối cảnh thể chế được củng cố bởi sự ổn định xuyên đợt trong nội bộ Việt Nam: ngưỡng gộp (39.7%; dải 39.3–46.2%) bền vững về cấu trúc qua ba đợt trải dài 14 năm thay đổi thể chế lớn. Một điểm ngoặt tập trung trong một dải hẹp ~7 điểm phần trăm bất chấp những dịch chuyển này nhất quán với chi phí giao dịch thể chế ràng buộc qua các ràng buộc sâu cấp doanh nghiệp (năng lực phối hợp, thực thi hợp đồng, và tiếp cận tài trợ thương mại) vốn thay đổi chậm hơn môi trường rộng hơn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được ủng hộ: hệ số trực tiếp TCI_z dương (gộp β = 0.179, p &lt; .001) có ý nghĩa ở cả ba đợt (2009 p &lt; .001; 2015 p = .010; 2023 p = .006), và điều tiết TCI phân biệt được xuất hiện ở ba trong bốn panel. Biến kiểm soát nền DAI_z báo cáo một liên hệ mức gộp dương (β = 0.078, p = .004) nhưng với biến thiên đáng kể giữa các đợt (mạnh năm 2009, không ý nghĩa năm 2015, tái nổi lên năm 2023); vì DAI_z chỉ chỉ số hoá hiện diện tầng 1 và không phải một giả thuyết chính, biến thiên này được báo cáo mang tính mô tả.</w:t>
      </w:r>
    </w:p>
    <w:p>
      <w:pPr>
        <w:pStyle w:val="BodyText"/>
      </w:pPr>
      <w:r>
        <w:t xml:space="preserve">H4 nhận được sự ủng hộ khám phá hạn chế. Kiểm định điều tiết joint DAI không ý nghĩa ở 2009 (M4 p = .825) và 2015 (M4 p = .125) và đạt ngưỡng ý nghĩa ở 2023 (FSTS_c × DAI_z = -0.912, p = .043; M4 joint p = .102, M8 p = .062); kiểm định joint M8 gộp (p = .083) được dẫn dắt bởi đợt 2023. Theo Haans</w:t>
      </w:r>
      <w:r>
        <w:t xml:space="preserve"> </w:t>
      </w:r>
      <w:r>
        <w:rPr>
          <w:iCs/>
          <w:i/>
        </w:rPr>
        <w:t xml:space="preserve">et al.</w:t>
      </w:r>
      <w:r>
        <w:t xml:space="preserve"> </w:t>
      </w:r>
      <w:r>
        <w:t xml:space="preserve">(2016), bằng chứng DAI năm 2023 khớp với điều tiết Loại I: tương tác tuyến tính có ý nghĩa cho thấy mức áp dụng số làm phẳng độ dốc dương ở cường độ xuất khẩu thấp, kéo điểm ngoặt vào trong, trong khi tương tác FSTS² × DAI không ý nghĩa xác nhận hình chữ U ngược được bảo toàn. Điều tiết Loại II, trong đó năng lực số đảo ngược độ cong, không được ủng hộ.</w:t>
      </w:r>
    </w:p>
    <w:p>
      <w:pPr>
        <w:pStyle w:val="BodyText"/>
      </w:pPr>
      <w:r>
        <w:t xml:space="preserve">[Chèn Bảng III vào đây]</w:t>
      </w:r>
    </w:p>
    <w:bookmarkEnd w:id="41"/>
    <w:bookmarkStart w:id="42" w:name="X41b722d70da7a50b73503c4bc6b3f614ed958f5"/>
    <w:p>
      <w:pPr>
        <w:pStyle w:val="Heading3"/>
      </w:pPr>
      <w:r>
        <w:t xml:space="preserve">4.4 Mô thức thực nghiệm chính: tham gia × cường độ</w:t>
      </w:r>
    </w:p>
    <w:p>
      <w:pPr>
        <w:pStyle w:val="FirstParagraph"/>
      </w:pPr>
      <w:r>
        <w:t xml:space="preserve">Hình chữ U ngược toàn mẫu cung cấp thông tin về mô thức tham-gia-và-cường-độ kết hợp, nhưng độ cong của nó được nhận dạng chủ yếu qua biên tham gia: chỉ ~1.0% doanh nghiệp gộp nằm trong khoảng ±5 điểm phần trăm của các điểm ngoặt theo đợt, với phần lớn khối lượng nằm tại FSTS = 0. Khi tái khớp M2 / M7 / M8 trên mẫu con chỉ-gồm-xuất-khẩu (FSTS &gt; 0; gộp N = 669), số hạng tuyến tính FSTS_c âm (β = -0.861, p &lt; .001) nhưng số hạng bậc hai không ý nghĩa (FSTS_c² β = -0.200, p = .660; M8 joint p = .462). H1a (biên tham gia) do đó là biên liên quan đến năng suất chủ đạo; độ cong theo cường độ trong nội bộ nhóm xuất khẩu mà H1b tuyên bố suy yếu một khi biên tham gia được khử. Chúng tôi giữ hình chữ U ngược toàn mẫu như quy luật chủ đạo nhưng diễn giải nó tường minh qua lăng kính cơ chế kép: phần lớn chênh lệch năng suất nằm giữa doanh nghiệp không xuất khẩu và có xuất khẩu, với độ cong bổ sung hạn chế trong nội bộ nhóm xuất khẩu (các hệ số trọng tâm theo đợt và gộp được tóm tắt trong Bảng III).</w:t>
      </w:r>
    </w:p>
    <w:bookmarkEnd w:id="42"/>
    <w:bookmarkStart w:id="43" w:name="X9e1a248961c6f9e508fa7c75dd01c1306eb820d"/>
    <w:p>
      <w:pPr>
        <w:pStyle w:val="Heading3"/>
      </w:pPr>
      <w:r>
        <w:t xml:space="preserve">4.5 Phân tích vững</w:t>
      </w:r>
    </w:p>
    <w:p>
      <w:pPr>
        <w:pStyle w:val="FirstParagraph"/>
      </w:pPr>
      <w:r>
        <w:t xml:space="preserve">Bốn nhóm kiểm tra vững xem xét liệu các suy luận trung tâm có nhạy với lựa chọn đo lường, thành phần ngành, cấu trúc tham gia xuất khẩu, và nội sinh hay không; tất cả được ước lượng trên cùng thiết kế OLS HC1 và báo cáo đầy đủ trong Tài liệu Bổ sung. Tóm lại: hình chữ U ngược được bảo toàn ở cả hai phân nhóm chế tạo và phi chế tạo nhưng sắc hơn ở chế tạo, nơi các kênh năng lực và áp dụng số tập trung (Panel G); mẫu con chỉ-gồm-xuất-khẩu xác nhận cách đọc biên tham gia (Panel H); các chỉ số hợp thành tăng cường đổi mới (TCI_full) và cho phép giao dịch (DAI_rich, 2023) tái tạo chiều hướng của các kết quả chủ đạo (Panel A–B); tỉ số Mills nghịch đảo Heckman không ý nghĩa (Panel E); và bằng chứng IV/PSM cho thấy TCI vững về nhận dạng (2SLS β = 1.64, p &lt; .001; ATT đối sánh 0.61–0.64) trong khi DAI suy giảm về không dưới 2SLS (β = 0.02, p = .94) dù sống sót qua đối sánh (ATT 0.30–0.32), nhất quán với việc hiện diện website hành xử như một dấu hiệu nhạy bối cảnh, nhạy lựa chọn hơn là một năng lực vững về nhận dạng.</w:t>
      </w:r>
    </w:p>
    <w:bookmarkEnd w:id="43"/>
    <w:bookmarkEnd w:id="44"/>
    <w:bookmarkStart w:id="45" w:name="X3923f9545aa9c992e02ccb4472a40e02686b4e2"/>
    <w:p>
      <w:pPr>
        <w:pStyle w:val="Heading2"/>
      </w:pPr>
      <w:r>
        <w:t xml:space="preserve">5. Thảo luận</w:t>
      </w:r>
    </w:p>
    <w:p>
      <w:pPr>
        <w:pStyle w:val="FirstParagraph"/>
      </w:pPr>
      <w:r>
        <w:t xml:space="preserve">Đặt cạnh nền tảng phân tích tổng hợp, các kết quả làm rõ điều kiện của quan hệ I–P trung bình dương mà Wu</w:t>
      </w:r>
      <w:r>
        <w:t xml:space="preserve"> </w:t>
      </w:r>
      <w:r>
        <w:rPr>
          <w:iCs/>
          <w:i/>
        </w:rPr>
        <w:t xml:space="preserve">et al.</w:t>
      </w:r>
      <w:r>
        <w:t xml:space="preserve"> </w:t>
      </w:r>
      <w:r>
        <w:t xml:space="preserve">(2022) thiết lập cho các công ty đa quốc gia thị trường mới nổi bằng cách gộp xuyên các bối cảnh thể chế nơi dạng hàm có thể biến thiên. Hình chữ U ngược vững trong nội bộ Việt Nam nhưng được dẫn dắt chủ yếu bởi một bước nhảy biên tham gia hơn là sự bão hoà trong nội bộ nhóm xuất khẩu, một cấu trúc mà việc gộp đa quốc gia có xu hướng thổi phồng thành một độ cong liên tục biểu kiến. Tính bền vững theo thời gian của ngưỡng (dải 39%–46% suốt 14 năm) còn cho thấy bối cảnh thể chế, được giữ cố định trong thiết kế đơn quốc gia này, có thể ổn định hoá dạng đường cong theo cách mà các thiết kế đa quốc gia không thể tách bạch, nhất quán với sự hoài nghi đa quốc gia của Pisani</w:t>
      </w:r>
      <w:r>
        <w:t xml:space="preserve"> </w:t>
      </w:r>
      <w:r>
        <w:rPr>
          <w:iCs/>
          <w:i/>
        </w:rPr>
        <w:t xml:space="preserve">et al.</w:t>
      </w:r>
      <w:r>
        <w:t xml:space="preserve"> </w:t>
      </w:r>
      <w:r>
        <w:t xml:space="preserve">(2020).</w:t>
      </w:r>
    </w:p>
    <w:p>
      <w:pPr>
        <w:pStyle w:val="BodyText"/>
      </w:pPr>
      <w:r>
        <w:t xml:space="preserve">Hiện diện website nền tảng không nên được diễn giải như một khoản lợi tức năng suất phổ quát, ổn định, cũng không như bằng chứng về năng lực số động. Mặc dù cả TCI_z và DAI_z đều dương trung bình, vai trò thực nghiệm của chúng khác nhau qua các đợt và các chiến lược nhận dạng (Vahlne, 2020; Stallkamp and Schotter, 2021): quyền sở hữu website là một dấu hiệu nhạy bối cảnh mà liên hệ năng suất của nó suy giảm dưới nhận dạng biến công cụ. Dấu âm FSTS_c × DAI_z năm 2023 nhất quán với ranh giới tầng 1 của cấu trúc: một website đơn lẻ không thể quản lý mật độ giao dịch của các hoạt động cường độ xuất khẩu cao nếu thiếu hỗ trợ thanh toán điện tử và tích hợp quy trình.</w:t>
      </w:r>
    </w:p>
    <w:p>
      <w:pPr>
        <w:pStyle w:val="BodyText"/>
      </w:pPr>
      <w:r>
        <w:t xml:space="preserve">Các kết quả này củng cố lập luận về phương pháp cho việc tách năng lực công nghệ/tiêu chuẩn nước ngoài khỏi một chỉ báo hiện diện website nền tảng. Bằng chứng IV và đối sánh làm sự phân biệt sắc hơn: TCI vững dưới cả đối sánh và công cụ hoá (2SLS β = 1.64, p &lt; .001, F giai đoạn một = 22.1; ATT đối sánh 0.61–0.64), trong khi liên hệ DAI phát hiện bằng OLS được tái tạo dưới PSM (ATT 0.30–0.32) nhưng suy giảm về không dưới 2SLS (β = 0.02, p = .94). Phần mở rộng DAI_rich chỉ có ở năm 2023 (c22b cộng các tỷ trọng thanh toán điện tử) tạo ra một mô thức điều tiết cùng chiều (FSTS_c × DAI_rich_cont_z = -0.93, M8 joint p = .099), bảo vệ trước một cách đọc lỗi thời biến đại diện thuần tuý. Hai cấu trúc do đó không hành xử giống nhau, điều này ủng hộ việc phân biệt mức kích hoạt số cơ bản (dễ bị nhiễm bởi tự chọn theo biến quan sát) với chiều sâu công nghệ rộng hơn (vững hơn về nhận dạng) thay vì gộp chúng dưới một nhãn duy nhất.</w:t>
      </w:r>
    </w:p>
    <w:p>
      <w:pPr>
        <w:pStyle w:val="BodyText"/>
      </w:pPr>
      <w:r>
        <w:t xml:space="preserve">Kết quả không ý nghĩa năm 2015 nên được đặt nền trên vi cấu trúc của mẫu. Tỷ lệ doanh nghiệp xuất khẩu giảm từ 28.4% năm 2009 xuống 20.7% năm 2015, một sự rút lui có chọn lọc để lại một nhóm còn lại tập trung không cân đối ở các hoạt động lắp ráp thâm dụng lao động, phụ thuộc OEM, mà đối với chúng một website cơ bản vận hành như một tờ rơi số hơn là một công cụ phối hợp nâng cao năng suất. Được củng cố bởi sự lỗi thời của biến đại diện (tới năm 2015 quyền sở hữu website đã khuếch tán đủ để c22b không còn tách được các doanh nghiệp xuất khẩu có năng lực số khỏi hiện diện web thường lệ), điều này giúp giải thích tại sao hệ số DAI nén lại về không ngay cả khi độ cong hình chữ U ngược vẫn hiện diện. Các chỉ báo thứ cấp công khai làm cho cách đọc thể chế trở nên hợp lý mà không nhập vào hồi quy: tỷ lệ sử dụng internet của Việt Nam tăng từ khoảng 26% (2009) lên 45% (2015) tới hơn 78% (2023) (World Bank, 2026; International Telecommunication Union, 2026), và thanh toán điện tử cùng các sàn B2B xuyên biên giới chỉ đạt quy mô sau 2018–2019, tiếp sau Chương trình Chuyển đổi số Quốc gia 2020. Đợt 2015 do đó quan sát các doanh nghiệp xuất khẩu trước khi một hệ sinh thái số hỗ trợ giao dịch trưởng thành; điểm trũng cho thấy vì sao các giá trị trung bình gộp một mình là không đủ, vì các khoản lợi tức năng lực có thể nén lại tạm thời trước khi tái nổi lên.</w:t>
      </w:r>
    </w:p>
    <w:p>
      <w:pPr>
        <w:pStyle w:val="BodyText"/>
      </w:pPr>
      <w:r>
        <w:t xml:space="preserve">Hàm ý quản trị không phải là doanh nghiệp nên đầu tư ít hơn vào số hoá, mà là thành phần đầu tư năng lực nên thay đổi theo vị trí của doanh nghiệp tương đối với hai ngưỡng được neo thực nghiệm: rào cản tham gia xuất khẩu và dải điểm ngoặt hình chữ U ngược ở 39%–46% FSTS. Đối với các doanh nghiệp trước xuất khẩu và cường độ thấp, hành động liên quan đến năng suất chủ đạo là vượt qua rào cản tham gia (thông tin thị trường nước ngoài, chứng nhận chất lượng, tài trợ chi phí gia nhập) hơn là tối ưu hoá hiện diện website tầng 1, vốn có đóng góp bị chặn bởi sự suy giảm do khuếch tán của c22b. Khi tiến tới và vượt dải điểm ngoặt, liên hệ trực tiếp TCI (gộp β = 0.179; được công cụ hoá β = 1.639) và điều tiết làm phẳng độ cong của nó hàm ý rằng vốn nên nghiêng về các đầu tư đào sâu TCI (công nghệ nhập khẩu có giấy phép, hệ thống chứng nhận, tích hợp quy trình với các bên đặt hàng nước ngoài), trong khi tương tác âm FSTS × DAI_z năm 2023 hàm ý rằng đầu tư website tầng 1 biên tạo ra một liên hệ tăng thêm âm, với ma sát ràng buộc là sự thiếu vắng số hoá quy trình, thanh toán, và chuỗi cung ứng tầng 2–3. Nhà quản trị do đó không nên gộp mức áp dụng số cơ bản với năng lực công nghệ sâu hơn, và nên phân bổ theo từng giai đoạn tương ứng với các ngưỡng được nhận dạng thực nghiệm thay vì các đơn thuốc chuyển đổi số chung chung.</w:t>
      </w:r>
    </w:p>
    <w:p>
      <w:pPr>
        <w:pStyle w:val="BodyText"/>
      </w:pPr>
      <w:r>
        <w:t xml:space="preserve">Cách đọc chính sách mang tính cân nhắc thận trọng, do bằng chứng mang tính liên hệ và phạm vi đơn nền kinh tế. Thứ nhất, các công cụ xúc tiến xuất khẩu thiết kế quanh một khoản lợi tức quốc tế hoá dương đồng đều sẽ vượt mức trong các giai đoạn chuyển đổi như 2015; nhắm hỗ trợ vào các doanh nghiệp ở vùng chi phí gia nhập nhất quán hơn với độ cong đã ghi nhận. Thứ hai, các chương trình kinh tế số xem mức áp dụng nền tảng như một đòn bẩy đủ có khả năng bị suy giảm bởi độ trễ triển khai và bởi bản chất phụ thuộc điều kiện của kênh số ở cường độ xuất khẩu cao hơn; việc gói tầng 1–2 cùng nâng cấp năng lực sâu hơn nhất quán hơn với mô thức năm 2023. Thứ ba, các cửa sổ đánh giá chính sách quan trọng: một chương trình chỉ được đánh giá so với một mốc chuyển đổi kiểu 2015 sẽ đánh giá thấp đóng góp dài hạn của nó, nên việc đánh giá trong các bối cảnh chuyển đổi phải theo dõi môi trường năng lực, chứ không chỉ tỷ lệ áp dụng.</w:t>
      </w:r>
    </w:p>
    <w:bookmarkEnd w:id="45"/>
    <w:bookmarkStart w:id="46" w:name="X034d0a9e594689c1c83bf20f4d68a2017baeb0a"/>
    <w:p>
      <w:pPr>
        <w:pStyle w:val="Heading2"/>
      </w:pPr>
      <w:r>
        <w:t xml:space="preserve">6. Hạn chế và hướng nghiên cứu tiếp theo</w:t>
      </w:r>
    </w:p>
    <w:p>
      <w:pPr>
        <w:pStyle w:val="FirstParagraph"/>
      </w:pPr>
      <w:r>
        <w:t xml:space="preserve">Các phát hiện nên được đọc cùng năm hạn chế. Thứ nhất và cơ bản nhất, vi dữ liệu WBES là các lát cắt ngang lặp lại chứ không phải một bộ dữ liệu bảng (panel) doanh nghiệp thực thụ; thiết kế này không thể nhận dạng quỹ đạo trong nội bộ doanh nghiệp hoặc khử tính dị biệt không quan sát bất biến theo thời gian, nên quy kết nhân quả vẫn không khả dụng và ngôn ngữ liên hệ dùng xuyên suốt không nên được nới lỏng. Một bộ dữ liệu bảng doanh nghiệp được đối sánh kết hợp các đợt WBES với dữ liệu đăng ký hành chính hoặc hồ sơ hải quan sẽ cho phép nhận dạng theo phương pháp khác biệt-trong-khác-biệt (difference-in-differences) đối với bước nhảy năng suất biên tham gia (Wooldridge, 2010). Thứ hai, DAI_z chỉ nắm bắt một tầng 1 nền tảng, nên phân tích không thể kết luận liệu tích hợp số sâu hơn (tầng 2–4) có thể hiện một kênh ổn định hơn hoặc có dạng khác hay không; biện pháp khắc phục là một bộ dữ liệu bảng đo bằng các chỉ báo tầng 2–4 áp dụng thang bậc của Verhoef</w:t>
      </w:r>
      <w:r>
        <w:t xml:space="preserve"> </w:t>
      </w:r>
      <w:r>
        <w:rPr>
          <w:iCs/>
          <w:i/>
        </w:rPr>
        <w:t xml:space="preserve">et al.</w:t>
      </w:r>
      <w:r>
        <w:t xml:space="preserve"> </w:t>
      </w:r>
      <w:r>
        <w:t xml:space="preserve">(2021). Thứ ba, phân tích là một nền kinh tế chuyển đổi đơn lẻ: Việt Nam có giá trị thông tin chính vì môi trường của nó dịch chuyển qua cửa sổ quan sát, nhưng mô thức có thể không tổng quát hoá sang các nền kinh tế trên một quỹ đạo khác. Thứ tư, bằng chứng xuyên đợt không đồng đều về độ mạnh thống kê (kiểm định z Paternoster phân biệt được sự sụt giảm và phục hồi của DAI, nhưng phần lớn các khác biệt xuyên đợt khác ở mức biên), nên so sánh chủ yếu dựa vào tính nhất quán về chiều hướng và vào sự tập trung của tín hiệu số ở năm 2023; nhận dạng sắc hơn có thể đạt được bằng cách khai thác thời điểm ngoại sinh của Chương trình Chuyển đổi số Quốc gia 2020 trong một thiết kế khác biệt-trong-khác-biệt (Prime Minister of Vietnam, 2020). Thứ năm, các hiệu ứng cố định ngành cố ý rộng để giữ đặc tả xuyên đợt có thể so sánh; các cơ chế cấp ngành chi tiết hơn, và các so sánh xuyên bối cảnh với các nền kinh tế mới nổi khác hoặc với các nền kinh tế tiên tiến về số nơi cùng tương tác đó được dự đoán là dương, đòi hỏi các thiết kế biến thiên một cách hệ thống chi phí giao dịch thể chế và chất lượng hạ tầng số.</w:t>
      </w:r>
    </w:p>
    <w:bookmarkEnd w:id="46"/>
    <w:bookmarkStart w:id="47" w:name="X1f9d67da4cff2359f332166e5b547113791cb62"/>
    <w:p>
      <w:pPr>
        <w:pStyle w:val="Heading2"/>
      </w:pPr>
      <w:r>
        <w:t xml:space="preserve">7. Kết luận</w:t>
      </w:r>
    </w:p>
    <w:p>
      <w:pPr>
        <w:pStyle w:val="FirstParagraph"/>
      </w:pPr>
      <w:r>
        <w:t xml:space="preserve">Nghiên cứu này nhìn lại mối quan hệ I–P tại Việt Nam bằng cách xem năng lực công nghệ/tiêu chuẩn nước ngoài là cấu trúc năng lực chính và giữ một chỉ báo hiện diện website một-mục chỉ như một biến kiểm soát hiện diện số nền tảng, so sánh bằng chứng gộp với bằng chứng theo đợt qua các đợt WBES 2009 / 2015 / 2023. Mối quan hệ là phi đơn điệu trên toàn mẫu, được dẫn dắt chủ yếu bởi một cấu trúc tham-gia-và-cường-độ hơn là bởi độ cong mạnh trong nội bộ nhóm xuất khẩu, và điểm ngoặt hình chữ U ngược bền vững về cấu trúc: dải ngưỡng tập trung trong một dải hẹp ~7 điểm phần trăm (39.3–46.2%) suốt 14 năm thay đổi thể chế lớn. Tính bền vững này nhất quán với các ràng buộc sâu cấp doanh nghiệp (năng lực phối hợp, thực thi hợp đồng, và tiếp cận tài trợ thương mại) vốn thay đổi chậm hơn môi trường vận hành rộng hơn. Các kết quả cũng gợi ý rằng năng lực công nghệ và chỉ báo hiện diện website nền tảng không nên được xem là thay thế được cho nhau: năng lực công nghệ tương đối ổn định và vững về nhận dạng, trong khi biến kiểm soát nền DAI_z nhạy theo đợt hơn và suy giảm về không dưới ước lượng biến công cụ, nhất quán với sự lỗi thời của biến đại diện tầng 1 khi quyền sở hữu website khuếch tán tới mức gần phổ quát. Trong giới hạn của một chỉ báo website nhị phân duy nhất, bài viết không đưa ra tuyên bố nào về điều tiết năng lực số động; bất kỳ kiểm định nào như vậy đều chờ các chỉ báo tầng 2–4 phong phú hơn hiện chưa có sẵn xuyên đợt trong công cụ WBES Việt Nam.</w:t>
      </w:r>
    </w:p>
    <w:bookmarkEnd w:id="47"/>
    <w:bookmarkStart w:id="48" w:name="xung-đột-lợi-ích"/>
    <w:p>
      <w:pPr>
        <w:pStyle w:val="Heading2"/>
      </w:pPr>
      <w:r>
        <w:t xml:space="preserve">Xung đột lợi ích</w:t>
      </w:r>
    </w:p>
    <w:p>
      <w:pPr>
        <w:pStyle w:val="FirstParagraph"/>
      </w:pPr>
      <w:r>
        <w:t xml:space="preserve">Các tác giả tuyên bố không có xung đột lợi ích.</w:t>
      </w:r>
    </w:p>
    <w:bookmarkEnd w:id="48"/>
    <w:bookmarkStart w:id="49" w:name="tài-trợ"/>
    <w:p>
      <w:pPr>
        <w:pStyle w:val="Heading2"/>
      </w:pPr>
      <w:r>
        <w:t xml:space="preserve">Tài trợ</w:t>
      </w:r>
    </w:p>
    <w:p>
      <w:pPr>
        <w:pStyle w:val="FirstParagraph"/>
      </w:pPr>
      <w:r>
        <w:t xml:space="preserve">Nghiên cứu này không nhận tài trợ cụ thể nào từ bất kỳ cơ quan tài trợ nào trong khu vực công, thương mại, hoặc phi lợi nhuận.</w:t>
      </w:r>
    </w:p>
    <w:bookmarkEnd w:id="49"/>
    <w:bookmarkStart w:id="50" w:name="tuyên-bố-về-sẵn-có-dữ-liệu"/>
    <w:p>
      <w:pPr>
        <w:pStyle w:val="Heading2"/>
      </w:pPr>
      <w:r>
        <w:t xml:space="preserve">Tuyên bố về sẵn có dữ liệu</w:t>
      </w:r>
    </w:p>
    <w:p>
      <w:pPr>
        <w:pStyle w:val="FirstParagraph"/>
      </w:pPr>
      <w:r>
        <w:t xml:space="preserve">Dữ liệu hỗ trợ các phát hiện đến từ Khảo sát Doanh nghiệp của Ngân hàng Thế giới (World Bank Enterprise Surveys) và có sẵn từ cổng Enterprise Surveys, tuỳ thuộc đăng ký và tuân thủ Quy định Tiếp cận Dữ liệu của Enterprise Surveys. Vì quy định hạn chế phân phối lại các tệp dữ liệu gốc cho bên thứ ba, các tác giả không phân phối lại tệp khảo sát thô. Tài liệu tái lập, bao gồm chi tiết xây dựng biến, đặc tả mô hình, và kết quả tính toán, có sẵn từ các tác giả theo yêu cầu hợp lý và có thể chia sẻ trong phạm vi điều khoản tiếp cận dữ liệu cho phép.</w:t>
      </w:r>
    </w:p>
    <w:bookmarkEnd w:id="50"/>
    <w:bookmarkStart w:id="51" w:name="tuyên-bố-đạo-đức"/>
    <w:p>
      <w:pPr>
        <w:pStyle w:val="Heading2"/>
      </w:pPr>
      <w:r>
        <w:t xml:space="preserve">Tuyên bố đạo đức</w:t>
      </w:r>
    </w:p>
    <w:p>
      <w:pPr>
        <w:pStyle w:val="FirstParagraph"/>
      </w:pPr>
      <w:r>
        <w:t xml:space="preserve">Nghiên cứu này sử dụng dữ liệu thứ cấp, đã ẩn danh, cấp doanh nghiệp từ Khảo sát Doanh nghiệp của Ngân hàng Thế giới. Nghiên cứu không liên quan đến đối tượng con người, dữ liệu cá nhân nhận dạng được, động vật, hay mẫu sinh học, và do đó không cần phê duyệt đạo đức của tổ chức. Nghiên cứu được thực hiện theo các điều khoản tiếp cận dữ liệu của Khảo sát Doanh nghiệp của Ngân hàng Thế giới.</w:t>
      </w:r>
    </w:p>
    <w:bookmarkEnd w:id="51"/>
    <w:bookmarkStart w:id="52" w:name="sử-dụng-ai-tạo-sinh-trong-quá-trình-viết"/>
    <w:p>
      <w:pPr>
        <w:pStyle w:val="Heading2"/>
      </w:pPr>
      <w:r>
        <w:t xml:space="preserve">Sử dụng AI tạo sinh trong quá trình viết</w:t>
      </w:r>
    </w:p>
    <w:p>
      <w:pPr>
        <w:pStyle w:val="FirstParagraph"/>
      </w:pPr>
      <w:r>
        <w:t xml:space="preserve">Trong quá trình chuẩn bị bản thảo này, (các) tác giả đã sử dụng Grammarly, một công cụ hỗ trợ viết, để giúp sửa chính tả, ngữ pháp, và dấu câu trong văn bản gốc của chính (các) tác giả. Không có công cụ trí tuệ nhân tạo tạo sinh nào được dùng để tạo, soạn thảo, hay sản sinh bất kỳ nội dung thực chất, phân tích, hay diễn giải nào. Toàn bộ khung khái niệm, phát triển giả thuyết, phân tích thực nghiệm, diễn giải kết quả, và câu chữ cuối cùng do (các) tác giả con người tạo ra, và họ chịu trách nhiệm hoàn toàn về nội dung của công bố.</w:t>
      </w:r>
    </w:p>
    <w:bookmarkEnd w:id="52"/>
    <w:bookmarkStart w:id="53" w:name="lời-cảm-ơn"/>
    <w:p>
      <w:pPr>
        <w:pStyle w:val="Heading2"/>
      </w:pPr>
      <w:r>
        <w:t xml:space="preserve">Lời cảm ơn</w:t>
      </w:r>
    </w:p>
    <w:p>
      <w:pPr>
        <w:pStyle w:val="FirstParagraph"/>
      </w:pPr>
      <w:r>
        <w:t xml:space="preserve">[Lược bỏ phục vụ phản biện kín; xem Trang Tiêu đề nộp riêng.]</w:t>
      </w:r>
    </w:p>
    <w:bookmarkEnd w:id="53"/>
    <w:bookmarkStart w:id="54" w:name="tài-liệu-bổ-sung"/>
    <w:p>
      <w:pPr>
        <w:pStyle w:val="Heading2"/>
      </w:pPr>
      <w:r>
        <w:t xml:space="preserve">Tài liệu bổ sung</w:t>
      </w:r>
    </w:p>
    <w:p>
      <w:pPr>
        <w:pStyle w:val="FirstParagraph"/>
      </w:pPr>
      <w:r>
        <w:t xml:space="preserve">Các phân tích vững (Panel A–K: chỉ số hợp thành mở rộng, tách ngành, mẫu con chỉ-gồm-xuất-khẩu, lựa chọn Heckman, IV/PSM, kiểm định z xuyên đợt Paternoster, kiểm tra mật độ), các hình năng suất dự báo theo từng đợt (Hình 2a–2d), bảng tác động biên, và các ghi chú mở rộng về tầng cấu trúc và cơ chế được cung cấp dưới dạng Tài liệu Bổ sung trực tuyến (</w:t>
      </w:r>
      <w:r>
        <w:rPr>
          <w:rStyle w:val="VerbatimChar"/>
        </w:rPr>
        <w:t xml:space="preserve">Supplementary_material.docx</w:t>
      </w:r>
      <w:r>
        <w:t xml:space="preserve">), lưu trên Emerald Insight. Gói tái lập và hướng dẫn có sẵn từ các tác giả.</w:t>
      </w:r>
    </w:p>
    <w:bookmarkEnd w:id="54"/>
    <w:bookmarkStart w:id="55" w:name="tài-liệu-tham-khảo"/>
    <w:p>
      <w:pPr>
        <w:pStyle w:val="Heading2"/>
      </w:pPr>
      <w:r>
        <w:t xml:space="preserve">Tài liệu tham khảo</w:t>
      </w:r>
    </w:p>
    <w:p>
      <w:pPr>
        <w:pStyle w:val="FirstParagraph"/>
      </w:pPr>
      <w:r>
        <w:rPr>
          <w:iCs/>
          <w:i/>
        </w:rPr>
        <w:t xml:space="preserve">[Danh mục tài liệu tham khảo giữ nguyên định dạng Harvard (Emerald) bằng tiếng Anh như trong bản thảo gốc; xem</w:t>
      </w:r>
      <w:r>
        <w:rPr>
          <w:iCs/>
          <w:i/>
        </w:rPr>
        <w:t xml:space="preserve"> </w:t>
      </w:r>
      <w:r>
        <w:rPr>
          <w:rStyle w:val="VerbatimChar"/>
          <w:iCs/>
          <w:i/>
        </w:rPr>
        <w:t xml:space="preserve">01_manuscript_blinded_8500.md</w:t>
      </w:r>
      <w:r>
        <w:rPr>
          <w:iCs/>
          <w:i/>
        </w:rPr>
        <w:t xml:space="preserv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2026-06-07T23:43:57Z</dcterms:created>
  <dcterms:modified xsi:type="dcterms:W3CDTF">2026-06-07T23:43:57Z</dcterms:modified>
</cp:coreProperties>
</file>

<file path=docProps/custom.xml><?xml version="1.0" encoding="utf-8"?>
<Properties xmlns="http://schemas.openxmlformats.org/officeDocument/2006/custom-properties" xmlns:vt="http://schemas.openxmlformats.org/officeDocument/2006/docPropsVTypes"/>
</file>