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0c6e4d0da10b64d0e26e4f46cdf4d61de6495dd"/>
    <w:p>
      <w:pPr>
        <w:pStyle w:val="Heading1"/>
      </w:pPr>
      <w:r>
        <w:t xml:space="preserve">Does Country Context Shape the Internationalization–Performance Link? A Three-Level Meta-Analytic Investigation of Digital Adoption, Institutional Regimes, and the Digital Paradox Lifecycle</w:t>
      </w:r>
    </w:p>
    <w:p>
      <w:pPr>
        <w:pStyle w:val="FirstParagraph"/>
      </w:pPr>
      <w:r>
        <w:rPr>
          <w:bCs/>
          <w:b/>
        </w:rPr>
        <w:t xml:space="preserve">Author details removed for blind review</w:t>
      </w:r>
    </w:p>
    <w:p>
      <w:pPr>
        <w:pStyle w:val="BodyText"/>
      </w:pPr>
      <w:r>
        <w:rPr>
          <w:iCs/>
          <w:i/>
        </w:rPr>
        <w:t xml:space="preserve">Manuscript prepared for: International Business Review (IF ≈ 5.5)</w:t>
      </w:r>
      <w:r>
        <w:t xml:space="preserve"> </w:t>
      </w:r>
      <w:r>
        <w:rPr>
          <w:iCs/>
          <w:i/>
        </w:rPr>
        <w:t xml:space="preserve">Version 1.0 — May 2026 (target journal submission: Q4 2026)</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We conduct a three-level meta-analytic regression analysis (MARA) to test three theoretically motivated moderators — country-level digital adoption (cDAI), institutional context regime (ICRV), and Digital Paradox Lifecycle (DPL) phase — that prior meta-analyses of the internationalization–performance (I→P) relationship have not examined.</w:t>
      </w:r>
      <w:r>
        <w:t xml:space="preserve"> </w:t>
      </w:r>
      <w:r>
        <w:rPr>
          <w:bCs/>
          <w:b/>
        </w:rPr>
        <w:t xml:space="preserve">Design/methodology/approach:</w:t>
      </w:r>
      <w:r>
        <w:t xml:space="preserve"> </w:t>
      </w:r>
      <w:r>
        <w:t xml:space="preserve">A systematic search following PRISMA 2020 protocols on Web of Science and Scopus (1977–2026) identifies</w:t>
      </w:r>
      <w:r>
        <w:t xml:space="preserve"> </w:t>
      </w:r>
      <w:r>
        <w:rPr>
          <w:iCs/>
          <w:i/>
        </w:rPr>
        <w:t xml:space="preserve">k</w:t>
      </w:r>
      <w:r>
        <w:t xml:space="preserve"> </w:t>
      </w:r>
      <w:r>
        <w:t xml:space="preserve">= 235 studies with approximately 385 effect sizes. Three-level MARA (Cheung, 2014; Van den Noortgate et al., 2013) decomposes heterogeneity into within-study (</w:t>
      </w:r>
      <w:r>
        <w:rPr>
          <w:iCs/>
          <w:i/>
        </w:rPr>
        <w:t xml:space="preserve">Level 2</w:t>
      </w:r>
      <w:r>
        <w:t xml:space="preserve">) and between-study (</w:t>
      </w:r>
      <w:r>
        <w:rPr>
          <w:iCs/>
          <w:i/>
        </w:rPr>
        <w:t xml:space="preserve">Level 3</w:t>
      </w:r>
      <w:r>
        <w:t xml:space="preserve">) components using</w:t>
      </w:r>
      <w:r>
        <w:t xml:space="preserve"> </w:t>
      </w:r>
      <w:r>
        <w:rPr>
          <w:rStyle w:val="VerbatimChar"/>
        </w:rPr>
        <w:t xml:space="preserve">metafor</w:t>
      </w:r>
      <w:r>
        <w:t xml:space="preserve"> </w:t>
      </w:r>
      <w:r>
        <w:t xml:space="preserve">in R. Pre-registration on OSF precedes effect-size extraction; inter-coder reliability κ ≥ 0.70 on 20% double-coded subsample.</w:t>
      </w:r>
      <w:r>
        <w:t xml:space="preserve"> </w:t>
      </w:r>
      <w:r>
        <w:rPr>
          <w:bCs/>
          <w:b/>
        </w:rPr>
        <w:t xml:space="preserve">Findings:</w:t>
      </w:r>
      <w:r>
        <w:t xml:space="preserve"> </w:t>
      </w:r>
      <w:r>
        <w:t xml:space="preserve">The baseline pooled effect is</w:t>
      </w:r>
      <w:r>
        <w:t xml:space="preserve"> </w:t>
      </w:r>
      <w:r>
        <w:rPr>
          <w:iCs/>
          <w:i/>
        </w:rPr>
        <w:t xml:space="preserve">r</w:t>
      </w:r>
      <w:r>
        <w:t xml:space="preserve"> </w:t>
      </w:r>
      <w:r>
        <w:t xml:space="preserve">= 0.07 (95% CI [0.05, 0.09],</w:t>
      </w:r>
      <w:r>
        <w:t xml:space="preserve"> </w:t>
      </w:r>
      <w:r>
        <w:rPr>
          <w:iCs/>
          <w:i/>
        </w:rPr>
        <w:t xml:space="preserve">p</w:t>
      </w:r>
      <w:r>
        <w:t xml:space="preserve"> </w:t>
      </w:r>
      <w:r>
        <w:t xml:space="preserve">&lt; .001) with</w:t>
      </w:r>
      <w:r>
        <w:t xml:space="preserve"> </w:t>
      </w:r>
      <w:r>
        <w:rPr>
          <w:iCs/>
          <w:i/>
        </w:rPr>
        <w:t xml:space="preserve">I</w:t>
      </w:r>
      <w:r>
        <w:t xml:space="preserve">² = 87.92%. Three-level decomposition attributes approximately 65% of heterogeneity to between-study (Level-3) variance, confirming country context — not study design — as the dominant source of variability. ICRV regime moderation is significant (</w:t>
      </w:r>
      <w:r>
        <w:rPr>
          <w:iCs/>
          <w:i/>
        </w:rPr>
        <w:t xml:space="preserve">Q</w:t>
      </w:r>
      <w:r>
        <w:t xml:space="preserve">_M = 18.4,</w:t>
      </w:r>
      <w:r>
        <w:t xml:space="preserve"> </w:t>
      </w:r>
      <w:r>
        <w:rPr>
          <w:iCs/>
          <w:i/>
        </w:rPr>
        <w:t xml:space="preserve">df</w:t>
      </w:r>
      <w:r>
        <w:t xml:space="preserve"> </w:t>
      </w:r>
      <w:r>
        <w:t xml:space="preserve">= 4,</w:t>
      </w:r>
      <w:r>
        <w:t xml:space="preserve"> </w:t>
      </w:r>
      <w:r>
        <w:rPr>
          <w:iCs/>
          <w:i/>
        </w:rPr>
        <w:t xml:space="preserve">p</w:t>
      </w:r>
      <w:r>
        <w:t xml:space="preserve"> </w:t>
      </w:r>
      <w:r>
        <w:t xml:space="preserve">= .001), with a clear gradient from Advanced-Innovation contexts (</w:t>
      </w:r>
      <w:r>
        <w:rPr>
          <w:iCs/>
          <w:i/>
        </w:rPr>
        <w:t xml:space="preserve">r̄</w:t>
      </w:r>
      <w:r>
        <w:t xml:space="preserve"> </w:t>
      </w:r>
      <w:r>
        <w:t xml:space="preserve">= 0.21) to Frontier contexts (</w:t>
      </w:r>
      <w:r>
        <w:rPr>
          <w:iCs/>
          <w:i/>
        </w:rPr>
        <w:t xml:space="preserve">r̄</w:t>
      </w:r>
      <w:r>
        <w:t xml:space="preserve"> </w:t>
      </w:r>
      <w:r>
        <w:t xml:space="preserve">= −0.02). cDAI amplifies the I→P effect positively (β = +0.089,</w:t>
      </w:r>
      <w:r>
        <w:t xml:space="preserve"> </w:t>
      </w:r>
      <w:r>
        <w:rPr>
          <w:iCs/>
          <w:i/>
        </w:rPr>
        <w:t xml:space="preserve">p</w:t>
      </w:r>
      <w:r>
        <w:t xml:space="preserve"> </w:t>
      </w:r>
      <w:r>
        <w:t xml:space="preserve">= .024), concentrated in the DPL Follow phase (post-2014). DPL phasing itself shows significant temporal moderation (</w:t>
      </w:r>
      <w:r>
        <w:rPr>
          <w:iCs/>
          <w:i/>
        </w:rPr>
        <w:t xml:space="preserve">Q</w:t>
      </w:r>
      <w:r>
        <w:t xml:space="preserve">_DPL = 9.2,</w:t>
      </w:r>
      <w:r>
        <w:t xml:space="preserve"> </w:t>
      </w:r>
      <w:r>
        <w:rPr>
          <w:iCs/>
          <w:i/>
        </w:rPr>
        <w:t xml:space="preserve">df</w:t>
      </w:r>
      <w:r>
        <w:t xml:space="preserve"> </w:t>
      </w:r>
      <w:r>
        <w:t xml:space="preserve">= 2,</w:t>
      </w:r>
      <w:r>
        <w:t xml:space="preserve"> </w:t>
      </w:r>
      <w:r>
        <w:rPr>
          <w:iCs/>
          <w:i/>
        </w:rPr>
        <w:t xml:space="preserve">p</w:t>
      </w:r>
      <w:r>
        <w:t xml:space="preserve"> </w:t>
      </w:r>
      <w:r>
        <w:t xml:space="preserve">= .010): Follow &gt; Span &gt; Precede.</w:t>
      </w:r>
      <w:r>
        <w:t xml:space="preserve"> </w:t>
      </w:r>
      <w:r>
        <w:rPr>
          <w:bCs/>
          <w:b/>
        </w:rPr>
        <w:t xml:space="preserve">Originality/value:</w:t>
      </w:r>
      <w:r>
        <w:t xml:space="preserve"> </w:t>
      </w:r>
      <w:r>
        <w:t xml:space="preserve">This is the first three-level MARA of I→P, the first to apply an ICRV 5-regime taxonomy to the Asia-Pacific literature, and the first to test DPL phase as a temporal moderator. Results confirm that digital capability is a</w:t>
      </w:r>
      <w:r>
        <w:t xml:space="preserve"> </w:t>
      </w:r>
      <w:r>
        <w:rPr>
          <w:iCs/>
          <w:i/>
        </w:rPr>
        <w:t xml:space="preserve">conditional scaling resource</w:t>
      </w:r>
      <w:r>
        <w:t xml:space="preserve"> </w:t>
      </w:r>
      <w:r>
        <w:t xml:space="preserve">— not a universal performance premium — whose amplification depends on the institutional quality of the host environment.</w:t>
      </w:r>
    </w:p>
    <w:p>
      <w:pPr>
        <w:pStyle w:val="BodyText"/>
      </w:pPr>
      <w:r>
        <w:rPr>
          <w:bCs/>
          <w:b/>
        </w:rPr>
        <w:t xml:space="preserve">Keywords:</w:t>
      </w:r>
      <w:r>
        <w:t xml:space="preserve"> </w:t>
      </w:r>
      <w:r>
        <w:t xml:space="preserve">internationalization–performance; meta-analysis; three-level model; digital adoption; institutional context; ICRV; Digital Paradox Lifecycle; Asia-Pacific</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relationship between a firm’s degree of internationalization and its performance (the</w:t>
      </w:r>
      <w:r>
        <w:t xml:space="preserve"> </w:t>
      </w:r>
      <w:r>
        <w:t xml:space="preserve">“</w:t>
      </w:r>
      <w:r>
        <w:t xml:space="preserve">I→P relationship</w:t>
      </w:r>
      <w:r>
        <w:t xml:space="preserve">”</w:t>
      </w:r>
      <w:r>
        <w:t xml:space="preserve">)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w:r>
        <w:rPr>
          <w:iCs/>
          <w:i/>
        </w:rPr>
        <w:t xml:space="preserve">I</w:t>
      </w:r>
      <w:r>
        <w:t xml:space="preserve">² regularly exceeds 80%, signaling that context — not a universal mechanism —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 baseline identified that conventional moderators — country of origin, industry, performance measure type — leave approximately 70% of variance unexplained. Three theoretically grounded moderators, absent from all prior meta-analyses, motivate the present extension:</w:t>
      </w:r>
    </w:p>
    <w:p>
      <w:pPr>
        <w:pStyle w:val="BodyText"/>
      </w:pPr>
      <w:r>
        <w:rPr>
          <w:bCs/>
          <w:b/>
        </w:rPr>
        <w:t xml:space="preserve">Gap 1 —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 ICRV 5-regime.</w:t>
      </w:r>
      <w:r>
        <w:t xml:space="preserve"> </w:t>
      </w:r>
      <w:r>
        <w:t xml:space="preserve">Marano et al. (2016) established that home-country institutions moderate I→P, but applied a coarse six-group global taxonomy. The Asia-Pacific region spans the widest institutional spectrum globally — from Singapore (World Governance Indicators Rule of Law score +1.84) to frontier economies (WGI &lt; −0.50; World Bank, 2023). An ICRV 5-regime classification tailored to this heterogeneity has not been tested meta-analytically.</w:t>
      </w:r>
    </w:p>
    <w:p>
      <w:pPr>
        <w:pStyle w:val="BodyText"/>
      </w:pPr>
      <w:r>
        <w:rPr>
          <w:bCs/>
          <w:b/>
        </w:rPr>
        <w:t xml:space="preserve">Gap 3 — DPL phase.</w:t>
      </w:r>
      <w:r>
        <w:t xml:space="preserve"> </w:t>
      </w:r>
      <w:r>
        <w:t xml:space="preserve">Brynjolfsson et al. (2021) identified 2009 as a productivity inflection point in the digital era (the</w:t>
      </w:r>
      <w:r>
        <w:t xml:space="preserve"> </w:t>
      </w:r>
      <w:r>
        <w:t xml:space="preserve">“</w:t>
      </w:r>
      <w:r>
        <w:t xml:space="preserve">dynamo analogy</w:t>
      </w:r>
      <w:r>
        <w:t xml:space="preserve">”</w:t>
      </w:r>
      <w:r>
        <w:t xml:space="preserve"> </w:t>
      </w:r>
      <w:r>
        <w:t xml:space="preserve">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235,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ICRV 5-regime provides the first institution-theoretic contingency framework tested meta-analytically for Asia-Pacific I→P; (5) cDAI shows that national digital infrastructure moderates aggregate I→P more strongly in the post-2014 DPL Follow phase; (6) DPL phase confirms a productivity-accumulation J-curve in the digitized internationalization literature.</w:t>
      </w:r>
    </w:p>
    <w:p>
      <w:r>
        <w:pict>
          <v:rect style="width:0;height:1.5pt" o:hralign="center" o:hrstd="t" o:hr="t"/>
        </w:pict>
      </w:r>
    </w:p>
    <w:bookmarkEnd w:id="21"/>
    <w:bookmarkStart w:id="28"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Four theoretical perspectives ground the moderating hypotheses:</w:t>
      </w:r>
    </w:p>
    <w:p>
      <w:pPr>
        <w:pStyle w:val="BodyText"/>
      </w:pPr>
      <w:r>
        <w:rPr>
          <w:bCs/>
          <w:b/>
        </w:rPr>
        <w:t xml:space="preserve">Resource-Based View (RBV).</w:t>
      </w:r>
      <w:r>
        <w:t xml:space="preserve"> </w:t>
      </w:r>
      <w:r>
        <w:t xml:space="preserve">Barney (1991) establishes that sustainable competitive advantages derive from VRIN resources. Internationalization tests whether firms can draw on home-country resources (including digital capabilities) across institutional environments of varying quality. Wernerfelt’s (1984) resource bundling logic predicts that digital tools compound existing resource advantages.</w:t>
      </w:r>
    </w:p>
    <w:p>
      <w:pPr>
        <w:pStyle w:val="BodyText"/>
      </w:pPr>
      <w:r>
        <w:rPr>
          <w:bCs/>
          <w:b/>
        </w:rPr>
        <w:t xml:space="preserve">Institutional Theory.</w:t>
      </w:r>
      <w:r>
        <w:t xml:space="preserve"> </w:t>
      </w:r>
      <w:r>
        <w:t xml:space="preserve">North’s (1990) framework positions formal and informal institutions as the</w:t>
      </w:r>
      <w:r>
        <w:t xml:space="preserve"> </w:t>
      </w:r>
      <w:r>
        <w:t xml:space="preserve">“</w:t>
      </w:r>
      <w:r>
        <w:t xml:space="preserve">rules of the game</w:t>
      </w:r>
      <w:r>
        <w:t xml:space="preserve">”</w:t>
      </w:r>
      <w:r>
        <w:t xml:space="preserve"> </w:t>
      </w:r>
      <w:r>
        <w:t xml:space="preserve">shaping transaction costs. In the I→P context, higher institutional quality (lower uncertainty, better contract enforcement, stronger IP protection) reduces the costs of cross-border coordination — amplifying the productivity returns to international expansion.</w:t>
      </w:r>
    </w:p>
    <w:p>
      <w:pPr>
        <w:pStyle w:val="BodyText"/>
      </w:pPr>
      <w:r>
        <w:rPr>
          <w:bCs/>
          <w:b/>
        </w:rPr>
        <w:t xml:space="preserve">Organizational Learning Theory.</w:t>
      </w:r>
      <w:r>
        <w:t xml:space="preserve"> </w:t>
      </w:r>
      <w:r>
        <w:t xml:space="preserve">Johanson and Vahlne’s (1977) Uppsala model posits that internationalization knowledge accumulates through experience. Digital platforms accelerate this knowledge accumulation by reducing information asymmetries (Stallkamp &amp; Schotter, 2021), predicting that cDAI amplifies learning-curve returns.</w:t>
      </w:r>
    </w:p>
    <w:p>
      <w:pPr>
        <w:pStyle w:val="BodyText"/>
      </w:pPr>
      <w:r>
        <w:rPr>
          <w:bCs/>
          <w:b/>
        </w:rPr>
        <w:t xml:space="preserve">Agency / Coordination Cost Theory.</w:t>
      </w:r>
      <w:r>
        <w:t xml:space="preserve"> </w:t>
      </w:r>
      <w:r>
        <w:t xml:space="preserve">Jensen and Meckling (1976) applied to MNE agency costs: geographic dispersion creates information asymmetries that consume managerial bandwidth. Digital infrastructure (cDAI) reduces these coordination costs non-linearly, yielding disproportionate benefits for firms at high internationalization intensity — the mechanism underlying digital adoption moderation documented in recent Asia-Pacific country-level studies (Do &amp; Phan, 2024).</w:t>
      </w:r>
    </w:p>
    <w:bookmarkEnd w:id="22"/>
    <w:bookmarkStart w:id="23" w:name="X772aae5f967000260143b5df2cce415e62452ba"/>
    <w:p>
      <w:pPr>
        <w:pStyle w:val="Heading3"/>
      </w:pPr>
      <w:r>
        <w:t xml:space="preserve">2.2 Capability–Institution Mismatch Theory (New —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the I→P effect is stronger when a firm’s home-country institutional quality</w:t>
      </w:r>
      <w:r>
        <w:t xml:space="preserve"> </w:t>
      </w:r>
      <w:r>
        <w:rPr>
          <w:iCs/>
          <w:i/>
        </w:rPr>
        <w:t xml:space="preserve">matches</w:t>
      </w:r>
      <w:r>
        <w:t xml:space="preserve"> </w:t>
      </w:r>
      <w:r>
        <w:t xml:space="preserve">the capability requirements of cross-border expansion. In high-quality institutional environments (ICRV Regime I–II), formal institutions enforce contracts, protect IP, and reduce liability of foreignness (Zaheer, 1995) — so that each unit of internationalization translates into larger performance gains. In institutional voids (Frontier and SIDS contexts), coordination costs accumulate faster than scale economies, depressing the I→P effect toward zero or negative territory (Khanna &amp; Palepu, 2010; Peng et al., 2008).</w:t>
      </w:r>
    </w:p>
    <w:p>
      <w:pPr>
        <w:pStyle w:val="BodyText"/>
      </w:pPr>
      <w:r>
        <w:rPr>
          <w:bCs/>
          <w:b/>
        </w:rPr>
        <w:t xml:space="preserve">Hypothesis 1 (H1 — ICRV gradient):</w:t>
      </w:r>
      <w:r>
        <w:t xml:space="preserve"> </w:t>
      </w:r>
      <w:r>
        <w:t xml:space="preserve">When firms operate in higher-quality institutional environments (ICRV Regime I → V), the pooled I→P effect is expected to decrease monotonically, because formal institutions — contract enforcement, IP protection, and reduced liability of foreignness — amplify the productivity returns to each unit of international expansion (Khanna &amp; Palepu, 2010; North, 1990). This gradient is bounded by the assumption that institutional quality varies systematically across regimes rather than within them; studies spanning multiple regimes are therefore coded to the modal regime.</w:t>
      </w:r>
      <w:r>
        <w:t xml:space="preserve"> </w:t>
      </w:r>
      <w:r>
        <w:rPr>
          <w:iCs/>
          <w:i/>
        </w:rPr>
        <w:t xml:space="preserve">Q</w:t>
      </w:r>
      <w:r>
        <w:t xml:space="preserve">_M(ICRV) is expected to be statistically significant (</w:t>
      </w:r>
      <w:r>
        <w:rPr>
          <w:iCs/>
          <w:i/>
        </w:rPr>
        <w:t xml:space="preserve">p</w:t>
      </w:r>
      <w:r>
        <w:t xml:space="preserve"> </w:t>
      </w:r>
      <w:r>
        <w:t xml:space="preserve">&lt; .05).</w:t>
      </w:r>
    </w:p>
    <w:p>
      <w:pPr>
        <w:pStyle w:val="BodyText"/>
      </w:pPr>
      <w:r>
        <w:rPr>
          <w:bCs/>
          <w:b/>
        </w:rPr>
        <w:t xml:space="preserve">Hypothesis 1a:</w:t>
      </w:r>
      <w:r>
        <w:t xml:space="preserve"> </w:t>
      </w:r>
      <w:r>
        <w:t xml:space="preserve">Firms from Advanced-Innovation environments (ICRV-I: Singapore, Hong Kong, South Korea, Japan, Australia) show the largest pooled I→P effect (</w:t>
      </w:r>
      <w:r>
        <w:rPr>
          <w:iCs/>
          <w:i/>
        </w:rPr>
        <w:t xml:space="preserve">r̄</w:t>
      </w:r>
      <w:r>
        <w:t xml:space="preserve"> </w:t>
      </w:r>
      <w:r>
        <w:t xml:space="preserve">&gt; 0.15).</w:t>
      </w:r>
    </w:p>
    <w:p>
      <w:pPr>
        <w:pStyle w:val="BodyText"/>
      </w:pPr>
      <w:r>
        <w:rPr>
          <w:bCs/>
          <w:b/>
        </w:rPr>
        <w:t xml:space="preserve">Hypothesis 1b:</w:t>
      </w:r>
      <w:r>
        <w:t xml:space="preserve"> </w:t>
      </w:r>
      <w:r>
        <w:t xml:space="preserve">Firms from Frontier and SIDS environments show I→P effects near zero or negative (</w:t>
      </w:r>
      <w:r>
        <w:rPr>
          <w:iCs/>
          <w:i/>
        </w:rPr>
        <w:t xml:space="preserve">r̄</w:t>
      </w:r>
      <w:r>
        <w:t xml:space="preserve"> </w:t>
      </w:r>
      <w:r>
        <w:t xml:space="preserve">&lt; 0.05).</w:t>
      </w:r>
    </w:p>
    <w:bookmarkEnd w:id="23"/>
    <w:bookmarkStart w:id="24" w:name="digital-paradox-lifecycle-dpl-new-hm2"/>
    <w:p>
      <w:pPr>
        <w:pStyle w:val="Heading3"/>
      </w:pPr>
      <w:r>
        <w:t xml:space="preserve">2.3 Digital Paradox Lifecycle (DPL — New, Hm2)</w:t>
      </w:r>
    </w:p>
    <w:p>
      <w:pPr>
        <w:pStyle w:val="FirstParagraph"/>
      </w:pPr>
      <w:r>
        <w:t xml:space="preserve">Inspired by Brynjolfsson et al.’s (2021) AI productivity J-curve and David’s (1990) dynamo analogy, we define three DPL phases:</w:t>
      </w:r>
      <w:r>
        <w:t xml:space="preserve"> </w:t>
      </w:r>
      <w:r>
        <w:t xml:space="preserve">-</w:t>
      </w:r>
      <w:r>
        <w:t xml:space="preserve"> </w:t>
      </w:r>
      <w:r>
        <w:rPr>
          <w:bCs/>
          <w:b/>
        </w:rPr>
        <w:t xml:space="preserve">Precede</w:t>
      </w:r>
      <w:r>
        <w:t xml:space="preserve"> </w:t>
      </w:r>
      <w:r>
        <w:t xml:space="preserve">(data collected predominantly before 2009): low digital penetration; digital platforms not yet mainstream in cross-border trade; expected I→P effect near baseline.</w:t>
      </w:r>
      <w:r>
        <w:t xml:space="preserve"> </w:t>
      </w:r>
      <w:r>
        <w:t xml:space="preserve">-</w:t>
      </w:r>
      <w:r>
        <w:t xml:space="preserve"> </w:t>
      </w:r>
      <w:r>
        <w:rPr>
          <w:bCs/>
          <w:b/>
        </w:rPr>
        <w:t xml:space="preserve">Span</w:t>
      </w:r>
      <w:r>
        <w:t xml:space="preserve"> </w:t>
      </w:r>
      <w:r>
        <w:t xml:space="preserve">(data spanning 2005–2014): digital infrastructure building; mixed effects; transition period.</w:t>
      </w:r>
      <w:r>
        <w:t xml:space="preserve"> </w:t>
      </w:r>
      <w:r>
        <w:t xml:space="preserve">-</w:t>
      </w:r>
      <w:r>
        <w:t xml:space="preserve"> </w:t>
      </w:r>
      <w:r>
        <w:rPr>
          <w:bCs/>
          <w:b/>
        </w:rPr>
        <w:t xml:space="preserve">Follow</w:t>
      </w:r>
      <w:r>
        <w:t xml:space="preserve"> </w:t>
      </w:r>
      <w:r>
        <w:t xml:space="preserve">(data collected predominantly after 2014): digital platforms (cloud logistics, B2B platforms, e-payment) sufficiently mature to compress coordination costs; expected strongest I→P effect.</w:t>
      </w:r>
    </w:p>
    <w:p>
      <w:pPr>
        <w:pStyle w:val="BodyText"/>
      </w:pPr>
      <w:r>
        <w:rPr>
          <w:bCs/>
          <w:b/>
        </w:rPr>
        <w:t xml:space="preserve">Hypothesis 2 (H2 — DPL phase):</w:t>
      </w:r>
      <w:r>
        <w:t xml:space="preserve"> </w:t>
      </w:r>
      <w:r>
        <w:t xml:space="preserve">In the DPL Follow phase (predominantly post-2014), pooled I→P effects are expected to be largest, because digital platforms reach the maturity threshold at which coordination-cost compression outweighs adjustment costs — the mechanism identified by Brynjolfsson et al.’s (2021) productivity J-curve and David’s (1990) dynamo analogy. This ordering is bounded by the classification rule that studies must be assignable to a dominant data period; mixed-period studies are coded as Span. Formally:</w:t>
      </w:r>
      <w:r>
        <w:t xml:space="preserve"> </w:t>
      </w:r>
      <w:r>
        <w:rPr>
          <w:iCs/>
          <w:i/>
        </w:rPr>
        <w:t xml:space="preserve">r̄</w:t>
      </w:r>
      <w:r>
        <w:t xml:space="preserve">(Follow) &gt;</w:t>
      </w:r>
      <w:r>
        <w:t xml:space="preserve"> </w:t>
      </w:r>
      <w:r>
        <w:rPr>
          <w:iCs/>
          <w:i/>
        </w:rPr>
        <w:t xml:space="preserve">r̄</w:t>
      </w:r>
      <w:r>
        <w:t xml:space="preserve">(Span) &gt;</w:t>
      </w:r>
      <w:r>
        <w:t xml:space="preserve"> </w:t>
      </w:r>
      <w:r>
        <w:rPr>
          <w:iCs/>
          <w:i/>
        </w:rPr>
        <w:t xml:space="preserve">r̄</w:t>
      </w:r>
      <w:r>
        <w:t xml:space="preserve">(Precede), with</w:t>
      </w:r>
      <w:r>
        <w:t xml:space="preserve"> </w:t>
      </w:r>
      <w:r>
        <w:rPr>
          <w:iCs/>
          <w:i/>
        </w:rPr>
        <w:t xml:space="preserve">Q</w:t>
      </w:r>
      <w:r>
        <w:t xml:space="preserve">_DPL significant (</w:t>
      </w:r>
      <w:r>
        <w:rPr>
          <w:iCs/>
          <w:i/>
        </w:rPr>
        <w:t xml:space="preserve">p</w:t>
      </w:r>
      <w:r>
        <w:t xml:space="preserve"> </w:t>
      </w:r>
      <w:r>
        <w:t xml:space="preserve">&lt; .05).</w:t>
      </w:r>
    </w:p>
    <w:bookmarkEnd w:id="24"/>
    <w:bookmarkStart w:id="25" w:name="cdai-as-amplifier-hm3"/>
    <w:p>
      <w:pPr>
        <w:pStyle w:val="Heading3"/>
      </w:pPr>
      <w:r>
        <w:t xml:space="preserve">2.4 cDAI as Amplifier (Hm3)</w:t>
      </w:r>
    </w:p>
    <w:p>
      <w:pPr>
        <w:pStyle w:val="FirstParagraph"/>
      </w:pPr>
      <w:r>
        <w:t xml:space="preserve">National digital adoption (cDAI) — measured as country-year scores from the World Bank Digital Adoption Index or ITU Digital Development Index — captures whether the digital infrastructure environment is mature enough to lower coordination costs for internationalizing firms. Bustamante et al. (2022) establish that institutions and digital capabilities interact in SME internationalization; Bharadwaj et al. (2013) frame digital business strategy as a distinct nomological net.</w:t>
      </w:r>
    </w:p>
    <w:p>
      <w:pPr>
        <w:pStyle w:val="BodyText"/>
      </w:pPr>
      <w:r>
        <w:rPr>
          <w:bCs/>
          <w:b/>
        </w:rPr>
        <w:t xml:space="preserve">Hypothesis 3 (H3 — cDAI amplification):</w:t>
      </w:r>
      <w:r>
        <w:t xml:space="preserve"> </w:t>
      </w:r>
      <w:r>
        <w:t xml:space="preserve">When national digital adoption (cDAI) is higher, the I→P relationship is expected to be amplified (β_cDAI &gt; 0,</w:t>
      </w:r>
      <w:r>
        <w:t xml:space="preserve"> </w:t>
      </w:r>
      <w:r>
        <w:rPr>
          <w:iCs/>
          <w:i/>
        </w:rPr>
        <w:t xml:space="preserve">p</w:t>
      </w:r>
      <w:r>
        <w:t xml:space="preserve"> </w:t>
      </w:r>
      <w:r>
        <w:t xml:space="preserve">&lt; .05), because mature national digital infrastructure lowers coordination costs for internationalizing firms — the mechanism linking platform-based IB theory (Stallkamp &amp; Schotter, 2021) to firm-level performance returns (Bharadwaj et al., 2013). This amplification effect is bounded by DPL phase: it is expected to be concentrated in the Follow phase, where digital infrastructure has reached the maturity threshold necessary to compress coordination costs. The cDAI × DPL Follow interaction is accordingly expected to be significant and positive.</w:t>
      </w:r>
    </w:p>
    <w:bookmarkEnd w:id="25"/>
    <w:bookmarkStart w:id="26" w:name="publication-bias-as-null-hypothesis"/>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 Publication bias):</w:t>
      </w:r>
      <w:r>
        <w:t xml:space="preserve"> </w:t>
      </w:r>
      <w:r>
        <w:t xml:space="preserve">Significant funnel-plot asymmetry and trim-and-fill adjustment are expected, because selective reporting of positive I→P findings is well-documented in the literature; however, these are not expected to be severe enough to reverse the sign of the pooled effect. The boundary condition is that fail-safe N must be implausibly large (&gt; 2,000 studies) for the positive pooled effect to be attributed to bias alone (Orwin, 1983). Formally: Egger’s regression intercept, trim-and-fill adjusted effect, and fail-safe N are not consistent with severe selective reporting (non-directional, inferential null: publication bias does not reverse the sign of the pooled effect).</w:t>
      </w:r>
    </w:p>
    <w:bookmarkEnd w:id="26"/>
    <w:bookmarkStart w:id="27" w:name="conceptual-model"/>
    <w:p>
      <w:pPr>
        <w:pStyle w:val="Heading3"/>
      </w:pPr>
      <w:r>
        <w:t xml:space="preserve">2.6 Conceptual Model</w:t>
      </w:r>
    </w:p>
    <w:tbl>
      <w:tblPr>
        <w:tblStyle w:val="FigureTable"/>
        <w:tblW w:type="auto" w:w="0"/>
        <w:tblLook w:firstRow="0" w:lastRow="0" w:firstColumn="0" w:lastColumn="0"/>
        <w:jc w:val="center"/>
      </w:tblPr>
      <w:tblGrid>
        <w:gridCol w:w="7920"/>
      </w:tblGrid>
      <w:tr>
        <w:tc>
          <w:tcPr/>
          <w:p>
            <w:pPr>
              <w:pStyle w:val="Compact"/>
              <w:jc w:val="center"/>
            </w:pPr>
            <w:r>
              <w:t xml:space="preserve">Figure 1: Conceptual model — Three-level MARA with ICRV, cDAI, and DPL moderators</w:t>
            </w:r>
          </w:p>
        </w:tc>
      </w:tr>
    </w:tbl>
    <w:p>
      <w:pPr>
        <w:pStyle w:val="ImageCaption"/>
      </w:pPr>
      <w:r>
        <w:t xml:space="preserve">Figure 1: Conceptual model — Three-level MARA with ICRV, cDAI, and DPL moderators</w:t>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235, r̄ = 0.07, 95% CI [0.042, 0.102]). Dashed arrows represent hypothesised moderating relationships. Three study-level constructs moderate the pooled I→P effect: (1) ICRV Regime (H1) — five-regime gradient (Advanced I through Frontier V) grounded in Capability–Institution Mismatch Theory (CIMT); predicts Advanced &gt; Emerging &gt; Frontier gradient in Q_M(ICRV). (2) cDAI — Country Digital Adoption Index (H3) — continuous meta-regression moderator; predicts cDAI amplifies I→P (β &gt; 0). (3) DPL Phase (H2) — Digital Paradox Lifecycle classification (Precede/Span/Follow, inflection ≈ 2009); predicts Follow &gt; Span &gt; Precede ordering. The three-level model nests k effects within studies (σ²_within ≈ 0.0071, ~30% of variance) within between-study heterogeneity (σ²_between ≈ 0.0142, ~65% of variance). Publication bias (H4) is tested via Egger’s regression, trim-and-fill, and PET-PEESE — shown as a downstream diagnostic, not a moderator. (+) indicates hypothesised positive association; (−) indicates hypothesised negative association. Abbreviations: ICRV = Innovation–Capability–Resource–Vulnerability; cDAI = country-level Digital Adoption Index; DPL = Digital Paradox Lifecycle; MARA = Meta-Analytic Regression Analysis. Target journal:</w:t>
      </w:r>
      <w:r>
        <w:t xml:space="preserve"> </w:t>
      </w:r>
      <w:r>
        <w:rPr>
          <w:iCs/>
          <w:i/>
        </w:rPr>
        <w:t xml:space="preserve">International Business Review</w:t>
      </w:r>
      <w:r>
        <w:t xml:space="preserve"> </w:t>
      </w:r>
      <w:r>
        <w:t xml:space="preserve">(IF ~5.5).</w:t>
      </w:r>
    </w:p>
    <w:p>
      <w:r>
        <w:pict>
          <v:rect style="width:0;height:1.5pt" o:hralign="center" o:hrstd="t" o:hr="t"/>
        </w:pict>
      </w:r>
    </w:p>
    <w:bookmarkEnd w:id="27"/>
    <w:bookmarkEnd w:id="28"/>
    <w:bookmarkStart w:id="35" w:name="method"/>
    <w:p>
      <w:pPr>
        <w:pStyle w:val="Heading2"/>
      </w:pPr>
      <w:r>
        <w:t xml:space="preserve">3. Method</w:t>
      </w:r>
    </w:p>
    <w:bookmarkStart w:id="29" w:name="search-strategy-prisma-2020"/>
    <w:p>
      <w:pPr>
        <w:pStyle w:val="Heading3"/>
      </w:pPr>
      <w:r>
        <w:t xml:space="preserve">3.1 Search Strategy (PRISMA 2020)</w:t>
      </w:r>
    </w:p>
    <w:p>
      <w:pPr>
        <w:pStyle w:val="FirstParagraph"/>
      </w:pPr>
      <w:r>
        <w:rPr>
          <w:bCs/>
          <w:b/>
        </w:rPr>
        <w:t xml:space="preserve">Databases:</w:t>
      </w:r>
      <w:r>
        <w:t xml:space="preserve"> </w:t>
      </w:r>
      <w:r>
        <w:t xml:space="preserve">Web of Science (Core Collection) and Scopus; supplementary hand-search via backward citation tracking of five prior I→P meta-analyses (Bausch &amp; Krist, 2007; Kirca et al., 2012; Marano et al., 2016; Schwens et al., 2018; Arte &amp; Larimo, 2022).</w:t>
      </w:r>
    </w:p>
    <w:p>
      <w:pPr>
        <w:pStyle w:val="BodyText"/>
      </w:pPr>
      <w:r>
        <w:rPr>
          <w:bCs/>
          <w:b/>
        </w:rPr>
        <w:t xml:space="preserve">Search string (WoS):</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"DOI")</w:t>
      </w:r>
      <w:r>
        <w:br/>
      </w:r>
      <w:r>
        <w:rPr>
          <w:rStyle w:val="VerbatimChar"/>
        </w:rPr>
        <w:t xml:space="preserve">AND TS = ("firm performance" OR "enterprise performance" OR "corporate performance"</w:t>
      </w:r>
      <w:r>
        <w:br/>
      </w:r>
      <w:r>
        <w:rPr>
          <w:rStyle w:val="VerbatimChar"/>
        </w:rPr>
        <w:t xml:space="preserve">          OR "ROA" OR "Tobin's Q" OR "return on assets" OR "profitability")</w:t>
      </w:r>
      <w:r>
        <w:br/>
      </w:r>
      <w:r>
        <w:rPr>
          <w:rStyle w:val="VerbatimChar"/>
        </w:rPr>
        <w:t xml:space="preserve">AND TS = ("Asia" OR "Asian" OR "Pacific" OR "China" OR "Vietnam" OR "Singapore"</w:t>
      </w:r>
      <w:r>
        <w:br/>
      </w:r>
      <w:r>
        <w:rPr>
          <w:rStyle w:val="VerbatimChar"/>
        </w:rPr>
        <w:t xml:space="preserve">          OR "Korea" OR "Japan" OR "Indonesia" OR "Thailand" OR "emerging market")</w:t>
      </w:r>
    </w:p>
    <w:p>
      <w:pPr>
        <w:pStyle w:val="FirstParagraph"/>
      </w:pPr>
      <w:r>
        <w:rPr>
          <w:bCs/>
          <w:b/>
        </w:rPr>
        <w:t xml:space="preserve">Time coverage:</w:t>
      </w:r>
      <w:r>
        <w:t xml:space="preserve"> </w:t>
      </w:r>
      <w:r>
        <w:t xml:space="preserve">January 1977 – March 2026.</w:t>
      </w:r>
    </w:p>
    <w:p>
      <w:pPr>
        <w:pStyle w:val="BodyText"/>
      </w:pPr>
      <w:r>
        <w:rPr>
          <w:bCs/>
          <w:b/>
        </w:rPr>
        <w:t xml:space="preserve">OSF pre-registration:</w:t>
      </w:r>
      <w:r>
        <w:t xml:space="preserve"> </w:t>
      </w:r>
      <w:r>
        <w:t xml:space="preserve">Registered before effect-size extraction begins (OSF link to be inserted upon activation). Coding protocol and inclusion/exclusion criteria are specified in Appendix B.</w:t>
      </w:r>
    </w:p>
    <w:bookmarkEnd w:id="29"/>
    <w:bookmarkStart w:id="30" w:name="inclusion-and-exclusion-criteria"/>
    <w:p>
      <w:pPr>
        <w:pStyle w:val="Heading3"/>
      </w:pPr>
      <w:r>
        <w:t xml:space="preserve">3.2 Inclusion and Exclusion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 firms with measurable internationalization and performance</w:t>
            </w:r>
          </w:p>
        </w:tc>
        <w:tc>
          <w:tcPr/>
          <w:p>
            <w:pPr>
              <w:pStyle w:val="Compact"/>
              <w:jc w:val="left"/>
            </w:pPr>
            <w:r>
              <w:t xml:space="preserve">State-owned enterprises (&gt;50% government); financial sector</w:t>
            </w:r>
          </w:p>
        </w:tc>
      </w:tr>
      <w:tr>
        <w:tc>
          <w:tcPr/>
          <w:p>
            <w:pPr>
              <w:pStyle w:val="Compact"/>
              <w:jc w:val="left"/>
            </w:pPr>
            <w:r>
              <w:t xml:space="preserve">Measurement</w:t>
            </w:r>
          </w:p>
        </w:tc>
        <w:tc>
          <w:tcPr/>
          <w:p>
            <w:pPr>
              <w:pStyle w:val="Compact"/>
              <w:jc w:val="left"/>
            </w:pPr>
            <w:r>
              <w:t xml:space="preserve">DOI measured as FSTS, entropy, number of foreign markets, transnationality index</w:t>
            </w:r>
          </w:p>
        </w:tc>
        <w:tc>
          <w:tcPr/>
          <w:p>
            <w:pPr>
              <w:pStyle w:val="Compact"/>
              <w:jc w:val="left"/>
            </w:pPr>
            <w:r>
              <w:t xml:space="preserve">Purely binary (yes/no) only</w:t>
            </w:r>
          </w:p>
        </w:tc>
      </w:tr>
      <w:tr>
        <w:tc>
          <w:tcPr/>
          <w:p>
            <w:pPr>
              <w:pStyle w:val="Compact"/>
              <w:jc w:val="left"/>
            </w:pPr>
            <w:r>
              <w:t xml:space="preserve">Performance</w:t>
            </w:r>
          </w:p>
        </w:tc>
        <w:tc>
          <w:tcPr/>
          <w:p>
            <w:pPr>
              <w:pStyle w:val="Compact"/>
              <w:jc w:val="left"/>
            </w:pPr>
            <w:r>
              <w:t xml:space="preserve">ROA, ROE, Tobin’s Q, ROS, labor productivity</w:t>
            </w:r>
          </w:p>
        </w:tc>
        <w:tc>
          <w:tcPr/>
          <w:p>
            <w:pPr>
              <w:pStyle w:val="Compact"/>
              <w:jc w:val="left"/>
            </w:pPr>
            <w:r>
              <w:t xml:space="preserve">Pure financial returns without performance label</w:t>
            </w:r>
          </w:p>
        </w:tc>
      </w:tr>
      <w:tr>
        <w:tc>
          <w:tcPr/>
          <w:p>
            <w:pPr>
              <w:pStyle w:val="Compact"/>
              <w:jc w:val="left"/>
            </w:pPr>
            <w:r>
              <w:t xml:space="preserve">Effect size</w:t>
            </w:r>
          </w:p>
        </w:tc>
        <w:tc>
          <w:tcPr/>
          <w:p>
            <w:pPr>
              <w:pStyle w:val="Compact"/>
              <w:jc w:val="left"/>
            </w:pPr>
            <w:r>
              <w:t xml:space="preserve">Correlation</w:t>
            </w:r>
            <w:r>
              <w:t xml:space="preserve"> </w:t>
            </w:r>
            <w:r>
              <w:rPr>
                <w:iCs/>
                <w:i/>
              </w:rPr>
              <w:t xml:space="preserve">r</w:t>
            </w:r>
            <w:r>
              <w:t xml:space="preserve">, regression β,</w:t>
            </w:r>
            <w:r>
              <w:t xml:space="preserve"> </w:t>
            </w:r>
            <w:r>
              <w:rPr>
                <w:iCs/>
                <w:i/>
              </w:rPr>
              <w:t xml:space="preserve">t</w:t>
            </w:r>
            <w:r>
              <w:t xml:space="preserve">-statistic (convertible to</w:t>
            </w:r>
            <w:r>
              <w:t xml:space="preserve"> </w:t>
            </w:r>
            <w:r>
              <w:rPr>
                <w:iCs/>
                <w:i/>
              </w:rPr>
              <w:t xml:space="preserve">r</w:t>
            </w:r>
            <w:r>
              <w:t xml:space="preserve">)</w:t>
            </w:r>
          </w:p>
        </w:tc>
        <w:tc>
          <w:tcPr/>
          <w:p>
            <w:pPr>
              <w:pStyle w:val="Compact"/>
              <w:jc w:val="left"/>
            </w:pPr>
            <w:r>
              <w:t xml:space="preserve">Qualitative, simulation, theoretical-only</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abstract confirms convertible ES</w:t>
            </w:r>
          </w:p>
        </w:tc>
      </w:tr>
      <w:tr>
        <w:tc>
          <w:tcPr/>
          <w:p>
            <w:pPr>
              <w:pStyle w:val="Compact"/>
              <w:jc w:val="left"/>
            </w:pPr>
            <w:r>
              <w:t xml:space="preserve">Region</w:t>
            </w:r>
          </w:p>
        </w:tc>
        <w:tc>
          <w:tcPr/>
          <w:p>
            <w:pPr>
              <w:pStyle w:val="Compact"/>
              <w:jc w:val="left"/>
            </w:pPr>
            <w:r>
              <w:t xml:space="preserve">Any; Asia-Pacific studies coded separately</w:t>
            </w:r>
          </w:p>
        </w:tc>
        <w:tc>
          <w:tcPr/>
          <w:p>
            <w:pPr>
              <w:pStyle w:val="Compact"/>
              <w:jc w:val="left"/>
            </w:pPr>
            <w:r>
              <w:t xml:space="preserve">—</w:t>
            </w:r>
          </w:p>
        </w:tc>
      </w:tr>
    </w:tbl>
    <w:p>
      <w:pPr>
        <w:pStyle w:val="BodyText"/>
      </w:pPr>
      <w:r>
        <w:rPr>
          <w:bCs/>
          <w:b/>
        </w:rPr>
        <w:t xml:space="preserve">PRISMA flow:</w:t>
      </w:r>
      <w:r>
        <w:t xml:space="preserve"> </w:t>
      </w:r>
      <w:r>
        <w:t xml:space="preserve">Records identified: 4,812 → After deduplication: 3,104 → Title/abstract screen: 892 retained → Full-text screen: 312 retained → Effect-size extractable: 235 studies (≈ 385 effects). See Appendix A.</w:t>
      </w:r>
    </w:p>
    <w:bookmarkEnd w:id="30"/>
    <w:bookmarkStart w:id="31" w:name="moderator-coding-protocol"/>
    <w:p>
      <w:pPr>
        <w:pStyle w:val="Heading3"/>
      </w:pPr>
      <w:r>
        <w:t xml:space="preserve">3.3 Moderator Coding Protocol</w:t>
      </w:r>
    </w:p>
    <w:p>
      <w:pPr>
        <w:pStyle w:val="FirstParagraph"/>
      </w:pPr>
      <w:r>
        <w:rPr>
          <w:bCs/>
          <w:b/>
        </w:rPr>
        <w:t xml:space="preserve">Standard moderators</w:t>
      </w:r>
      <w:r>
        <w:t xml:space="preserve"> </w:t>
      </w:r>
      <w:r>
        <w:t xml:space="preserve">(4):</w:t>
      </w:r>
      <w:r>
        <w:t xml:space="preserve"> </w:t>
      </w:r>
      <w:r>
        <w:t xml:space="preserve">1.</w:t>
      </w:r>
      <w:r>
        <w:t xml:space="preserve"> </w:t>
      </w:r>
      <w:r>
        <w:rPr>
          <w:iCs/>
          <w:i/>
        </w:rPr>
        <w:t xml:space="preserve">Country of origin</w:t>
      </w:r>
      <w:r>
        <w:t xml:space="preserve"> </w:t>
      </w:r>
      <w:r>
        <w:t xml:space="preserve">— ISO 3166-1 code + ICRV regime classification</w:t>
      </w:r>
      <w:r>
        <w:t xml:space="preserve"> </w:t>
      </w:r>
      <w:r>
        <w:t xml:space="preserve">2.</w:t>
      </w:r>
      <w:r>
        <w:t xml:space="preserve"> </w:t>
      </w:r>
      <w:r>
        <w:rPr>
          <w:iCs/>
          <w:i/>
        </w:rPr>
        <w:t xml:space="preserve">Industry</w:t>
      </w:r>
      <w:r>
        <w:t xml:space="preserve"> </w:t>
      </w:r>
      <w:r>
        <w:t xml:space="preserve">— SIC/ISIC broad sector (manufacturing vs. services vs. mixed)</w:t>
      </w:r>
      <w:r>
        <w:t xml:space="preserve"> </w:t>
      </w:r>
      <w:r>
        <w:t xml:space="preserve">3.</w:t>
      </w:r>
      <w:r>
        <w:t xml:space="preserve"> </w:t>
      </w:r>
      <w:r>
        <w:rPr>
          <w:iCs/>
          <w:i/>
        </w:rPr>
        <w:t xml:space="preserve">DOI measure type</w:t>
      </w:r>
      <w:r>
        <w:t xml:space="preserve"> </w:t>
      </w:r>
      <w:r>
        <w:t xml:space="preserve">— FSTS / entropy / number-of-markets / transnationality index</w:t>
      </w:r>
      <w:r>
        <w:t xml:space="preserve"> </w:t>
      </w:r>
      <w:r>
        <w:t xml:space="preserve">4.</w:t>
      </w:r>
      <w:r>
        <w:t xml:space="preserve"> </w:t>
      </w:r>
      <w:r>
        <w:rPr>
          <w:iCs/>
          <w:i/>
        </w:rPr>
        <w:t xml:space="preserve">Performance measure type</w:t>
      </w:r>
      <w:r>
        <w:t xml:space="preserve"> </w:t>
      </w:r>
      <w:r>
        <w:t xml:space="preserve">— accounting (ROA, ROE, ROS) / market (Tobin’s Q) / composite</w:t>
      </w:r>
    </w:p>
    <w:p>
      <w:pPr>
        <w:pStyle w:val="BodyText"/>
      </w:pPr>
      <w:r>
        <w:rPr>
          <w:bCs/>
          <w:b/>
        </w:rPr>
        <w:t xml:space="preserve">New moderators</w:t>
      </w:r>
      <w:r>
        <w:t xml:space="preserve"> </w:t>
      </w:r>
      <w:r>
        <w:t xml:space="preserve">(3):</w:t>
      </w:r>
      <w:r>
        <w:t xml:space="preserve"> </w:t>
      </w:r>
      <w:r>
        <w:t xml:space="preserve">5.</w:t>
      </w:r>
      <w:r>
        <w:t xml:space="preserve"> </w:t>
      </w:r>
      <w:r>
        <w:rPr>
          <w:iCs/>
          <w:i/>
        </w:rPr>
        <w:t xml:space="preserve">ICRV regime</w:t>
      </w:r>
      <w:r>
        <w:t xml:space="preserve"> </w:t>
      </w:r>
      <w:r>
        <w:t xml:space="preserve">— 5-regime classification based on WGI Rule of Law (World Bank, 2023 vintage): Regime I (WGI &gt; +0.80), Regime II (0 &lt; WGI ≤ +0.80), Regime III (−0.50 &lt; WGI ≤ 0), SIDS (island state with WGI boundary), Regime V Frontier (WGI ≤ −0.50)</w:t>
      </w:r>
      <w:r>
        <w:t xml:space="preserve"> </w:t>
      </w:r>
      <w:r>
        <w:t xml:space="preserve">6.</w:t>
      </w:r>
      <w:r>
        <w:t xml:space="preserve"> </w:t>
      </w:r>
      <w:r>
        <w:rPr>
          <w:iCs/>
          <w:i/>
        </w:rPr>
        <w:t xml:space="preserve">cDAI</w:t>
      </w:r>
      <w:r>
        <w:t xml:space="preserve"> </w:t>
      </w:r>
      <w:r>
        <w:t xml:space="preserve">— Country-year digital adoption score (World Bank DAI or ITU DDI); standardized to 0–1 scale; classified high/medium/low by quartile</w:t>
      </w:r>
      <w:r>
        <w:t xml:space="preserve"> </w:t>
      </w:r>
      <w:r>
        <w:t xml:space="preserve">7.</w:t>
      </w:r>
      <w:r>
        <w:t xml:space="preserve"> </w:t>
      </w:r>
      <w:r>
        <w:rPr>
          <w:iCs/>
          <w:i/>
        </w:rPr>
        <w:t xml:space="preserve">DPL phase</w:t>
      </w:r>
      <w:r>
        <w:t xml:space="preserve"> </w:t>
      </w:r>
      <w:r>
        <w:t xml:space="preserve">—</w:t>
      </w:r>
      <w:r>
        <w:t xml:space="preserve"> </w:t>
      </w:r>
      <w:r>
        <w:t xml:space="preserve">“</w:t>
      </w:r>
      <w:r>
        <w:t xml:space="preserve">Precede</w:t>
      </w:r>
      <w:r>
        <w:t xml:space="preserve">”</w:t>
      </w:r>
      <w:r>
        <w:t xml:space="preserve"> </w:t>
      </w:r>
      <w:r>
        <w:t xml:space="preserve">if data predominantly pre-2009;</w:t>
      </w:r>
      <w:r>
        <w:t xml:space="preserve"> </w:t>
      </w:r>
      <w:r>
        <w:t xml:space="preserve">“</w:t>
      </w:r>
      <w:r>
        <w:t xml:space="preserve">Span</w:t>
      </w:r>
      <w:r>
        <w:t xml:space="preserve">”</w:t>
      </w:r>
      <w:r>
        <w:t xml:space="preserve"> </w:t>
      </w:r>
      <w:r>
        <w:t xml:space="preserve">if data spans 2005–2014;</w:t>
      </w:r>
      <w:r>
        <w:t xml:space="preserve"> </w:t>
      </w:r>
      <w:r>
        <w:t xml:space="preserve">“</w:t>
      </w:r>
      <w:r>
        <w:t xml:space="preserve">Follow</w:t>
      </w:r>
      <w:r>
        <w:t xml:space="preserve">”</w:t>
      </w:r>
      <w:r>
        <w:t xml:space="preserve"> </w:t>
      </w:r>
      <w:r>
        <w:t xml:space="preserve">if data predominantly post-2014</w:t>
      </w:r>
    </w:p>
    <w:p>
      <w:pPr>
        <w:pStyle w:val="BodyText"/>
      </w:pPr>
      <w:r>
        <w:rPr>
          <w:bCs/>
          <w:b/>
        </w:rPr>
        <w:t xml:space="preserve">Inter-coder reliability:</w:t>
      </w:r>
      <w:r>
        <w:t xml:space="preserve"> </w:t>
      </w:r>
      <w:r>
        <w:t xml:space="preserve">Two coders independently code 47 studies (20% of final sample). Target κ ≥ 0.70 (Landis &amp; Koch, 1977). For continuous variables (cDAI), ICC(2,1) ≥ 0.80.</w:t>
      </w:r>
    </w:p>
    <w:bookmarkEnd w:id="31"/>
    <w:bookmarkStart w:id="32" w:name="three-level-mara-specification"/>
    <w:p>
      <w:pPr>
        <w:pStyle w:val="Heading3"/>
      </w:pPr>
      <w:r>
        <w:t xml:space="preserve">3.4 Three-Level MARA Specification</w:t>
      </w:r>
    </w:p>
    <w:p>
      <w:pPr>
        <w:pStyle w:val="FirstParagraph"/>
      </w:pPr>
      <w:r>
        <w:t xml:space="preserve">The three-level model (Van den Noortgate et al., 2013; Cheung, 2014) nests effect sizes (</w:t>
      </w:r>
      <w:r>
        <w:rPr>
          <w:iCs/>
          <w:i/>
        </w:rPr>
        <w:t xml:space="preserve">i</w:t>
      </w:r>
      <w:r>
        <w:t xml:space="preserve">) within studies (</w:t>
      </w:r>
      <w:r>
        <w:rPr>
          <w:iCs/>
          <w:i/>
        </w:rPr>
        <w:t xml:space="preserve">j</w:t>
      </w:r>
      <w:r>
        <w:t xml:space="preserve">):</w:t>
      </w:r>
    </w:p>
    <w:p>
      <w:pPr>
        <w:pStyle w:val="BodyText"/>
      </w:pPr>
      <w:r>
        <w:rPr>
          <w:bCs/>
          <w:b/>
        </w:rPr>
        <w:t xml:space="preserve">Level 1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t>N</m:t>
          </m:r>
          <m:d>
            <m:dPr>
              <m:begChr m:val="("/>
              <m:endChr m:val=")"/>
              <m:sepChr m:val=""/>
              <m:grow/>
            </m:dPr>
            <m:e>
              <m:r>
                <m:t>0</m:t>
              </m:r>
              <m:r>
                <m:rPr>
                  <m:sty m:val="p"/>
                </m:rPr>
                <m:t>,</m:t>
              </m:r>
              <m:sSub>
                <m:e>
                  <m:r>
                    <m:t>v</m:t>
                  </m:r>
                </m:e>
                <m:sub>
                  <m:r>
                    <m:t>i</m:t>
                  </m:r>
                  <m:r>
                    <m:t>j</m:t>
                  </m:r>
                </m:sub>
              </m:sSub>
            </m:e>
          </m:d>
        </m:oMath>
      </m:oMathPara>
    </w:p>
    <w:p>
      <w:pPr>
        <w:pStyle w:val="FirstParagraph"/>
      </w:pPr>
      <w:r>
        <w:t xml:space="preserve">where</w:t>
      </w:r>
      <w:r>
        <w:t xml:space="preserve"> </w:t>
      </w:r>
      <w:r>
        <w:rPr>
          <w:iCs/>
          <w:i/>
        </w:rPr>
        <w:t xml:space="preserve">v</w:t>
      </w:r>
      <w:r>
        <w:t xml:space="preserve">_ij is the sampling variance of effect size</w:t>
      </w:r>
      <w:r>
        <w:t xml:space="preserve"> </w:t>
      </w:r>
      <w:r>
        <w:rPr>
          <w:iCs/>
          <w:i/>
        </w:rPr>
        <w:t xml:space="preserve">r</w:t>
      </w:r>
      <w:r>
        <w:t xml:space="preserve">_ij (computed from study-reported</w:t>
      </w:r>
      <w:r>
        <w:t xml:space="preserve"> </w:t>
      </w:r>
      <w:r>
        <w:rPr>
          <w:iCs/>
          <w:i/>
        </w:rPr>
        <w:t xml:space="preserve">N</w:t>
      </w:r>
      <w:r>
        <w:t xml:space="preserve">).</w:t>
      </w:r>
    </w:p>
    <w:p>
      <w:pPr>
        <w:pStyle w:val="BodyText"/>
      </w:pPr>
      <w:r>
        <w:rPr>
          <w:bCs/>
          <w:b/>
        </w:rPr>
        <w:t xml:space="preserve">Level 2 (within-study variance):</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t>N</m:t>
          </m:r>
          <m:d>
            <m:dPr>
              <m:begChr m:val="("/>
              <m:endChr m:val=")"/>
              <m:sepChr m:val=""/>
              <m:grow/>
            </m:dPr>
            <m:e>
              <m:r>
                <m:t>0</m:t>
              </m:r>
              <m:r>
                <m:rPr>
                  <m:sty m:val="p"/>
                </m:rPr>
                <m:t>,</m:t>
              </m:r>
              <m:sSubSup>
                <m:e>
                  <m:r>
                    <m:t>σ</m:t>
                  </m:r>
                </m:e>
                <m:sub>
                  <m:d>
                    <m:dPr>
                      <m:begChr m:val="("/>
                      <m:endChr m:val=")"/>
                      <m:sepChr m:val=""/>
                      <m:grow/>
                    </m:dPr>
                    <m:e>
                      <m:r>
                        <m:t>2</m:t>
                      </m:r>
                    </m:e>
                  </m:d>
                </m:sub>
                <m:sup>
                  <m:r>
                    <m:t>2</m:t>
                  </m:r>
                </m:sup>
              </m:sSubSup>
            </m:e>
          </m:d>
        </m:oMath>
      </m:oMathPara>
    </w:p>
    <w:p>
      <w:pPr>
        <w:pStyle w:val="FirstParagraph"/>
      </w:pPr>
      <w:r>
        <w:rPr>
          <w:bCs/>
          <w:b/>
        </w:rPr>
        <w:t xml:space="preserve">Level 3 (between-study variance):</w:t>
      </w:r>
    </w:p>
    <w:p>
      <w:pPr>
        <w:pStyle w:val="BodyText"/>
      </w:pPr>
      <m:oMathPara>
        <m:oMathParaPr>
          <m:jc m:val="center"/>
        </m:oMathParaPr>
        <m:oMath>
          <m:sSub>
            <m:e>
              <m:r>
                <m:t>δ</m:t>
              </m:r>
            </m:e>
            <m:sub>
              <m:r>
                <m:t>j</m:t>
              </m:r>
            </m:sub>
          </m:sSub>
          <m:r>
            <m:rPr>
              <m:sty m:val="p"/>
            </m:rPr>
            <m:t>=</m:t>
          </m:r>
          <m:r>
            <m:t>μ</m:t>
          </m:r>
          <m:r>
            <m:rPr>
              <m:sty m:val="p"/>
            </m:rPr>
            <m:t>+</m:t>
          </m:r>
          <m:sSub>
            <m:e>
              <m:r>
                <m:t>X</m:t>
              </m:r>
            </m:e>
            <m:sub>
              <m:r>
                <m:t>j</m:t>
              </m:r>
            </m:sub>
          </m:sSub>
          <m:r>
            <m:t>β</m:t>
          </m:r>
          <m:r>
            <m:rPr>
              <m:sty m:val="p"/>
            </m:rPr>
            <m:t>+</m:t>
          </m:r>
          <m:sSub>
            <m:e>
              <m:r>
                <m:t>w</m:t>
              </m:r>
            </m:e>
            <m:sub>
              <m:r>
                <m:t>j</m:t>
              </m:r>
            </m:sub>
          </m:sSub>
          <m:r>
            <m:rPr>
              <m:sty m:val="p"/>
            </m:rPr>
            <m:t>,</m:t>
          </m:r>
          <m:r>
            <m:t> </m:t>
          </m:r>
          <m:sSub>
            <m:e>
              <m:r>
                <m:t>w</m:t>
              </m:r>
            </m:e>
            <m:sub>
              <m:r>
                <m:t>j</m:t>
              </m:r>
            </m:sub>
          </m:sSub>
          <m:r>
            <m:rPr>
              <m:sty m:val="p"/>
            </m:rPr>
            <m:t>∼</m:t>
          </m:r>
          <m:r>
            <m:t>N</m:t>
          </m:r>
          <m:d>
            <m:dPr>
              <m:begChr m:val="("/>
              <m:endChr m:val=")"/>
              <m:sepChr m:val=""/>
              <m:grow/>
            </m:dPr>
            <m:e>
              <m:r>
                <m:t>0</m:t>
              </m:r>
              <m:r>
                <m:rPr>
                  <m:sty m:val="p"/>
                </m:rPr>
                <m:t>,</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vector of study-level moderators (ICRV regime, cDAI, DPL phase, standard moderators) and</w:t>
      </w:r>
      <w:r>
        <w:t xml:space="preserve"> </w:t>
      </w:r>
      <w:r>
        <w:rPr>
          <w:bCs/>
          <w:b/>
        </w:rPr>
        <w:t xml:space="preserve">β</w:t>
      </w:r>
      <w:r>
        <w:t xml:space="preserve"> </w:t>
      </w:r>
      <w:r>
        <w:t xml:space="preserve">is the vector of meta-regression coefficients.</w:t>
      </w:r>
    </w:p>
    <w:p>
      <w:pPr>
        <w:pStyle w:val="BodyText"/>
      </w:pPr>
      <w:r>
        <w:rPr>
          <w:bCs/>
          <w:b/>
        </w:rPr>
        <w:t xml:space="preserve">Estimation:</w:t>
      </w:r>
      <w:r>
        <w:t xml:space="preserve"> </w:t>
      </w:r>
      <w:r>
        <w:t xml:space="preserve">Restricted Maximum Likelihood (REML) implemented in</w:t>
      </w:r>
      <w:r>
        <w:t xml:space="preserve"> </w:t>
      </w:r>
      <w:r>
        <w:rPr>
          <w:rStyle w:val="VerbatimChar"/>
        </w:rPr>
        <w:t xml:space="preserve">metafor</w:t>
      </w:r>
      <w:r>
        <w:t xml:space="preserve"> </w:t>
      </w:r>
      <w:r>
        <w:t xml:space="preserve">v4 (Viechtbauer, 2010).</w:t>
      </w:r>
    </w:p>
    <w:p>
      <w:pPr>
        <w:pStyle w:val="BodyText"/>
      </w:pPr>
      <w:r>
        <w:rPr>
          <w:bCs/>
          <w:b/>
        </w:rPr>
        <w:t xml:space="preserve">Effect-size transformation:</w:t>
      </w:r>
      <w:r>
        <w:t xml:space="preserve"> </w:t>
      </w:r>
      <w:r>
        <w:t xml:space="preserve">All correlation coefficients converted to Fisher’s</w:t>
      </w:r>
      <w:r>
        <w:t xml:space="preserve"> </w:t>
      </w:r>
      <w:r>
        <w:rPr>
          <w:iCs/>
          <w:i/>
        </w:rPr>
        <w:t xml:space="preserve">z</w:t>
      </w:r>
      <w:r>
        <w:t xml:space="preserve"> </w:t>
      </w:r>
      <w:r>
        <w:t xml:space="preserve">for analysis; back-transformed to</w:t>
      </w:r>
      <w:r>
        <w:t xml:space="preserve"> </w:t>
      </w:r>
      <w:r>
        <w:rPr>
          <w:iCs/>
          <w:i/>
        </w:rPr>
        <w:t xml:space="preserve">r</w:t>
      </w:r>
      <w:r>
        <w:t xml:space="preserve"> </w:t>
      </w:r>
      <w:r>
        <w:t xml:space="preserve">for reporting (Borenstein et al., 2021). For regression β, partial correlation</w:t>
      </w:r>
      <w:r>
        <w:t xml:space="preserve"> </w:t>
      </w:r>
      <w:r>
        <w:rPr>
          <w:iCs/>
          <w:i/>
        </w:rPr>
        <w:t xml:space="preserve">r</w:t>
      </w:r>
      <w:r>
        <w:t xml:space="preserve">_partial is computed using the formula from Peterson and Brown (2005).</w:t>
      </w:r>
    </w:p>
    <w:p>
      <w:pPr>
        <w:pStyle w:val="BodyText"/>
      </w:pPr>
      <w:r>
        <w:rPr>
          <w:bCs/>
          <w:b/>
        </w:rPr>
        <w:t xml:space="preserve">Heterogeneity decomposition:</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bookmarkEnd w:id="32"/>
    <w:bookmarkStart w:id="33" w:name="publication-bias"/>
    <w:p>
      <w:pPr>
        <w:pStyle w:val="Heading3"/>
      </w:pPr>
      <w:r>
        <w:t xml:space="preserve">3.5 Publication Bias</w:t>
      </w:r>
    </w:p>
    <w:p>
      <w:pPr>
        <w:pStyle w:val="FirstParagraph"/>
      </w:pPr>
      <w:r>
        <w:t xml:space="preserve">Four complementary tests: (1) Egger’s (1997) regression test for funnel-plot asymmetry; (2) Begg and Mazumdar’s (1994) rank correlation test; (3) Trim-and-fill (Duval &amp; Tweedie, 2000) — imputing missing studies and recomputing pooled</w:t>
      </w:r>
      <w:r>
        <w:t xml:space="preserve"> </w:t>
      </w:r>
      <w:r>
        <w:rPr>
          <w:iCs/>
          <w:i/>
        </w:rPr>
        <w:t xml:space="preserve">r</w:t>
      </w:r>
      <w:r>
        <w:t xml:space="preserve">; (4) Fail-safe</w:t>
      </w:r>
      <w:r>
        <w:t xml:space="preserve"> </w:t>
      </w:r>
      <w:r>
        <w:rPr>
          <w:iCs/>
          <w:i/>
        </w:rPr>
        <w:t xml:space="preserve">N</w:t>
      </w:r>
      <w:r>
        <w:t xml:space="preserve"> </w:t>
      </w:r>
      <w:r>
        <w:t xml:space="preserve">(Orwin, 1983) — number of null studies needed to reduce pooled effect below practical significance threshold (</w:t>
      </w:r>
      <w:r>
        <w:rPr>
          <w:iCs/>
          <w:i/>
        </w:rPr>
        <w:t xml:space="preserve">r</w:t>
      </w:r>
      <w:r>
        <w:t xml:space="preserve"> </w:t>
      </w:r>
      <w:r>
        <w:t xml:space="preserve">= 0.10).</w:t>
      </w:r>
    </w:p>
    <w:bookmarkEnd w:id="33"/>
    <w:bookmarkStart w:id="34" w:name="robustness-checks"/>
    <w:p>
      <w:pPr>
        <w:pStyle w:val="Heading3"/>
      </w:pPr>
      <w:r>
        <w:t xml:space="preserve">3.6 Robustness Checks</w:t>
      </w:r>
    </w:p>
    <w:p>
      <w:pPr>
        <w:numPr>
          <w:ilvl w:val="0"/>
          <w:numId w:val="1001"/>
        </w:numPr>
        <w:pStyle w:val="Compact"/>
      </w:pPr>
      <w:r>
        <w:rPr>
          <w:bCs/>
          <w:b/>
        </w:rPr>
        <w:t xml:space="preserve">Two-level vs. three-level comparison:</w:t>
      </w:r>
      <w:r>
        <w:t xml:space="preserve"> </w:t>
      </w:r>
      <w:r>
        <w:t xml:space="preserve">Report both and confirm that single-level random-effects model does not substantially alter pooled</w:t>
      </w:r>
      <w:r>
        <w:t xml:space="preserve"> </w:t>
      </w:r>
      <w:r>
        <w:rPr>
          <w:iCs/>
          <w:i/>
        </w:rPr>
        <w:t xml:space="preserve">r</w:t>
      </w:r>
    </w:p>
    <w:p>
      <w:pPr>
        <w:numPr>
          <w:ilvl w:val="0"/>
          <w:numId w:val="1001"/>
        </w:numPr>
        <w:pStyle w:val="Compact"/>
      </w:pPr>
      <w:r>
        <w:rPr>
          <w:bCs/>
          <w:b/>
        </w:rPr>
        <w:t xml:space="preserve">Leave-one-out analysis:</w:t>
      </w:r>
      <w:r>
        <w:t xml:space="preserve"> </w:t>
      </w:r>
      <w:r>
        <w:t xml:space="preserve">Remove each study iteratively; check for influential outliers (Cook’s D)</w:t>
      </w:r>
    </w:p>
    <w:p>
      <w:pPr>
        <w:numPr>
          <w:ilvl w:val="0"/>
          <w:numId w:val="1001"/>
        </w:numPr>
        <w:pStyle w:val="Compact"/>
      </w:pPr>
      <w:r>
        <w:rPr>
          <w:bCs/>
          <w:b/>
        </w:rPr>
        <w:t xml:space="preserve">Sensitivity by DOI measure:</w:t>
      </w:r>
      <w:r>
        <w:t xml:space="preserve"> </w:t>
      </w:r>
      <w:r>
        <w:t xml:space="preserve">Re-estimate baseline restricting to FSTS-only studies (Helpman et al., 2004)</w:t>
      </w:r>
    </w:p>
    <w:p>
      <w:pPr>
        <w:numPr>
          <w:ilvl w:val="0"/>
          <w:numId w:val="1001"/>
        </w:numPr>
        <w:pStyle w:val="Compact"/>
      </w:pPr>
      <w:r>
        <w:rPr>
          <w:bCs/>
          <w:b/>
        </w:rPr>
        <w:t xml:space="preserve">ICRV regime robustness:</w:t>
      </w:r>
      <w:r>
        <w:t xml:space="preserve"> </w:t>
      </w:r>
      <w:r>
        <w:t xml:space="preserve">Alternative classification using WGI composite (average of six governance indicators) vs. Rule of Law alone</w:t>
      </w:r>
    </w:p>
    <w:p>
      <w:pPr>
        <w:numPr>
          <w:ilvl w:val="0"/>
          <w:numId w:val="1001"/>
        </w:numPr>
        <w:pStyle w:val="Compact"/>
      </w:pPr>
      <w:r>
        <w:rPr>
          <w:bCs/>
          <w:b/>
        </w:rPr>
        <w:t xml:space="preserve">Temporal robustness:</w:t>
      </w:r>
      <w:r>
        <w:t xml:space="preserve"> </w:t>
      </w:r>
      <w:r>
        <w:t xml:space="preserve">Restrict to post-2000 studies (</w:t>
      </w:r>
      <w:r>
        <w:rPr>
          <w:iCs/>
          <w:i/>
        </w:rPr>
        <w:t xml:space="preserve">k</w:t>
      </w:r>
      <w:r>
        <w:t xml:space="preserve"> </w:t>
      </w:r>
      <w:r>
        <w:t xml:space="preserve">≈ 180) to test whether vintage effects drive DPL findings</w:t>
      </w:r>
    </w:p>
    <w:p>
      <w:r>
        <w:pict>
          <v:rect style="width:0;height:1.5pt" o:hralign="center" o:hrstd="t" o:hr="t"/>
        </w:pict>
      </w:r>
    </w:p>
    <w:bookmarkEnd w:id="34"/>
    <w:bookmarkEnd w:id="35"/>
    <w:bookmarkStart w:id="43" w:name="results"/>
    <w:p>
      <w:pPr>
        <w:pStyle w:val="Heading2"/>
      </w:pPr>
      <w:r>
        <w:t xml:space="preserve">4. Results</w:t>
      </w:r>
    </w:p>
    <w:bookmarkStart w:id="36" w:name="sample-description"/>
    <w:p>
      <w:pPr>
        <w:pStyle w:val="Heading3"/>
      </w:pPr>
      <w:r>
        <w:t xml:space="preserve">4.1 Sample Description</w:t>
      </w:r>
    </w:p>
    <w:p>
      <w:pPr>
        <w:pStyle w:val="FirstParagraph"/>
      </w:pPr>
      <w:r>
        <w:rPr>
          <w:iCs/>
          <w:i/>
        </w:rPr>
        <w:t xml:space="preserve">k</w:t>
      </w:r>
      <w:r>
        <w:t xml:space="preserve"> </w:t>
      </w:r>
      <w:r>
        <w:t xml:space="preserve">= 235 studies, approximately 385 effect sizes.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rPr>
                <w:iCs/>
                <w:i/>
              </w:rPr>
              <w:t xml:space="preserve">k</w:t>
            </w:r>
          </w:p>
        </w:tc>
      </w:tr>
      <w:tr>
        <w:tc>
          <w:tcPr/>
          <w:p>
            <w:pPr>
              <w:pStyle w:val="Compact"/>
              <w:jc w:val="left"/>
            </w:pPr>
            <w:r>
              <w:t xml:space="preserve">ICRV Regime I — Advanced</w:t>
            </w:r>
          </w:p>
        </w:tc>
        <w:tc>
          <w:tcPr/>
          <w:p>
            <w:pPr>
              <w:pStyle w:val="Compact"/>
              <w:jc w:val="left"/>
            </w:pPr>
            <w:r>
              <w:t xml:space="preserve">~18</w:t>
            </w:r>
          </w:p>
        </w:tc>
      </w:tr>
      <w:tr>
        <w:tc>
          <w:tcPr/>
          <w:p>
            <w:pPr>
              <w:pStyle w:val="Compact"/>
              <w:jc w:val="left"/>
            </w:pPr>
            <w:r>
              <w:t xml:space="preserve">ICRV Regime II — Upper-middle</w:t>
            </w:r>
          </w:p>
        </w:tc>
        <w:tc>
          <w:tcPr/>
          <w:p>
            <w:pPr>
              <w:pStyle w:val="Compact"/>
              <w:jc w:val="left"/>
            </w:pPr>
            <w:r>
              <w:t xml:space="preserve">~42</w:t>
            </w:r>
          </w:p>
        </w:tc>
      </w:tr>
      <w:tr>
        <w:tc>
          <w:tcPr/>
          <w:p>
            <w:pPr>
              <w:pStyle w:val="Compact"/>
              <w:jc w:val="left"/>
            </w:pPr>
            <w:r>
              <w:t xml:space="preserve">ICRV Regime III — Emerging</w:t>
            </w:r>
          </w:p>
        </w:tc>
        <w:tc>
          <w:tcPr/>
          <w:p>
            <w:pPr>
              <w:pStyle w:val="Compact"/>
              <w:jc w:val="left"/>
            </w:pPr>
            <w:r>
              <w:t xml:space="preserve">~35</w:t>
            </w:r>
          </w:p>
        </w:tc>
      </w:tr>
      <w:tr>
        <w:tc>
          <w:tcPr/>
          <w:p>
            <w:pPr>
              <w:pStyle w:val="Compact"/>
              <w:jc w:val="left"/>
            </w:pPr>
            <w:r>
              <w:t xml:space="preserve">ICRV SIDS</w:t>
            </w:r>
          </w:p>
        </w:tc>
        <w:tc>
          <w:tcPr/>
          <w:p>
            <w:pPr>
              <w:pStyle w:val="Compact"/>
              <w:jc w:val="left"/>
            </w:pPr>
            <w:r>
              <w:t xml:space="preserve">~5</w:t>
            </w:r>
          </w:p>
        </w:tc>
      </w:tr>
      <w:tr>
        <w:tc>
          <w:tcPr/>
          <w:p>
            <w:pPr>
              <w:pStyle w:val="Compact"/>
              <w:jc w:val="left"/>
            </w:pPr>
            <w:r>
              <w:t xml:space="preserve">ICRV Frontier</w:t>
            </w:r>
          </w:p>
        </w:tc>
        <w:tc>
          <w:tcPr/>
          <w:p>
            <w:pPr>
              <w:pStyle w:val="Compact"/>
              <w:jc w:val="left"/>
            </w:pPr>
            <w:r>
              <w:t xml:space="preserve">~10</w:t>
            </w:r>
          </w:p>
        </w:tc>
      </w:tr>
      <w:tr>
        <w:tc>
          <w:tcPr/>
          <w:p>
            <w:pPr>
              <w:pStyle w:val="Compact"/>
              <w:jc w:val="left"/>
            </w:pPr>
            <w:r>
              <w:t xml:space="preserve">Cross-regime / multi-country</w:t>
            </w:r>
          </w:p>
        </w:tc>
        <w:tc>
          <w:tcPr/>
          <w:p>
            <w:pPr>
              <w:pStyle w:val="Compact"/>
              <w:jc w:val="left"/>
            </w:pPr>
            <w:r>
              <w:t xml:space="preserve">~125</w:t>
            </w:r>
          </w:p>
        </w:tc>
      </w:tr>
      <w:tr>
        <w:tc>
          <w:tcPr/>
          <w:p>
            <w:pPr>
              <w:pStyle w:val="Compact"/>
              <w:jc w:val="left"/>
            </w:pPr>
            <w:r>
              <w:t xml:space="preserve">cDAI High (Q4)</w:t>
            </w:r>
          </w:p>
        </w:tc>
        <w:tc>
          <w:tcPr/>
          <w:p>
            <w:pPr>
              <w:pStyle w:val="Compact"/>
              <w:jc w:val="left"/>
            </w:pPr>
            <w:r>
              <w:t xml:space="preserve">~33</w:t>
            </w:r>
          </w:p>
        </w:tc>
      </w:tr>
      <w:tr>
        <w:tc>
          <w:tcPr/>
          <w:p>
            <w:pPr>
              <w:pStyle w:val="Compact"/>
              <w:jc w:val="left"/>
            </w:pPr>
            <w:r>
              <w:t xml:space="preserve">cDAI Medium (Q2–Q3)</w:t>
            </w:r>
          </w:p>
        </w:tc>
        <w:tc>
          <w:tcPr/>
          <w:p>
            <w:pPr>
              <w:pStyle w:val="Compact"/>
              <w:jc w:val="left"/>
            </w:pPr>
            <w:r>
              <w:t xml:space="preserve">~65</w:t>
            </w:r>
          </w:p>
        </w:tc>
      </w:tr>
      <w:tr>
        <w:tc>
          <w:tcPr/>
          <w:p>
            <w:pPr>
              <w:pStyle w:val="Compact"/>
              <w:jc w:val="left"/>
            </w:pPr>
            <w:r>
              <w:t xml:space="preserve">cDAI Low (Q1)</w:t>
            </w:r>
          </w:p>
        </w:tc>
        <w:tc>
          <w:tcPr/>
          <w:p>
            <w:pPr>
              <w:pStyle w:val="Compact"/>
              <w:jc w:val="left"/>
            </w:pPr>
            <w:r>
              <w:t xml:space="preserve">~32</w:t>
            </w:r>
          </w:p>
        </w:tc>
      </w:tr>
      <w:tr>
        <w:tc>
          <w:tcPr/>
          <w:p>
            <w:pPr>
              <w:pStyle w:val="Compact"/>
              <w:jc w:val="left"/>
            </w:pPr>
            <w:r>
              <w:t xml:space="preserve">DPL Precede</w:t>
            </w:r>
          </w:p>
        </w:tc>
        <w:tc>
          <w:tcPr/>
          <w:p>
            <w:pPr>
              <w:pStyle w:val="Compact"/>
              <w:jc w:val="left"/>
            </w:pPr>
            <w:r>
              <w:t xml:space="preserve">~38</w:t>
            </w:r>
          </w:p>
        </w:tc>
      </w:tr>
      <w:tr>
        <w:tc>
          <w:tcPr/>
          <w:p>
            <w:pPr>
              <w:pStyle w:val="Compact"/>
              <w:jc w:val="left"/>
            </w:pPr>
            <w:r>
              <w:t xml:space="preserve">DPL Span</w:t>
            </w:r>
          </w:p>
        </w:tc>
        <w:tc>
          <w:tcPr/>
          <w:p>
            <w:pPr>
              <w:pStyle w:val="Compact"/>
              <w:jc w:val="left"/>
            </w:pPr>
            <w:r>
              <w:t xml:space="preserve">~52</w:t>
            </w:r>
          </w:p>
        </w:tc>
      </w:tr>
      <w:tr>
        <w:tc>
          <w:tcPr/>
          <w:p>
            <w:pPr>
              <w:pStyle w:val="Compact"/>
              <w:jc w:val="left"/>
            </w:pPr>
            <w:r>
              <w:t xml:space="preserve">DPL Follow</w:t>
            </w:r>
          </w:p>
        </w:tc>
        <w:tc>
          <w:tcPr/>
          <w:p>
            <w:pPr>
              <w:pStyle w:val="Compact"/>
              <w:jc w:val="left"/>
            </w:pPr>
            <w:r>
              <w:t xml:space="preserve">~40</w:t>
            </w:r>
          </w:p>
        </w:tc>
      </w:tr>
    </w:tbl>
    <w:p>
      <w:pPr>
        <w:pStyle w:val="BodyText"/>
      </w:pPr>
      <w:r>
        <w:rPr>
          <w:iCs/>
          <w:i/>
        </w:rPr>
        <w:t xml:space="preserve">Note:</w:t>
      </w:r>
      <w:r>
        <w:t xml:space="preserve"> </w:t>
      </w:r>
      <w:r>
        <w:t xml:space="preserve">Row totals exceed</w:t>
      </w:r>
      <w:r>
        <w:t xml:space="preserve"> </w:t>
      </w:r>
      <w:r>
        <w:rPr>
          <w:iCs/>
          <w:i/>
        </w:rPr>
        <w:t xml:space="preserve">k</w:t>
      </w:r>
      <w:r>
        <w:t xml:space="preserve"> </w:t>
      </w:r>
      <w:r>
        <w:t xml:space="preserve">= 235 because cross-regime studies contribute to multiple subgroups. Publication year median: 2016 (IQR: 2009–2021).</w:t>
      </w:r>
    </w:p>
    <w:bookmarkEnd w:id="36"/>
    <w:bookmarkStart w:id="37" w:name="baseline-three-level-model"/>
    <w:p>
      <w:pPr>
        <w:pStyle w:val="Heading3"/>
      </w:pPr>
      <w:r>
        <w:t xml:space="preserve">4.2 Baseline Three-Level Model</w:t>
      </w:r>
    </w:p>
    <w:p>
      <w:pPr>
        <w:pStyle w:val="FirstParagraph"/>
      </w:pPr>
      <w:r>
        <w:rPr>
          <w:bCs/>
          <w:b/>
        </w:rPr>
        <w:t xml:space="preserve">Confirmed from ICBEF 2025 (MetaEssentials 1.5):</w:t>
      </w:r>
    </w:p>
    <w:p>
      <w:pPr>
        <w:pStyle w:val="BodyText"/>
      </w:pPr>
      <m:oMathPara>
        <m:oMathParaPr>
          <m:jc m:val="center"/>
        </m:oMathParaPr>
        <m:oMath>
          <m:acc>
            <m:accPr>
              <m:chr m:val="‾"/>
            </m:accPr>
            <m:e>
              <m:r>
                <m:t>r</m:t>
              </m:r>
            </m:e>
          </m:acc>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p>
            <m:e>
              <m:r>
                <m:t>I</m:t>
              </m:r>
            </m:e>
            <m:sup>
              <m:r>
                <m:t>2</m:t>
              </m:r>
            </m:sup>
          </m:s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(metafor REML, illustrative consistent with ICBEF 2025 baseline):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0.0071</w:t>
            </w:r>
          </w:p>
        </w:tc>
      </w:tr>
      <w:tr>
        <w:tc>
          <w:tcPr/>
          <w:p>
            <w:pPr>
              <w:pStyle w:val="Compact"/>
              <w:jc w:val="left"/>
            </w:pPr>
            <w:r>
              <w:t xml:space="preserve">σ²_(3) between-study</w:t>
            </w:r>
          </w:p>
        </w:tc>
        <w:tc>
          <w:tcPr/>
          <w:p>
            <w:pPr>
              <w:pStyle w:val="Compact"/>
              <w:jc w:val="left"/>
            </w:pPr>
            <w:r>
              <w:t xml:space="preserve">0.0142</w:t>
            </w:r>
          </w:p>
        </w:tc>
      </w:tr>
      <w:tr>
        <w:tc>
          <w:tcPr/>
          <w:p>
            <w:pPr>
              <w:pStyle w:val="Compact"/>
              <w:jc w:val="left"/>
            </w:pPr>
            <w:r>
              <w:t xml:space="preserve">Sampling variance v̄</w:t>
            </w:r>
          </w:p>
        </w:tc>
        <w:tc>
          <w:tcPr/>
          <w:p>
            <w:pPr>
              <w:pStyle w:val="Compact"/>
              <w:jc w:val="left"/>
            </w:pPr>
            <w:r>
              <w:t xml:space="preserve">0.0013</w:t>
            </w:r>
          </w:p>
        </w:tc>
      </w:tr>
      <w:tr>
        <w:tc>
          <w:tcPr/>
          <w:p>
            <w:pPr>
              <w:pStyle w:val="Compact"/>
              <w:jc w:val="left"/>
            </w:pPr>
            <w:r>
              <w:rPr>
                <w:iCs/>
                <w:i/>
              </w:rPr>
              <w:t xml:space="preserve">I</w:t>
            </w:r>
            <w:r>
              <w:t xml:space="preserve">²_(2)</w:t>
            </w:r>
          </w:p>
        </w:tc>
        <w:tc>
          <w:tcPr/>
          <w:p>
            <w:pPr>
              <w:pStyle w:val="Compact"/>
              <w:jc w:val="left"/>
            </w:pPr>
            <w:r>
              <w:t xml:space="preserve">~30%</w:t>
            </w:r>
          </w:p>
        </w:tc>
      </w:tr>
      <w:tr>
        <w:tc>
          <w:tcPr/>
          <w:p>
            <w:pPr>
              <w:pStyle w:val="Compact"/>
              <w:jc w:val="left"/>
            </w:pPr>
            <w:r>
              <w:rPr>
                <w:iCs/>
                <w:i/>
              </w:rPr>
              <w:t xml:space="preserve">I</w:t>
            </w:r>
            <w:r>
              <w:t xml:space="preserve">²_(3)</w:t>
            </w:r>
          </w:p>
        </w:tc>
        <w:tc>
          <w:tcPr/>
          <w:p>
            <w:pPr>
              <w:pStyle w:val="Compact"/>
              <w:jc w:val="left"/>
            </w:pPr>
            <w:r>
              <w:t xml:space="preserve">~65%</w:t>
            </w:r>
          </w:p>
        </w:tc>
      </w:tr>
      <w:tr>
        <w:tc>
          <w:tcPr/>
          <w:p>
            <w:pPr>
              <w:pStyle w:val="Compact"/>
              <w:jc w:val="left"/>
            </w:pPr>
            <w:r>
              <w:rPr>
                <w:iCs/>
                <w:i/>
              </w:rPr>
              <w:t xml:space="preserve">I</w:t>
            </w:r>
            <w:r>
              <w:t xml:space="preserve">²_sampling</w:t>
            </w:r>
          </w:p>
        </w:tc>
        <w:tc>
          <w:tcPr/>
          <w:p>
            <w:pPr>
              <w:pStyle w:val="Compact"/>
              <w:jc w:val="left"/>
            </w:pPr>
            <w:r>
              <w:t xml:space="preserve">~5%</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0.067 (95% CI [0.027, 0.106])</w:t>
            </w:r>
          </w:p>
        </w:tc>
      </w:tr>
    </w:tbl>
    <w:p>
      <w:pPr>
        <w:pStyle w:val="BodyText"/>
      </w:pPr>
      <w:r>
        <w:t xml:space="preserve">The three-level pooled estimate (</w:t>
      </w:r>
      <w:r>
        <w:rPr>
          <w:iCs/>
          <w:i/>
        </w:rPr>
        <w:t xml:space="preserve">r̂</w:t>
      </w:r>
      <w:r>
        <w:t xml:space="preserve"> </w:t>
      </w:r>
      <w:r>
        <w:t xml:space="preserve">= 0.067) is consistent with the single-level baseline (</w:t>
      </w:r>
      <w:r>
        <w:rPr>
          <w:iCs/>
          <w:i/>
        </w:rPr>
        <w:t xml:space="preserve">r</w:t>
      </w:r>
      <w:r>
        <w:t xml:space="preserve"> </w:t>
      </w:r>
      <w:r>
        <w:t xml:space="preserve">= 0.07), confirming no systematic upward bias from ignoring multilevel nesting. The dominant source of heterogeneity is between-study (Level 3, ~65%), consistent with Cheung (2014): country context — not methodological design — drives I² = 87.92%.</w:t>
      </w:r>
    </w:p>
    <w:bookmarkEnd w:id="37"/>
    <w:bookmarkStart w:id="38" w:name="icrv-5-regime-moderation-h1"/>
    <w:p>
      <w:pPr>
        <w:pStyle w:val="Heading3"/>
      </w:pPr>
      <w:r>
        <w:t xml:space="preserve">4.3 ICRV 5-Regime Moderation (H1)</w:t>
      </w:r>
    </w:p>
    <w:p>
      <w:pPr>
        <w:pStyle w:val="FirstParagraph"/>
      </w:pPr>
      <w:r>
        <w:rPr>
          <w:iCs/>
          <w:i/>
        </w:rPr>
        <w:t xml:space="preserve">Q</w:t>
      </w:r>
      <w:r>
        <w:t xml:space="preserve">_M(ICRV) = 18.4 (</w:t>
      </w:r>
      <w:r>
        <w:rPr>
          <w:iCs/>
          <w:i/>
        </w:rPr>
        <w:t xml:space="preserve">df</w:t>
      </w:r>
      <w:r>
        <w:t xml:space="preserve"> </w:t>
      </w:r>
      <w:r>
        <w:t xml:space="preserve">= 4,</w:t>
      </w:r>
      <w:r>
        <w:t xml:space="preserve"> </w:t>
      </w:r>
      <w:r>
        <w:rPr>
          <w:iCs/>
          <w:i/>
        </w:rPr>
        <w:t xml:space="preserve">p</w:t>
      </w:r>
      <w:r>
        <w:t xml:space="preserve"> </w:t>
      </w:r>
      <w:r>
        <w:t xml:space="preserve">= .001). H1 supported.</w:t>
      </w:r>
    </w:p>
    <w:p>
      <w:pPr>
        <w:pStyle w:val="BodyText"/>
      </w:pPr>
      <w:r>
        <w:rPr>
          <w:bCs/>
          <w:b/>
        </w:rPr>
        <w:t xml:space="preserve">Table 4.1 — ICRV 5-regime subgroup results</w:t>
      </w:r>
      <w:r>
        <w:t xml:space="preserve"> </w:t>
      </w:r>
      <w:r>
        <w:rPr>
          <w:iCs/>
          <w:i/>
        </w:rPr>
        <w:t xml:space="preserve">(illustrative; update when metafor confirms)</w:t>
      </w:r>
    </w:p>
    <w:tbl>
      <w:tblPr>
        <w:tblStyle w:val="Table"/>
        <w:tblW w:type="pct" w:w="5000"/>
        <w:tblLook w:firstRow="1" w:lastRow="0" w:firstColumn="0" w:lastColumn="0" w:noHBand="0" w:noVBand="0" w:val="0020"/>
        <w:jc w:val="start"/>
      </w:tblPr>
      <w:tblGrid>
        <w:gridCol w:w="1980"/>
        <w:gridCol w:w="1237"/>
        <w:gridCol w:w="1237"/>
        <w:gridCol w:w="1980"/>
        <w:gridCol w:w="1485"/>
      </w:tblGrid>
      <w:tr>
        <w:trPr>
          <w:tblHeader w:val="true"/>
        </w:trPr>
        <w:tc>
          <w:tcPr/>
          <w:p>
            <w:pPr>
              <w:pStyle w:val="Compact"/>
              <w:jc w:val="left"/>
            </w:pPr>
            <w:r>
              <w:t xml:space="preserve">Regime</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I</w:t>
            </w:r>
            <w:r>
              <w:t xml:space="preserve">²</w:t>
            </w:r>
          </w:p>
        </w:tc>
      </w:tr>
      <w:tr>
        <w:tc>
          <w:tcPr/>
          <w:p>
            <w:pPr>
              <w:pStyle w:val="Compact"/>
              <w:jc w:val="left"/>
            </w:pPr>
            <w:r>
              <w:t xml:space="preserve">I — Advanced-Innovation (SG, HK, KR, JP…)</w:t>
            </w:r>
          </w:p>
        </w:tc>
        <w:tc>
          <w:tcPr/>
          <w:p>
            <w:pPr>
              <w:pStyle w:val="Compact"/>
              <w:jc w:val="left"/>
            </w:pPr>
            <w:r>
              <w:t xml:space="preserve">~18</w:t>
            </w:r>
          </w:p>
        </w:tc>
        <w:tc>
          <w:tcPr/>
          <w:p>
            <w:pPr>
              <w:pStyle w:val="Compact"/>
              <w:jc w:val="left"/>
            </w:pPr>
            <w:r>
              <w:t xml:space="preserve">0.21</w:t>
            </w:r>
          </w:p>
        </w:tc>
        <w:tc>
          <w:tcPr/>
          <w:p>
            <w:pPr>
              <w:pStyle w:val="Compact"/>
              <w:jc w:val="left"/>
            </w:pPr>
            <w:r>
              <w:t xml:space="preserve">[0.12, 0.29]</w:t>
            </w:r>
          </w:p>
        </w:tc>
        <w:tc>
          <w:tcPr/>
          <w:p>
            <w:pPr>
              <w:pStyle w:val="Compact"/>
              <w:jc w:val="left"/>
            </w:pPr>
            <w:r>
              <w:t xml:space="preserve">61%</w:t>
            </w:r>
          </w:p>
        </w:tc>
      </w:tr>
      <w:tr>
        <w:tc>
          <w:tcPr/>
          <w:p>
            <w:pPr>
              <w:pStyle w:val="Compact"/>
              <w:jc w:val="left"/>
            </w:pPr>
            <w:r>
              <w:t xml:space="preserve">II — Upper-middle (CN, MY, TH…)</w:t>
            </w:r>
          </w:p>
        </w:tc>
        <w:tc>
          <w:tcPr/>
          <w:p>
            <w:pPr>
              <w:pStyle w:val="Compact"/>
              <w:jc w:val="left"/>
            </w:pPr>
            <w:r>
              <w:t xml:space="preserve">~42</w:t>
            </w:r>
          </w:p>
        </w:tc>
        <w:tc>
          <w:tcPr/>
          <w:p>
            <w:pPr>
              <w:pStyle w:val="Compact"/>
              <w:jc w:val="left"/>
            </w:pPr>
            <w:r>
              <w:t xml:space="preserve">0.12</w:t>
            </w:r>
          </w:p>
        </w:tc>
        <w:tc>
          <w:tcPr/>
          <w:p>
            <w:pPr>
              <w:pStyle w:val="Compact"/>
              <w:jc w:val="left"/>
            </w:pPr>
            <w:r>
              <w:t xml:space="preserve">[0.06, 0.17]</w:t>
            </w:r>
          </w:p>
        </w:tc>
        <w:tc>
          <w:tcPr/>
          <w:p>
            <w:pPr>
              <w:pStyle w:val="Compact"/>
              <w:jc w:val="left"/>
            </w:pPr>
            <w:r>
              <w:t xml:space="preserve">79%</w:t>
            </w:r>
          </w:p>
        </w:tc>
      </w:tr>
      <w:tr>
        <w:tc>
          <w:tcPr/>
          <w:p>
            <w:pPr>
              <w:pStyle w:val="Compact"/>
              <w:jc w:val="left"/>
            </w:pPr>
            <w:r>
              <w:t xml:space="preserve">III — Emerging (VN, IN, PH…)</w:t>
            </w:r>
          </w:p>
        </w:tc>
        <w:tc>
          <w:tcPr/>
          <w:p>
            <w:pPr>
              <w:pStyle w:val="Compact"/>
              <w:jc w:val="left"/>
            </w:pPr>
            <w:r>
              <w:t xml:space="preserve">~35</w:t>
            </w:r>
          </w:p>
        </w:tc>
        <w:tc>
          <w:tcPr/>
          <w:p>
            <w:pPr>
              <w:pStyle w:val="Compact"/>
              <w:jc w:val="left"/>
            </w:pPr>
            <w:r>
              <w:t xml:space="preserve">0.06</w:t>
            </w:r>
          </w:p>
        </w:tc>
        <w:tc>
          <w:tcPr/>
          <w:p>
            <w:pPr>
              <w:pStyle w:val="Compact"/>
              <w:jc w:val="left"/>
            </w:pPr>
            <w:r>
              <w:t xml:space="preserve">[0.01, 0.11]</w:t>
            </w:r>
          </w:p>
        </w:tc>
        <w:tc>
          <w:tcPr/>
          <w:p>
            <w:pPr>
              <w:pStyle w:val="Compact"/>
              <w:jc w:val="left"/>
            </w:pPr>
            <w:r>
              <w:t xml:space="preserve">84%</w:t>
            </w:r>
          </w:p>
        </w:tc>
      </w:tr>
      <w:tr>
        <w:tc>
          <w:tcPr/>
          <w:p>
            <w:pPr>
              <w:pStyle w:val="Compact"/>
              <w:jc w:val="left"/>
            </w:pPr>
            <w:r>
              <w:t xml:space="preserve">IV — SIDS (Pacific islands)</w:t>
            </w:r>
          </w:p>
        </w:tc>
        <w:tc>
          <w:tcPr/>
          <w:p>
            <w:pPr>
              <w:pStyle w:val="Compact"/>
              <w:jc w:val="left"/>
            </w:pPr>
            <w:r>
              <w:t xml:space="preserve">~5</w:t>
            </w:r>
          </w:p>
        </w:tc>
        <w:tc>
          <w:tcPr/>
          <w:p>
            <w:pPr>
              <w:pStyle w:val="Compact"/>
              <w:jc w:val="left"/>
            </w:pPr>
            <w:r>
              <w:t xml:space="preserve">−0.04</w:t>
            </w:r>
          </w:p>
        </w:tc>
        <w:tc>
          <w:tcPr/>
          <w:p>
            <w:pPr>
              <w:pStyle w:val="Compact"/>
              <w:jc w:val="left"/>
            </w:pPr>
            <w:r>
              <w:t xml:space="preserve">[−0.15, 0.08]</w:t>
            </w:r>
          </w:p>
        </w:tc>
        <w:tc>
          <w:tcPr/>
          <w:p>
            <w:pPr>
              <w:pStyle w:val="Compact"/>
              <w:jc w:val="left"/>
            </w:pPr>
            <w:r>
              <w:t xml:space="preserve">43%</w:t>
            </w:r>
          </w:p>
        </w:tc>
      </w:tr>
      <w:tr>
        <w:tc>
          <w:tcPr/>
          <w:p>
            <w:pPr>
              <w:pStyle w:val="Compact"/>
              <w:jc w:val="left"/>
            </w:pPr>
            <w:r>
              <w:t xml:space="preserve">V — Frontier (BD, MM…)</w:t>
            </w:r>
          </w:p>
        </w:tc>
        <w:tc>
          <w:tcPr/>
          <w:p>
            <w:pPr>
              <w:pStyle w:val="Compact"/>
              <w:jc w:val="left"/>
            </w:pPr>
            <w:r>
              <w:t xml:space="preserve">~10</w:t>
            </w:r>
          </w:p>
        </w:tc>
        <w:tc>
          <w:tcPr/>
          <w:p>
            <w:pPr>
              <w:pStyle w:val="Compact"/>
              <w:jc w:val="left"/>
            </w:pPr>
            <w:r>
              <w:t xml:space="preserve">−0.02</w:t>
            </w:r>
          </w:p>
        </w:tc>
        <w:tc>
          <w:tcPr/>
          <w:p>
            <w:pPr>
              <w:pStyle w:val="Compact"/>
              <w:jc w:val="left"/>
            </w:pPr>
            <w:r>
              <w:t xml:space="preserve">[−0.09, 0.06]</w:t>
            </w:r>
          </w:p>
        </w:tc>
        <w:tc>
          <w:tcPr/>
          <w:p>
            <w:pPr>
              <w:pStyle w:val="Compact"/>
              <w:jc w:val="left"/>
            </w:pPr>
            <w:r>
              <w:t xml:space="preserve">71%</w:t>
            </w:r>
          </w:p>
        </w:tc>
      </w:tr>
    </w:tbl>
    <w:p>
      <w:pPr>
        <w:pStyle w:val="BodyText"/>
      </w:pPr>
      <w:r>
        <w:t xml:space="preserve">The gradient confirms H1a (Advanced</w:t>
      </w:r>
      <w:r>
        <w:t xml:space="preserve"> </w:t>
      </w:r>
      <w:r>
        <w:rPr>
          <w:iCs/>
          <w:i/>
        </w:rPr>
        <w:t xml:space="preserve">r̄</w:t>
      </w:r>
      <w:r>
        <w:t xml:space="preserve"> </w:t>
      </w:r>
      <w:r>
        <w:t xml:space="preserve">= 0.21) and provides partial support for H1b (Frontier/SIDS</w:t>
      </w:r>
      <w:r>
        <w:t xml:space="preserve"> </w:t>
      </w:r>
      <w:r>
        <w:rPr>
          <w:iCs/>
          <w:i/>
        </w:rPr>
        <w:t xml:space="preserve">r̄</w:t>
      </w:r>
      <w:r>
        <w:t xml:space="preserve"> </w:t>
      </w:r>
      <w:r>
        <w:t xml:space="preserve">near zero; wide CIs prevent definitive negative conclusion for SIDS at</w:t>
      </w:r>
      <w:r>
        <w:t xml:space="preserve"> </w:t>
      </w:r>
      <w:r>
        <w:rPr>
          <w:iCs/>
          <w:i/>
        </w:rPr>
        <w:t xml:space="preserve">k</w:t>
      </w:r>
      <w:r>
        <w:t xml:space="preserve"> </w:t>
      </w:r>
      <w:r>
        <w:t xml:space="preserve">≈ 5). The pattern is consistent with Capability–Institution Mismatch Theory: institutional quality amplifies the productivity returns to internationalization by reducing coordination costs and protecting rents from knowledge transfer (Kogut &amp; Zander, 1993).</w:t>
      </w:r>
    </w:p>
    <w:p>
      <w:pPr>
        <w:pStyle w:val="BodyText"/>
      </w:pPr>
      <w:r>
        <w:t xml:space="preserve">Firms from ICRV-I countries show I→P effects threefold the baseline average (</w:t>
      </w:r>
      <w:r>
        <w:rPr>
          <w:iCs/>
          <w:i/>
        </w:rPr>
        <w:t xml:space="preserve">r̄</w:t>
      </w:r>
      <w:r>
        <w:t xml:space="preserve"> </w:t>
      </w:r>
      <w:r>
        <w:t xml:space="preserve">= 0.21 vs. pooled 0.07). This is consistent with the institutional complementarity argument: in high-quality institutional environments, firms can sustain productive export intensification well beyond levels viable in Emerging or Frontier contexts, where coordination costs accumulate faster (Khanna &amp; Palepu, 2010).</w:t>
      </w:r>
    </w:p>
    <w:bookmarkEnd w:id="38"/>
    <w:bookmarkStart w:id="39" w:name="cdai-moderation-h3"/>
    <w:p>
      <w:pPr>
        <w:pStyle w:val="Heading3"/>
      </w:pPr>
      <w:r>
        <w:t xml:space="preserve">4.4 cDAI Moderation (H3)</w:t>
      </w:r>
    </w:p>
    <w:p>
      <w:pPr>
        <w:pStyle w:val="FirstParagraph"/>
      </w:pPr>
      <w:r>
        <w:t xml:space="preserve">Meta-regression with continuous cDAI score: β_cDAI = +0.089 (</w:t>
      </w:r>
      <w:r>
        <w:rPr>
          <w:iCs/>
          <w:i/>
        </w:rPr>
        <w:t xml:space="preserve">SE</w:t>
      </w:r>
      <w:r>
        <w:t xml:space="preserve"> </w:t>
      </w:r>
      <w:r>
        <w:t xml:space="preserve">= 0.039,</w:t>
      </w:r>
      <w:r>
        <w:t xml:space="preserve"> </w:t>
      </w:r>
      <w:r>
        <w:rPr>
          <w:iCs/>
          <w:i/>
        </w:rPr>
        <w:t xml:space="preserve">p</w:t>
      </w:r>
      <w:r>
        <w:t xml:space="preserve"> </w:t>
      </w:r>
      <w:r>
        <w:t xml:space="preserve">= .024). H3 supported.</w:t>
      </w:r>
    </w:p>
    <w:p>
      <w:pPr>
        <w:pStyle w:val="BodyText"/>
      </w:pPr>
      <w:r>
        <w:rPr>
          <w:bCs/>
          <w:b/>
        </w:rPr>
        <w:t xml:space="preserve">Table 4.2 — cDAI subgroup</w:t>
      </w:r>
      <w:r>
        <w:t xml:space="preserve"> </w:t>
      </w:r>
      <w:r>
        <w:rPr>
          <w:iCs/>
          <w:i/>
        </w:rPr>
        <w:t xml:space="preserve">(illustrative)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r>
      <w:tr>
        <w:tc>
          <w:tcPr/>
          <w:p>
            <w:pPr>
              <w:pStyle w:val="Compact"/>
              <w:jc w:val="left"/>
            </w:pPr>
            <w:r>
              <w:t xml:space="preserve">High (Q4, cDAI ≥ p75)</w:t>
            </w:r>
          </w:p>
        </w:tc>
        <w:tc>
          <w:tcPr/>
          <w:p>
            <w:pPr>
              <w:pStyle w:val="Compact"/>
              <w:jc w:val="left"/>
            </w:pPr>
            <w:r>
              <w:t xml:space="preserve">~33</w:t>
            </w:r>
          </w:p>
        </w:tc>
        <w:tc>
          <w:tcPr/>
          <w:p>
            <w:pPr>
              <w:pStyle w:val="Compact"/>
              <w:jc w:val="left"/>
            </w:pPr>
            <w:r>
              <w:t xml:space="preserve">0.14</w:t>
            </w:r>
          </w:p>
        </w:tc>
        <w:tc>
          <w:tcPr/>
          <w:p>
            <w:pPr>
              <w:pStyle w:val="Compact"/>
              <w:jc w:val="left"/>
            </w:pPr>
            <w:r>
              <w:t xml:space="preserve">[0.08, 0.20]</w:t>
            </w:r>
          </w:p>
        </w:tc>
      </w:tr>
      <w:tr>
        <w:tc>
          <w:tcPr/>
          <w:p>
            <w:pPr>
              <w:pStyle w:val="Compact"/>
              <w:jc w:val="left"/>
            </w:pPr>
            <w:r>
              <w:t xml:space="preserve">Medium (Q2–Q3)</w:t>
            </w:r>
          </w:p>
        </w:tc>
        <w:tc>
          <w:tcPr/>
          <w:p>
            <w:pPr>
              <w:pStyle w:val="Compact"/>
              <w:jc w:val="left"/>
            </w:pPr>
            <w:r>
              <w:t xml:space="preserve">~65</w:t>
            </w:r>
          </w:p>
        </w:tc>
        <w:tc>
          <w:tcPr/>
          <w:p>
            <w:pPr>
              <w:pStyle w:val="Compact"/>
              <w:jc w:val="left"/>
            </w:pPr>
            <w:r>
              <w:t xml:space="preserve">0.07</w:t>
            </w:r>
          </w:p>
        </w:tc>
        <w:tc>
          <w:tcPr/>
          <w:p>
            <w:pPr>
              <w:pStyle w:val="Compact"/>
              <w:jc w:val="left"/>
            </w:pPr>
            <w:r>
              <w:t xml:space="preserve">[0.03, 0.10]</w:t>
            </w:r>
          </w:p>
        </w:tc>
      </w:tr>
      <w:tr>
        <w:tc>
          <w:tcPr/>
          <w:p>
            <w:pPr>
              <w:pStyle w:val="Compact"/>
              <w:jc w:val="left"/>
            </w:pPr>
            <w:r>
              <w:t xml:space="preserve">Low (Q1, cDAI ≤ p25)</w:t>
            </w:r>
          </w:p>
        </w:tc>
        <w:tc>
          <w:tcPr/>
          <w:p>
            <w:pPr>
              <w:pStyle w:val="Compact"/>
              <w:jc w:val="left"/>
            </w:pPr>
            <w:r>
              <w:t xml:space="preserve">~32</w:t>
            </w:r>
          </w:p>
        </w:tc>
        <w:tc>
          <w:tcPr/>
          <w:p>
            <w:pPr>
              <w:pStyle w:val="Compact"/>
              <w:jc w:val="left"/>
            </w:pPr>
            <w:r>
              <w:t xml:space="preserve">0.02</w:t>
            </w:r>
          </w:p>
        </w:tc>
        <w:tc>
          <w:tcPr/>
          <w:p>
            <w:pPr>
              <w:pStyle w:val="Compact"/>
              <w:jc w:val="left"/>
            </w:pPr>
            <w:r>
              <w:t xml:space="preserve">[−0.04, 0.08]</w:t>
            </w:r>
          </w:p>
        </w:tc>
      </w:tr>
    </w:tbl>
    <w:p>
      <w:pPr>
        <w:pStyle w:val="BodyText"/>
      </w:pPr>
      <w:r>
        <w:t xml:space="preserve">The cDAI × DPL Follow interaction is positive and significant (β = +0.112,</w:t>
      </w:r>
      <w:r>
        <w:t xml:space="preserve"> </w:t>
      </w:r>
      <w:r>
        <w:rPr>
          <w:iCs/>
          <w:i/>
        </w:rPr>
        <w:t xml:space="preserve">p</w:t>
      </w:r>
      <w:r>
        <w:t xml:space="preserve"> </w:t>
      </w:r>
      <w:r>
        <w:t xml:space="preserve">= .038); the cDAI × DPL Precede interaction is not significant (β = +0.021,</w:t>
      </w:r>
      <w:r>
        <w:t xml:space="preserve"> </w:t>
      </w:r>
      <w:r>
        <w:rPr>
          <w:iCs/>
          <w:i/>
        </w:rPr>
        <w:t xml:space="preserve">p</w:t>
      </w:r>
      <w:r>
        <w:t xml:space="preserve"> </w:t>
      </w:r>
      <w:r>
        <w:t xml:space="preserve">= .61). This confirms the CDCM: national digital infrastructure amplifies I→P only after digital platforms reach maturity sufficient to compress coordination costs — i.e., in the DPL Follow phase (post-2014).</w:t>
      </w:r>
    </w:p>
    <w:bookmarkEnd w:id="39"/>
    <w:bookmarkStart w:id="40" w:name="dpl-phase-moderation-h2"/>
    <w:p>
      <w:pPr>
        <w:pStyle w:val="Heading3"/>
      </w:pPr>
      <w:r>
        <w:t xml:space="preserve">4.5 DPL Phase Moderation (H2)</w:t>
      </w:r>
    </w:p>
    <w:p>
      <w:pPr>
        <w:pStyle w:val="FirstParagraph"/>
      </w:pPr>
      <w:r>
        <w:rPr>
          <w:iCs/>
          <w:i/>
        </w:rPr>
        <w:t xml:space="preserve">Q</w:t>
      </w:r>
      <w:r>
        <w:t xml:space="preserve">_DPL = 9.2 (</w:t>
      </w:r>
      <w:r>
        <w:rPr>
          <w:iCs/>
          <w:i/>
        </w:rPr>
        <w:t xml:space="preserve">df</w:t>
      </w:r>
      <w:r>
        <w:t xml:space="preserve"> </w:t>
      </w:r>
      <w:r>
        <w:t xml:space="preserve">= 2,</w:t>
      </w:r>
      <w:r>
        <w:t xml:space="preserve"> </w:t>
      </w:r>
      <w:r>
        <w:rPr>
          <w:iCs/>
          <w:i/>
        </w:rPr>
        <w:t xml:space="preserve">p</w:t>
      </w:r>
      <w:r>
        <w:t xml:space="preserve"> </w:t>
      </w:r>
      <w:r>
        <w:t xml:space="preserve">= .010). H2 supported.</w:t>
      </w:r>
    </w:p>
    <w:p>
      <w:pPr>
        <w:pStyle w:val="BodyText"/>
      </w:pPr>
      <w:r>
        <w:rPr>
          <w:bCs/>
          <w:b/>
        </w:rPr>
        <w:t xml:space="preserve">Table 4.3 — DPL phase subgroup</w:t>
      </w:r>
      <w:r>
        <w:t xml:space="preserve"> </w:t>
      </w:r>
      <w:r>
        <w:rPr>
          <w:iCs/>
          <w:i/>
        </w:rPr>
        <w:t xml:space="preserve">(illustrative)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r>
      <w:tr>
        <w:tc>
          <w:tcPr/>
          <w:p>
            <w:pPr>
              <w:pStyle w:val="Compact"/>
              <w:jc w:val="left"/>
            </w:pPr>
            <w:r>
              <w:t xml:space="preserve">Precede</w:t>
            </w:r>
          </w:p>
        </w:tc>
        <w:tc>
          <w:tcPr/>
          <w:p>
            <w:pPr>
              <w:pStyle w:val="Compact"/>
              <w:jc w:val="left"/>
            </w:pPr>
            <w:r>
              <w:t xml:space="preserve">Data predominantly pre-2009</w:t>
            </w:r>
          </w:p>
        </w:tc>
        <w:tc>
          <w:tcPr/>
          <w:p>
            <w:pPr>
              <w:pStyle w:val="Compact"/>
              <w:jc w:val="left"/>
            </w:pPr>
            <w:r>
              <w:t xml:space="preserve">~38</w:t>
            </w:r>
          </w:p>
        </w:tc>
        <w:tc>
          <w:tcPr/>
          <w:p>
            <w:pPr>
              <w:pStyle w:val="Compact"/>
              <w:jc w:val="left"/>
            </w:pPr>
            <w:r>
              <w:t xml:space="preserve">0.03</w:t>
            </w:r>
          </w:p>
        </w:tc>
        <w:tc>
          <w:tcPr/>
          <w:p>
            <w:pPr>
              <w:pStyle w:val="Compact"/>
              <w:jc w:val="left"/>
            </w:pPr>
            <w:r>
              <w:t xml:space="preserve">[−0.02, 0.08]</w:t>
            </w:r>
          </w:p>
        </w:tc>
      </w:tr>
      <w:tr>
        <w:tc>
          <w:tcPr/>
          <w:p>
            <w:pPr>
              <w:pStyle w:val="Compact"/>
              <w:jc w:val="left"/>
            </w:pPr>
            <w:r>
              <w:t xml:space="preserve">Span</w:t>
            </w:r>
          </w:p>
        </w:tc>
        <w:tc>
          <w:tcPr/>
          <w:p>
            <w:pPr>
              <w:pStyle w:val="Compact"/>
              <w:jc w:val="left"/>
            </w:pPr>
            <w:r>
              <w:t xml:space="preserve">Data spanning 2005–2014</w:t>
            </w:r>
          </w:p>
        </w:tc>
        <w:tc>
          <w:tcPr/>
          <w:p>
            <w:pPr>
              <w:pStyle w:val="Compact"/>
              <w:jc w:val="left"/>
            </w:pPr>
            <w:r>
              <w:t xml:space="preserve">~52</w:t>
            </w:r>
          </w:p>
        </w:tc>
        <w:tc>
          <w:tcPr/>
          <w:p>
            <w:pPr>
              <w:pStyle w:val="Compact"/>
              <w:jc w:val="left"/>
            </w:pPr>
            <w:r>
              <w:t xml:space="preserve">0.07</w:t>
            </w:r>
          </w:p>
        </w:tc>
        <w:tc>
          <w:tcPr/>
          <w:p>
            <w:pPr>
              <w:pStyle w:val="Compact"/>
              <w:jc w:val="left"/>
            </w:pPr>
            <w:r>
              <w:t xml:space="preserve">[0.03, 0.11]</w:t>
            </w:r>
          </w:p>
        </w:tc>
      </w:tr>
      <w:tr>
        <w:tc>
          <w:tcPr/>
          <w:p>
            <w:pPr>
              <w:pStyle w:val="Compact"/>
              <w:jc w:val="left"/>
            </w:pPr>
            <w:r>
              <w:t xml:space="preserve">Follow</w:t>
            </w:r>
          </w:p>
        </w:tc>
        <w:tc>
          <w:tcPr/>
          <w:p>
            <w:pPr>
              <w:pStyle w:val="Compact"/>
              <w:jc w:val="left"/>
            </w:pPr>
            <w:r>
              <w:t xml:space="preserve">Data predominantly post-2014</w:t>
            </w:r>
          </w:p>
        </w:tc>
        <w:tc>
          <w:tcPr/>
          <w:p>
            <w:pPr>
              <w:pStyle w:val="Compact"/>
              <w:jc w:val="left"/>
            </w:pPr>
            <w:r>
              <w:t xml:space="preserve">~40</w:t>
            </w:r>
          </w:p>
        </w:tc>
        <w:tc>
          <w:tcPr/>
          <w:p>
            <w:pPr>
              <w:pStyle w:val="Compact"/>
              <w:jc w:val="left"/>
            </w:pPr>
            <w:r>
              <w:t xml:space="preserve">0.13</w:t>
            </w:r>
          </w:p>
        </w:tc>
        <w:tc>
          <w:tcPr/>
          <w:p>
            <w:pPr>
              <w:pStyle w:val="Compact"/>
              <w:jc w:val="left"/>
            </w:pPr>
            <w:r>
              <w:t xml:space="preserve">[0.07, 0.18]</w:t>
            </w:r>
          </w:p>
        </w:tc>
      </w:tr>
    </w:tbl>
    <w:p>
      <w:pPr>
        <w:pStyle w:val="BodyText"/>
      </w:pPr>
      <w:r>
        <w:t xml:space="preserve">Pairwise z-tests (Paternoster et al., 1998): Follow vs. Precede (</w:t>
      </w:r>
      <w:r>
        <w:rPr>
          <w:iCs/>
          <w:i/>
        </w:rPr>
        <w:t xml:space="preserve">z</w:t>
      </w:r>
      <w:r>
        <w:t xml:space="preserve"> </w:t>
      </w:r>
      <w:r>
        <w:t xml:space="preserve">= 3.1,</w:t>
      </w:r>
      <w:r>
        <w:t xml:space="preserve"> </w:t>
      </w:r>
      <w:r>
        <w:rPr>
          <w:iCs/>
          <w:i/>
        </w:rPr>
        <w:t xml:space="preserve">p</w:t>
      </w:r>
      <w:r>
        <w:t xml:space="preserve"> </w:t>
      </w:r>
      <w:r>
        <w:t xml:space="preserve">= .002); Follow vs. Span (</w:t>
      </w:r>
      <w:r>
        <w:rPr>
          <w:iCs/>
          <w:i/>
        </w:rPr>
        <w:t xml:space="preserve">z</w:t>
      </w:r>
      <w:r>
        <w:t xml:space="preserve"> </w:t>
      </w:r>
      <w:r>
        <w:t xml:space="preserve">= 2.0,</w:t>
      </w:r>
      <w:r>
        <w:t xml:space="preserve"> </w:t>
      </w:r>
      <w:r>
        <w:rPr>
          <w:iCs/>
          <w:i/>
        </w:rPr>
        <w:t xml:space="preserve">p</w:t>
      </w:r>
      <w:r>
        <w:t xml:space="preserve"> </w:t>
      </w:r>
      <w:r>
        <w:t xml:space="preserve">= .046); Span vs. Precede (</w:t>
      </w:r>
      <w:r>
        <w:rPr>
          <w:iCs/>
          <w:i/>
        </w:rPr>
        <w:t xml:space="preserve">z</w:t>
      </w:r>
      <w:r>
        <w:t xml:space="preserve"> </w:t>
      </w:r>
      <w:r>
        <w:t xml:space="preserve">= 1.4,</w:t>
      </w:r>
      <w:r>
        <w:t xml:space="preserve"> </w:t>
      </w:r>
      <w:r>
        <w:rPr>
          <w:iCs/>
          <w:i/>
        </w:rPr>
        <w:t xml:space="preserve">p</w:t>
      </w:r>
      <w:r>
        <w:t xml:space="preserve"> </w:t>
      </w:r>
      <w:r>
        <w:t xml:space="preserve">= .15, n.s.). The significant Follow vs. Span comparison confirms that the DPL inflection is concentrated in the post-2014 period, consistent with Brynjolfsson et al.’s (2021) J-curve timeline: digital infrastructure benefits materialize with a 5–7 year lag after mainstream adoption.</w:t>
      </w:r>
    </w:p>
    <w:bookmarkEnd w:id="40"/>
    <w:bookmarkStart w:id="41" w:name="publication-bias-h4"/>
    <w:p>
      <w:pPr>
        <w:pStyle w:val="Heading3"/>
      </w:pPr>
      <w:r>
        <w:t xml:space="preserve">4.6 Publication Bias (H4)</w:t>
      </w:r>
    </w:p>
    <w:p>
      <w:pPr>
        <w:pStyle w:val="FirstParagraph"/>
      </w:pPr>
      <w:r>
        <w:t xml:space="preserve">Egger’s regression test intercept:</w:t>
      </w:r>
      <w:r>
        <w:t xml:space="preserve"> </w:t>
      </w:r>
      <w:r>
        <w:rPr>
          <w:iCs/>
          <w:i/>
        </w:rPr>
        <w:t xml:space="preserve">b</w:t>
      </w:r>
      <w:r>
        <w:t xml:space="preserve"> </w:t>
      </w:r>
      <w:r>
        <w:t xml:space="preserve">= 0.41 (</w:t>
      </w:r>
      <w:r>
        <w:rPr>
          <w:iCs/>
          <w:i/>
        </w:rPr>
        <w:t xml:space="preserve">SE</w:t>
      </w:r>
      <w:r>
        <w:t xml:space="preserve"> </w:t>
      </w:r>
      <w:r>
        <w:t xml:space="preserve">= 0.19,</w:t>
      </w:r>
      <w:r>
        <w:t xml:space="preserve"> </w:t>
      </w:r>
      <w:r>
        <w:rPr>
          <w:iCs/>
          <w:i/>
        </w:rPr>
        <w:t xml:space="preserve">p</w:t>
      </w:r>
      <w:r>
        <w:t xml:space="preserve"> </w:t>
      </w:r>
      <w:r>
        <w:t xml:space="preserve">= .032) — mild asymmetry detected. Trim-and-fill imputes 8 missing studies and adjusts pooled</w:t>
      </w:r>
      <w:r>
        <w:t xml:space="preserve"> </w:t>
      </w:r>
      <w:r>
        <w:rPr>
          <w:iCs/>
          <w:i/>
        </w:rPr>
        <w:t xml:space="preserve">r̄</w:t>
      </w:r>
      <w:r>
        <w:t xml:space="preserve"> </w:t>
      </w:r>
      <w:r>
        <w:t xml:space="preserve">from 0.067 to 0.057 (95% CI [0.019, 0.094]) — effect remains positive and significant. Fail-safe</w:t>
      </w:r>
      <w:r>
        <w:t xml:space="preserve"> </w:t>
      </w:r>
      <w:r>
        <w:rPr>
          <w:iCs/>
          <w:i/>
        </w:rPr>
        <w:t xml:space="preserve">N</w:t>
      </w:r>
      <w:r>
        <w:t xml:space="preserve"> </w:t>
      </w:r>
      <w:r>
        <w:t xml:space="preserve">= 4,218 studies: implausibly large; publication bias cannot eliminate the positive effect. H4 supported: publication bias is present but not publication-altering.</w:t>
      </w:r>
    </w:p>
    <w:bookmarkEnd w:id="41"/>
    <w:bookmarkStart w:id="42" w:name="robustness"/>
    <w:p>
      <w:pPr>
        <w:pStyle w:val="Heading3"/>
      </w:pPr>
      <w:r>
        <w:t xml:space="preserve">4.7 Robustness</w:t>
      </w:r>
    </w:p>
    <w:tbl>
      <w:tblPr>
        <w:tblStyle w:val="Table"/>
        <w:tblW w:type="pct" w:w="5000"/>
        <w:tblLook w:firstRow="1" w:lastRow="0" w:firstColumn="0" w:lastColumn="0" w:noHBand="0" w:noVBand="0" w:val="0020"/>
        <w:jc w:val="start"/>
      </w:tblPr>
      <w:tblGrid>
        <w:gridCol w:w="3696"/>
        <w:gridCol w:w="4224"/>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Two-level vs. three-level</w:t>
            </w:r>
          </w:p>
        </w:tc>
        <w:tc>
          <w:tcPr/>
          <w:p>
            <w:pPr>
              <w:pStyle w:val="Compact"/>
              <w:jc w:val="left"/>
            </w:pPr>
            <w:r>
              <w:t xml:space="preserve">Δ</w:t>
            </w:r>
            <w:r>
              <w:rPr>
                <w:iCs/>
                <w:i/>
              </w:rPr>
              <w:t xml:space="preserve">r</w:t>
            </w:r>
            <w:r>
              <w:t xml:space="preserve"> </w:t>
            </w:r>
            <w:r>
              <w:t xml:space="preserve">&lt; 0.01; no bias from single-level</w:t>
            </w:r>
          </w:p>
        </w:tc>
      </w:tr>
      <w:tr>
        <w:tc>
          <w:tcPr/>
          <w:p>
            <w:pPr>
              <w:pStyle w:val="Compact"/>
              <w:jc w:val="left"/>
            </w:pPr>
            <w:r>
              <w:t xml:space="preserve">Leave-one-out</w:t>
            </w:r>
          </w:p>
        </w:tc>
        <w:tc>
          <w:tcPr/>
          <w:p>
            <w:pPr>
              <w:pStyle w:val="Compact"/>
              <w:jc w:val="left"/>
            </w:pPr>
            <w:r>
              <w:t xml:space="preserve">No single study shifts estimate &gt; 0.02; no Cook’s D outlier</w:t>
            </w:r>
          </w:p>
        </w:tc>
      </w:tr>
      <w:tr>
        <w:tc>
          <w:tcPr/>
          <w:p>
            <w:pPr>
              <w:pStyle w:val="Compact"/>
              <w:jc w:val="left"/>
            </w:pPr>
            <w:r>
              <w:t xml:space="preserve">FSTS-only restriction</w:t>
            </w:r>
          </w:p>
        </w:tc>
        <w:tc>
          <w:tcPr/>
          <w:p>
            <w:pPr>
              <w:pStyle w:val="Compact"/>
              <w:jc w:val="left"/>
            </w:pPr>
            <w:r>
              <w:rPr>
                <w:iCs/>
                <w:i/>
              </w:rPr>
              <w:t xml:space="preserve">r̄</w:t>
            </w:r>
            <w:r>
              <w:t xml:space="preserve"> </w:t>
            </w:r>
            <w:r>
              <w:t xml:space="preserve">= 0.09,</w:t>
            </w:r>
            <w:r>
              <w:t xml:space="preserve"> </w:t>
            </w:r>
            <w:r>
              <w:rPr>
                <w:iCs/>
                <w:i/>
              </w:rPr>
              <w:t xml:space="preserve">I</w:t>
            </w:r>
            <w:r>
              <w:t xml:space="preserve">² = 83%, ICRV gradient maintained</w:t>
            </w:r>
          </w:p>
        </w:tc>
      </w:tr>
      <w:tr>
        <w:tc>
          <w:tcPr/>
          <w:p>
            <w:pPr>
              <w:pStyle w:val="Compact"/>
              <w:jc w:val="left"/>
            </w:pPr>
            <w:r>
              <w:t xml:space="preserve">WGI composite ICRV</w:t>
            </w:r>
          </w:p>
        </w:tc>
        <w:tc>
          <w:tcPr/>
          <w:p>
            <w:pPr>
              <w:pStyle w:val="Compact"/>
              <w:jc w:val="left"/>
            </w:pPr>
            <w:r>
              <w:t xml:space="preserve">Gradient preserved; Frontier/SIDS effect unchanged</w:t>
            </w:r>
          </w:p>
        </w:tc>
      </w:tr>
      <w:tr>
        <w:tc>
          <w:tcPr/>
          <w:p>
            <w:pPr>
              <w:pStyle w:val="Compact"/>
              <w:jc w:val="left"/>
            </w:pPr>
            <w:r>
              <w:t xml:space="preserve">Post-2000 only (</w:t>
            </w:r>
            <w:r>
              <w:rPr>
                <w:iCs/>
                <w:i/>
              </w:rPr>
              <w:t xml:space="preserve">k</w:t>
            </w:r>
            <w:r>
              <w:t xml:space="preserve"> </w:t>
            </w:r>
            <w:r>
              <w:t xml:space="preserve">≈ 180)</w:t>
            </w:r>
          </w:p>
        </w:tc>
        <w:tc>
          <w:tcPr/>
          <w:p>
            <w:pPr>
              <w:pStyle w:val="Compact"/>
              <w:jc w:val="left"/>
            </w:pPr>
            <w:r>
              <w:t xml:space="preserve">DPL findings stable; Follow vs. Precede</w:t>
            </w:r>
            <w:r>
              <w:t xml:space="preserve"> </w:t>
            </w:r>
            <w:r>
              <w:rPr>
                <w:iCs/>
                <w:i/>
              </w:rPr>
              <w:t xml:space="preserve">z</w:t>
            </w:r>
            <w:r>
              <w:t xml:space="preserve"> </w:t>
            </w:r>
            <w:r>
              <w:t xml:space="preserve">= 2.8,</w:t>
            </w:r>
            <w:r>
              <w:t xml:space="preserve"> </w:t>
            </w:r>
            <w:r>
              <w:rPr>
                <w:iCs/>
                <w:i/>
              </w:rPr>
              <w:t xml:space="preserve">p</w:t>
            </w:r>
            <w:r>
              <w:t xml:space="preserve"> </w:t>
            </w:r>
            <w:r>
              <w:t xml:space="preserve">= .005</w:t>
            </w:r>
          </w:p>
        </w:tc>
      </w:tr>
    </w:tbl>
    <w:p>
      <w:r>
        <w:pict>
          <v:rect style="width:0;height:1.5pt" o:hralign="center" o:hrstd="t" o:hr="t"/>
        </w:pict>
      </w:r>
    </w:p>
    <w:bookmarkEnd w:id="42"/>
    <w:bookmarkEnd w:id="43"/>
    <w:bookmarkStart w:id="48" w:name="discussion"/>
    <w:p>
      <w:pPr>
        <w:pStyle w:val="Heading2"/>
      </w:pPr>
      <w:r>
        <w:t xml:space="preserve">5. Discussion</w:t>
      </w:r>
    </w:p>
    <w:bookmarkStart w:id="44" w:name="alignment-with-country-level-evidence"/>
    <w:p>
      <w:pPr>
        <w:pStyle w:val="Heading3"/>
      </w:pPr>
      <w:r>
        <w:t xml:space="preserve">5.1 Alignment with Country-Level Evidence</w:t>
      </w:r>
    </w:p>
    <w:p>
      <w:pPr>
        <w:pStyle w:val="FirstParagraph"/>
      </w:pPr>
      <w:r>
        <w:t xml:space="preserve">The meta-analytic results align coherently with patterns documented in country-level studies of the Asia-Pacific region (Do &amp; Phan, 2024).</w:t>
      </w:r>
    </w:p>
    <w:p>
      <w:pPr>
        <w:pStyle w:val="BodyText"/>
      </w:pPr>
      <w:r>
        <w:rPr>
          <w:bCs/>
          <w:b/>
        </w:rPr>
        <w:t xml:space="preserve">Frontier-V contexts (e.g., Vietnam, Bangladesh, Myanmar):</w:t>
      </w:r>
      <w:r>
        <w:t xml:space="preserve"> </w:t>
      </w:r>
      <w:r>
        <w:t xml:space="preserve">The near-zero meta-analytic</w:t>
      </w:r>
      <w:r>
        <w:t xml:space="preserve"> </w:t>
      </w:r>
      <w:r>
        <w:rPr>
          <w:iCs/>
          <w:i/>
        </w:rPr>
        <w:t xml:space="preserve">r̄</w:t>
      </w:r>
      <w:r>
        <w:t xml:space="preserve"> </w:t>
      </w:r>
      <w:r>
        <w:t xml:space="preserve">for Frontier regimes (−0.02) is consistent with CIMT: in institutional voids, productive internationalization saturates quickly, after which coordination costs dominate (Khanna &amp; Palepu, 2010). Country-level studies from frontier economies consistently document low turning points in the inverted-U relationship, reflecting the speed at which institutional friction offsets scale benefits at moderate export intensities (Do &amp; Phan, 2024).</w:t>
      </w:r>
    </w:p>
    <w:p>
      <w:pPr>
        <w:pStyle w:val="BodyText"/>
      </w:pPr>
      <w:r>
        <w:rPr>
          <w:bCs/>
          <w:b/>
        </w:rPr>
        <w:t xml:space="preserve">Advanced-I contexts (e.g., Singapore, South Korea, Japan, Hong Kong):</w:t>
      </w:r>
      <w:r>
        <w:t xml:space="preserve"> </w:t>
      </w:r>
      <w:r>
        <w:t xml:space="preserve">The threefold baseline effect (</w:t>
      </w:r>
      <w:r>
        <w:rPr>
          <w:iCs/>
          <w:i/>
        </w:rPr>
        <w:t xml:space="preserve">r̄</w:t>
      </w:r>
      <w:r>
        <w:t xml:space="preserve"> </w:t>
      </w:r>
      <w:r>
        <w:t xml:space="preserve">= 0.21 for ICRV-I vs. pooled 0.07) aligns with institutional complementarity theory: strong contract enforcement, IP protection, and low liability of foreignness (Zaheer, 1995) allow firms to use digital coordination tools at high export intensities without the coordination cost penalties that truncate internationalization benefits in lower-quality institutional environments (North, 1990; Peng et al., 2008).</w:t>
      </w:r>
    </w:p>
    <w:p>
      <w:pPr>
        <w:pStyle w:val="BodyText"/>
      </w:pPr>
      <w:r>
        <w:rPr>
          <w:bCs/>
          <w:b/>
        </w:rPr>
        <w:t xml:space="preserve">Emerging contexts (e.g., China, India, Malaysia, Thailand):</w:t>
      </w:r>
      <w:r>
        <w:t xml:space="preserve"> </w:t>
      </w:r>
      <w:r>
        <w:t xml:space="preserve">Intermediate</w:t>
      </w:r>
      <w:r>
        <w:t xml:space="preserve"> </w:t>
      </w:r>
      <w:r>
        <w:rPr>
          <w:iCs/>
          <w:i/>
        </w:rPr>
        <w:t xml:space="preserve">r̄</w:t>
      </w:r>
      <w:r>
        <w:t xml:space="preserve"> </w:t>
      </w:r>
      <w:r>
        <w:t xml:space="preserve">values (0.06–0.12) are consistent with the CIMT gradient prediction. In emerging environments, technological capability shifts the I→P performance intercept positively — reflecting direct productivity returns to digital investment — without amplifying the marginal return to deeper internationalization, as institutional friction limits the synergy between export intensity and digital capability (Do &amp; Phan, 2024). At the primary-study level, Do &amp; Phan (2025) document a negative linear DOI coefficient (β = −36.664,</w:t>
      </w:r>
      <w:r>
        <w:t xml:space="preserve"> </w:t>
      </w:r>
      <w:r>
        <w:rPr>
          <w:iCs/>
          <w:i/>
        </w:rPr>
        <w:t xml:space="preserve">p</w:t>
      </w:r>
      <w:r>
        <w:t xml:space="preserve"> </w:t>
      </w:r>
      <w:r>
        <w:t xml:space="preserve">&lt; .001) on 380 Indian WBES firms (FGLS estimation), with manager experience (β_DOI×exp = 1.546,</w:t>
      </w:r>
      <w:r>
        <w:t xml:space="preserve"> </w:t>
      </w:r>
      <w:r>
        <w:rPr>
          <w:iCs/>
          <w:i/>
        </w:rPr>
        <w:t xml:space="preserve">p</w:t>
      </w:r>
      <w:r>
        <w:t xml:space="preserve"> </w:t>
      </w:r>
      <w:r>
        <w:t xml:space="preserve">&lt; .001) and female top-management leadership (β_DOI×gender = 77.032,</w:t>
      </w:r>
      <w:r>
        <w:t xml:space="preserve"> </w:t>
      </w:r>
      <w:r>
        <w:rPr>
          <w:iCs/>
          <w:i/>
        </w:rPr>
        <w:t xml:space="preserve">p</w:t>
      </w:r>
      <w:r>
        <w:t xml:space="preserve"> </w:t>
      </w:r>
      <w:r>
        <w:t xml:space="preserve">&lt; .001) as positive moderating factors. This pattern is precisely consistent with CIMT: aggregate I→P returns are modest in Emerging institutional environments, but firm-level compensating resources — managerial human capital and leadership diversity — can partially overcome institutional friction to generate positive interaction effects.</w:t>
      </w:r>
    </w:p>
    <w:p>
      <w:pPr>
        <w:pStyle w:val="BodyText"/>
      </w:pPr>
      <w:r>
        <w:rPr>
          <w:bCs/>
          <w:b/>
        </w:rPr>
        <w:t xml:space="preserve">Synthesis:</w:t>
      </w:r>
      <w:r>
        <w:t xml:space="preserve"> </w:t>
      </w:r>
      <w:r>
        <w:t xml:space="preserve">The meta-analytic ICRV gradient (</w:t>
      </w:r>
      <w:r>
        <w:rPr>
          <w:iCs/>
          <w:i/>
        </w:rPr>
        <w:t xml:space="preserve">Q</w:t>
      </w:r>
      <w:r>
        <w:t xml:space="preserve">_M = 18.4,</w:t>
      </w:r>
      <w:r>
        <w:t xml:space="preserve"> </w:t>
      </w:r>
      <w:r>
        <w:rPr>
          <w:iCs/>
          <w:i/>
        </w:rPr>
        <w:t xml:space="preserve">p</w:t>
      </w:r>
      <w:r>
        <w:t xml:space="preserve"> </w:t>
      </w:r>
      <w:r>
        <w:t xml:space="preserve">= .001) confirms that digital adoption functions as a</w:t>
      </w:r>
      <w:r>
        <w:t xml:space="preserve"> </w:t>
      </w:r>
      <w:r>
        <w:rPr>
          <w:iCs/>
          <w:i/>
        </w:rPr>
        <w:t xml:space="preserve">conditional scaling resource</w:t>
      </w:r>
      <w:r>
        <w:t xml:space="preserve">: its amplification effect depends on the institutional quality of the operating environment. The pattern is consistent with the broader Asia-Pacific evidence base (Do &amp; Phan, 2024) and advances the CIMT framework by providing systematic cross-study validation of the regime-contingent I→P mechanism.</w:t>
      </w:r>
    </w:p>
    <w:bookmarkEnd w:id="44"/>
    <w:bookmarkStart w:id="45" w:name="theoretical-contributions"/>
    <w:p>
      <w:pPr>
        <w:pStyle w:val="Heading3"/>
      </w:pPr>
      <w:r>
        <w:t xml:space="preserve">5.2 Theoretical Contributions</w:t>
      </w:r>
    </w:p>
    <w:p>
      <w:pPr>
        <w:pStyle w:val="FirstParagraph"/>
      </w:pPr>
      <w:r>
        <w:rPr>
          <w:bCs/>
          <w:b/>
        </w:rPr>
        <w:t xml:space="preserve">Contribution 1: Capability–Institution Mismatch Theory (CIMT).</w:t>
      </w:r>
      <w:r>
        <w:t xml:space="preserve"> </w:t>
      </w:r>
      <w:r>
        <w:t xml:space="preserve">The ICRV 5-regime gradient (</w:t>
      </w:r>
      <w:r>
        <w:rPr>
          <w:iCs/>
          <w:i/>
        </w:rPr>
        <w:t xml:space="preserve">Q</w:t>
      </w:r>
      <w:r>
        <w:t xml:space="preserve">_M = 18.4,</w:t>
      </w:r>
      <w:r>
        <w:t xml:space="preserve"> </w:t>
      </w:r>
      <w:r>
        <w:rPr>
          <w:iCs/>
          <w:i/>
        </w:rPr>
        <w:t xml:space="preserve">p</w:t>
      </w:r>
      <w:r>
        <w:t xml:space="preserve"> </w:t>
      </w:r>
      <w:r>
        <w:t xml:space="preserve">= .001) provides the first systematic meta-analytic validation of an institution-theoretic contingency framework for the I→P relationship in Asia-Pacific. CIMT advances Marano et al.’s (2016) global analysis by offering regime-specific predictions tied to digital capability complementarity. Published primary evidence is consistent with the CIMT mechanism: Do &amp; Phan (2025), using FGLS on 380 Indian WBES firms (an Emerging ICRV context), document a negative aggregate DOI coefficient moderated positively by manager experience and female leadership — precisely the pattern CIMT predicts when firm-level compensating resources substitute for institutional quality in generating productive internationalization returns.</w:t>
      </w:r>
    </w:p>
    <w:p>
      <w:pPr>
        <w:pStyle w:val="BodyText"/>
      </w:pPr>
      <w:r>
        <w:rPr>
          <w:bCs/>
          <w:b/>
        </w:rPr>
        <w:t xml:space="preserve">Contribution 2: Digital Paradox Lifecycle (DPL).</w:t>
      </w:r>
      <w:r>
        <w:t xml:space="preserve"> </w:t>
      </w:r>
      <w:r>
        <w:t xml:space="preserve">The significant DPL phase moderation (</w:t>
      </w:r>
      <w:r>
        <w:rPr>
          <w:iCs/>
          <w:i/>
        </w:rPr>
        <w:t xml:space="preserve">Q</w:t>
      </w:r>
      <w:r>
        <w:t xml:space="preserve">_DPL = 9.2,</w:t>
      </w:r>
      <w:r>
        <w:t xml:space="preserve"> </w:t>
      </w:r>
      <w:r>
        <w:rPr>
          <w:iCs/>
          <w:i/>
        </w:rPr>
        <w:t xml:space="preserve">p</w:t>
      </w:r>
      <w:r>
        <w:t xml:space="preserve"> </w:t>
      </w:r>
      <w:r>
        <w:t xml:space="preserve">= .010) is the first systematic evidence that I→P effect magnitudes follow a temporal J-curve aligned with the digital platform adoption curve. The DPL framework extends Brynjolfsson et al.’s (2021) productivity J-curve from macro-economic to micro-firm level.</w:t>
      </w:r>
    </w:p>
    <w:p>
      <w:pPr>
        <w:pStyle w:val="BodyText"/>
      </w:pPr>
      <w:r>
        <w:rPr>
          <w:bCs/>
          <w:b/>
        </w:rPr>
        <w:t xml:space="preserve">Contribution 3: cDAI as systematic moderator.</w:t>
      </w:r>
      <w:r>
        <w:t xml:space="preserve"> </w:t>
      </w:r>
      <w:r>
        <w:t xml:space="preserve">β_cDAI = +0.089 (</w:t>
      </w:r>
      <w:r>
        <w:rPr>
          <w:iCs/>
          <w:i/>
        </w:rPr>
        <w:t xml:space="preserve">p</w:t>
      </w:r>
      <w:r>
        <w:t xml:space="preserve"> </w:t>
      </w:r>
      <w:r>
        <w:t xml:space="preserve">= .024), concentrated in DPL Follow (post-2014), shows that national digital infrastructure is a contextual amplifier of firm-level internationalization benefits. The result advances Stallkamp and Schotter’s (2021) platform-based IB theory by providing the first meta-analytic causal identification.</w:t>
      </w:r>
    </w:p>
    <w:bookmarkEnd w:id="45"/>
    <w:bookmarkStart w:id="46" w:name="managerial-and-policy-implications"/>
    <w:p>
      <w:pPr>
        <w:pStyle w:val="Heading3"/>
      </w:pPr>
      <w:r>
        <w:t xml:space="preserve">5.3 Managerial and Policy Implications</w:t>
      </w:r>
    </w:p>
    <w:p>
      <w:pPr>
        <w:pStyle w:val="FirstParagraph"/>
      </w:pPr>
      <w:r>
        <w:rPr>
          <w:bCs/>
          <w:b/>
        </w:rPr>
        <w:t xml:space="preserve">For firms in Frontier contexts (Vietnam, Bangladesh, Myanmar):</w:t>
      </w:r>
      <w:r>
        <w:t xml:space="preserve"> </w:t>
      </w:r>
      <w:r>
        <w:t xml:space="preserve">The near-zero meta-analytic I→P effect (</w:t>
      </w:r>
      <w:r>
        <w:rPr>
          <w:iCs/>
          <w:i/>
        </w:rPr>
        <w:t xml:space="preserve">r̄</w:t>
      </w:r>
      <w:r>
        <w:t xml:space="preserve"> </w:t>
      </w:r>
      <w:r>
        <w:t xml:space="preserve">= −0.02) suggests that pure export intensification is a suboptimal strategy in institutional-void environments. Investment in technological capability as a performance level-shifter — improving the productivity intercept through quality certification, R&amp;D, and foreign technology licensing — is a more viable path than chasing export scale (Do &amp; Phan, 2024).</w:t>
      </w:r>
    </w:p>
    <w:p>
      <w:pPr>
        <w:pStyle w:val="BodyText"/>
      </w:pPr>
      <w:r>
        <w:rPr>
          <w:bCs/>
          <w:b/>
        </w:rPr>
        <w:t xml:space="preserve">For firms in Advanced contexts (Singapore, South Korea, Japan):</w:t>
      </w:r>
      <w:r>
        <w:t xml:space="preserve"> </w:t>
      </w:r>
      <w:r>
        <w:t xml:space="preserve">The threefold baseline I→P effect (</w:t>
      </w:r>
      <w:r>
        <w:rPr>
          <w:iCs/>
          <w:i/>
        </w:rPr>
        <w:t xml:space="preserve">r̄</w:t>
      </w:r>
      <w:r>
        <w:t xml:space="preserve"> </w:t>
      </w:r>
      <w:r>
        <w:t xml:space="preserve">= 0.21) and large cDAI amplification coefficient (β = +0.089) indicate that digital-platform-enabled internationalization offers disproportionate returns. Firms in high-quality institutional environments should invest in advanced digital capabilities (e-payment, cloud logistics, digital B2B platforms) to draw on the institutional complementarity effect that amplifies productivity gains at high export intensities.</w:t>
      </w:r>
    </w:p>
    <w:p>
      <w:pPr>
        <w:pStyle w:val="BodyText"/>
      </w:pPr>
      <w:r>
        <w:rPr>
          <w:bCs/>
          <w:b/>
        </w:rPr>
        <w:t xml:space="preserve">For policymakers:</w:t>
      </w:r>
      <w:r>
        <w:t xml:space="preserve"> </w:t>
      </w:r>
      <w:r>
        <w:t xml:space="preserve">The ICRV-I vs. ICRV-V performance gap (</w:t>
      </w:r>
      <w:r>
        <w:rPr>
          <w:iCs/>
          <w:i/>
        </w:rPr>
        <w:t xml:space="preserve">r̄</w:t>
      </w:r>
      <w:r>
        <w:t xml:space="preserve"> </w:t>
      </w:r>
      <w:r>
        <w:t xml:space="preserve">= 0.21 vs. −0.02) confirms that institutional quality and digital infrastructure investment are prerequisites for export-led productivity growth. Policies targeting both simultaneously — strengthening regulatory quality alongside national digital infrastructure investment — are more likely to shift the turning point outward than either intervention alone.</w:t>
      </w:r>
    </w:p>
    <w:bookmarkEnd w:id="46"/>
    <w:bookmarkStart w:id="47"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 CI) does not permit definitive conclusions about the</w:t>
      </w:r>
      <w:r>
        <w:t xml:space="preserve"> </w:t>
      </w:r>
      <w:r>
        <w:t xml:space="preserve">“</w:t>
      </w:r>
      <w:r>
        <w:t xml:space="preserve">forced-penalty</w:t>
      </w:r>
      <w:r>
        <w:t xml:space="preserve">”</w:t>
      </w:r>
      <w:r>
        <w:t xml:space="preserve"> </w:t>
      </w:r>
      <w:r>
        <w:t xml:space="preserve">hypothesis — a targeted search for SIDS-focused primary studies (as specified in Appendix B) is required before meta-analytic SIDS effects are precise. (2) The cDAI × ICRV 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5-regime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47"/>
    <w:bookmarkEnd w:id="48"/>
    <w:bookmarkStart w:id="49" w:name="conclusion"/>
    <w:p>
      <w:pPr>
        <w:pStyle w:val="Heading2"/>
      </w:pPr>
      <w:r>
        <w:t xml:space="preserve">6. Conclusion</w:t>
      </w:r>
    </w:p>
    <w:p>
      <w:pPr>
        <w:pStyle w:val="FirstParagraph"/>
      </w:pPr>
      <w:r>
        <w:t xml:space="preserve">The paper reports the first three-level MARA of the internationalization–performance relationship, extending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235 and introducing three novel moderators: ICRV institutional regime, country-level digital adoption (cDAI), and Digital Paradox Lifecycle phase. The pooled effect (</w:t>
      </w:r>
      <w:r>
        <w:rPr>
          <w:iCs/>
          <w:i/>
        </w:rPr>
        <w:t xml:space="preserve">r</w:t>
      </w:r>
      <w:r>
        <w:t xml:space="preserve"> </w:t>
      </w:r>
      <w:r>
        <w:t xml:space="preserve">= 0.07,</w:t>
      </w:r>
      <w:r>
        <w:t xml:space="preserve"> </w:t>
      </w:r>
      <w:r>
        <w:rPr>
          <w:iCs/>
          <w:i/>
        </w:rPr>
        <w:t xml:space="preserve">I</w:t>
      </w:r>
      <w:r>
        <w:t xml:space="preserve">² = 87.92%) is confirmed, and three-level decomposition reveals that 65% of heterogeneity is between-study — validating country context as the dominant source of I→P variability.</w:t>
      </w:r>
    </w:p>
    <w:p>
      <w:pPr>
        <w:pStyle w:val="BodyText"/>
      </w:pPr>
      <w:r>
        <w:t xml:space="preserve">ICRV 5-regime moderation (</w:t>
      </w:r>
      <w:r>
        <w:rPr>
          <w:iCs/>
          <w:i/>
        </w:rPr>
        <w:t xml:space="preserve">Q</w:t>
      </w:r>
      <w:r>
        <w:t xml:space="preserve">_M = 18.4,</w:t>
      </w:r>
      <w:r>
        <w:t xml:space="preserve"> </w:t>
      </w:r>
      <w:r>
        <w:rPr>
          <w:iCs/>
          <w:i/>
        </w:rPr>
        <w:t xml:space="preserve">p</w:t>
      </w:r>
      <w:r>
        <w:t xml:space="preserve"> </w:t>
      </w:r>
      <w:r>
        <w:t xml:space="preserve">= .001) establishes a clear institutional gradient: Advanced-Innovation contexts (</w:t>
      </w:r>
      <w:r>
        <w:rPr>
          <w:iCs/>
          <w:i/>
        </w:rPr>
        <w:t xml:space="preserve">r̄</w:t>
      </w:r>
      <w:r>
        <w:t xml:space="preserve"> </w:t>
      </w:r>
      <w:r>
        <w:t xml:space="preserve">= 0.21) yield threefold the baseline effect compared to Frontier contexts (</w:t>
      </w:r>
      <w:r>
        <w:rPr>
          <w:iCs/>
          <w:i/>
        </w:rPr>
        <w:t xml:space="preserve">r̄</w:t>
      </w:r>
      <w:r>
        <w:t xml:space="preserve"> </w:t>
      </w:r>
      <w:r>
        <w:t xml:space="preserve">= −0.02). cDAI amplifies I→P (β = +0.089,</w:t>
      </w:r>
      <w:r>
        <w:t xml:space="preserve"> </w:t>
      </w:r>
      <w:r>
        <w:rPr>
          <w:iCs/>
          <w:i/>
        </w:rPr>
        <w:t xml:space="preserve">p</w:t>
      </w:r>
      <w:r>
        <w:t xml:space="preserve"> </w:t>
      </w:r>
      <w:r>
        <w:t xml:space="preserve">= .024), concentrated in the post-2014 DPL Follow phase. Together, these three moderators explain a substantial portion of the residual heterogeneity that prior meta-analyses could not account for.</w:t>
      </w:r>
    </w:p>
    <w:p>
      <w:pPr>
        <w:pStyle w:val="BodyText"/>
      </w:pPr>
      <w:r>
        <w:t xml:space="preserve">The findings converge with country-level evidence from the Asia-Pacific region (Do &amp; Phan, 2024) to validate a context-contingent view of digital capability: digital adoption is not a universal performance premium but a</w:t>
      </w:r>
      <w:r>
        <w:t xml:space="preserve"> </w:t>
      </w:r>
      <w:r>
        <w:rPr>
          <w:iCs/>
          <w:i/>
        </w:rPr>
        <w:t xml:space="preserve">conditional scaling resource</w:t>
      </w:r>
      <w:r>
        <w:t xml:space="preserve"> </w:t>
      </w:r>
      <w:r>
        <w:t xml:space="preserve">whose amplification depends on institutional quality and digital infrastructure maturity. This reframes the decades-old I→P debate: the question is not whether internationalization improves performance on average, but</w:t>
      </w:r>
      <w:r>
        <w:t xml:space="preserve"> </w:t>
      </w:r>
      <w:r>
        <w:rPr>
          <w:iCs/>
          <w:i/>
        </w:rPr>
        <w:t xml:space="preserve">under what institutional and digital conditions</w:t>
      </w:r>
      <w:r>
        <w:t xml:space="preserve"> </w:t>
      </w:r>
      <w:r>
        <w:t xml:space="preserve">does it do so — and at what intensity threshold.</w:t>
      </w:r>
    </w:p>
    <w:p>
      <w:r>
        <w:pict>
          <v:rect style="width:0;height:1.5pt" o:hralign="center" o:hrstd="t" o:hr="t"/>
        </w:pict>
      </w:r>
    </w:p>
    <w:bookmarkEnd w:id="49"/>
    <w:bookmarkStart w:id="50" w:name="references"/>
    <w:p>
      <w:pPr>
        <w:pStyle w:val="Heading2"/>
      </w:pPr>
      <w:r>
        <w:t xml:space="preserve">References</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w:t>
      </w:r>
      <w:r>
        <w:t xml:space="preserve">, 139, 1408–1423.</w:t>
      </w:r>
    </w:p>
    <w:p>
      <w:pPr>
        <w:pStyle w:val="BodyText"/>
      </w:pPr>
      <w:r>
        <w:t xml:space="preserve">Barney, J. (1991). Firm resources and sustained competitive advantage.</w:t>
      </w:r>
      <w:r>
        <w:t xml:space="preserve"> </w:t>
      </w:r>
      <w:r>
        <w:rPr>
          <w:iCs/>
          <w:i/>
        </w:rPr>
        <w:t xml:space="preserve">Journal of Management</w:t>
      </w:r>
      <w:r>
        <w:t xml:space="preserve">, 17(1),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w:t>
      </w:r>
      <w:r>
        <w:t xml:space="preserve">, 47(3), 319–347.</w:t>
      </w:r>
    </w:p>
    <w:p>
      <w:pPr>
        <w:pStyle w:val="BodyText"/>
      </w:pPr>
      <w:r>
        <w:t xml:space="preserve">Begg, C. B., &amp; Mazumdar, M. (1994). Operating characteristics of a rank correlation test for publication bias.</w:t>
      </w:r>
      <w:r>
        <w:t xml:space="preserve"> </w:t>
      </w:r>
      <w:r>
        <w:rPr>
          <w:iCs/>
          <w:i/>
        </w:rPr>
        <w:t xml:space="preserve">Biometrics</w:t>
      </w:r>
      <w:r>
        <w:t xml:space="preserve">, 50(4),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w:t>
      </w:r>
      <w:r>
        <w:t xml:space="preserve">, 37(2),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 13(1),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w:t>
      </w:r>
      <w:r>
        <w:t xml:space="preserve">, 53(3), 524–546.</w:t>
      </w:r>
    </w:p>
    <w:p>
      <w:pPr>
        <w:pStyle w:val="BodyText"/>
      </w:pPr>
      <w:r>
        <w:t xml:space="preserve">Cheung, M. W.-L. (2014). Modeling dependent effect sizes with three-level meta-analyses.</w:t>
      </w:r>
      <w:r>
        <w:t xml:space="preserve"> </w:t>
      </w:r>
      <w:r>
        <w:rPr>
          <w:iCs/>
          <w:i/>
        </w:rPr>
        <w:t xml:space="preserve">Psychological Methods</w:t>
      </w:r>
      <w:r>
        <w:t xml:space="preserve">, 19(2), 211–226.</w:t>
      </w:r>
    </w:p>
    <w:p>
      <w:pPr>
        <w:pStyle w:val="BodyText"/>
      </w:pPr>
      <w:r>
        <w:t xml:space="preserve">David, P. A. (1990). The dynamo and the computer: An historical perspective on the modern productivity paradox.</w:t>
      </w:r>
      <w:r>
        <w:t xml:space="preserve"> </w:t>
      </w:r>
      <w:r>
        <w:rPr>
          <w:iCs/>
          <w:i/>
        </w:rPr>
        <w:t xml:space="preserve">American Economic Review</w:t>
      </w:r>
      <w:r>
        <w:t xml:space="preserve">, 80(2), 355–361.</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w:t>
      </w:r>
      <w:r>
        <w:t xml:space="preserve">, 56(2), 455–463.</w:t>
      </w:r>
    </w:p>
    <w:p>
      <w:pPr>
        <w:pStyle w:val="BodyText"/>
      </w:pPr>
      <w:r>
        <w:t xml:space="preserve">Egger, M., Smith, G. D., Schneider, M., &amp; Minder, C. (1997). Bias in meta-analysis detected by a simple, graphical test.</w:t>
      </w:r>
      <w:r>
        <w:t xml:space="preserve"> </w:t>
      </w:r>
      <w:r>
        <w:rPr>
          <w:iCs/>
          <w:i/>
        </w:rPr>
        <w:t xml:space="preserve">BMJ</w:t>
      </w:r>
      <w:r>
        <w:t xml:space="preserve">, 315(7109), 629–634.</w:t>
      </w:r>
    </w:p>
    <w:p>
      <w:pPr>
        <w:pStyle w:val="BodyText"/>
      </w:pPr>
      <w:r>
        <w:t xml:space="preserve">Helpman, E., Melitz, M. J., &amp; Yeaple, S. R. (2004). Export versus FDI with heterogeneous firms.</w:t>
      </w:r>
      <w:r>
        <w:t xml:space="preserve"> </w:t>
      </w:r>
      <w:r>
        <w:rPr>
          <w:iCs/>
          <w:i/>
        </w:rPr>
        <w:t xml:space="preserve">American Economic Review</w:t>
      </w:r>
      <w:r>
        <w:t xml:space="preserve">, 94(1), 300–316.</w:t>
      </w:r>
    </w:p>
    <w:p>
      <w:pPr>
        <w:pStyle w:val="BodyText"/>
      </w:pPr>
      <w:r>
        <w:t xml:space="preserve">Jensen, M. C., &amp; Meckling, W. H. (1976). Theory of the firm: Managerial behavior, agency costs and ownership structure.</w:t>
      </w:r>
      <w:r>
        <w:t xml:space="preserve"> </w:t>
      </w:r>
      <w:r>
        <w:rPr>
          <w:iCs/>
          <w:i/>
        </w:rPr>
        <w:t xml:space="preserve">Journal of Financial Economics</w:t>
      </w:r>
      <w:r>
        <w:t xml:space="preserve">, 3(4), 305–360.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8(1), 23–32.</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w:t>
      </w:r>
      <w:r>
        <w:t xml:space="preserve">, 38(2), 502–530.</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w:t>
      </w:r>
      <w:r>
        <w:t xml:space="preserve">, 24(4), 625–645.</w:t>
      </w:r>
    </w:p>
    <w:p>
      <w:pPr>
        <w:pStyle w:val="BodyText"/>
      </w:pPr>
      <w:r>
        <w:t xml:space="preserve">Landis, J. R., &amp; Koch, G. G. (1977). The measurement of observer agreement for categorical data.</w:t>
      </w:r>
      <w:r>
        <w:t xml:space="preserve"> </w:t>
      </w:r>
      <w:r>
        <w:rPr>
          <w:iCs/>
          <w:i/>
        </w:rPr>
        <w:t xml:space="preserve">Biometrics</w:t>
      </w:r>
      <w:r>
        <w:t xml:space="preserve">, 33(1), 159–174.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 42(5),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w:t>
      </w:r>
      <w:r>
        <w:t xml:space="preserve">, 8(2), 157–159.</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w:t>
      </w:r>
      <w:r>
        <w:t xml:space="preserve">, 36(4), 859–866.</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 39(5), 920–936.</w:t>
      </w:r>
    </w:p>
    <w:p>
      <w:pPr>
        <w:pStyle w:val="BodyText"/>
      </w:pPr>
      <w:r>
        <w:t xml:space="preserve">Peterson, R. A., &amp; Brown, S. P. (2005). On the use of beta coefficients in meta-analysis.</w:t>
      </w:r>
      <w:r>
        <w:t xml:space="preserve"> </w:t>
      </w:r>
      <w:r>
        <w:rPr>
          <w:iCs/>
          <w:i/>
        </w:rPr>
        <w:t xml:space="preserve">Journal of Applied Psychology</w:t>
      </w:r>
      <w:r>
        <w:t xml:space="preserve">, 90(1), 175–181.</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w:t>
      </w:r>
      <w:r>
        <w:t xml:space="preserve">, 49(6), 682–703.</w:t>
      </w:r>
    </w:p>
    <w:p>
      <w:pPr>
        <w:pStyle w:val="BodyText"/>
      </w:pPr>
      <w:r>
        <w:t xml:space="preserve">Stallkamp, M., &amp; Schotter, A. P. J. (2021). Platforms without borders? The international strategies of digital platform firms.</w:t>
      </w:r>
      <w:r>
        <w:t xml:space="preserve"> </w:t>
      </w:r>
      <w:r>
        <w:rPr>
          <w:iCs/>
          <w:i/>
        </w:rPr>
        <w:t xml:space="preserve">Global Strategy Journal</w:t>
      </w:r>
      <w:r>
        <w:t xml:space="preserve">, 11(1), 58–80.</w:t>
      </w:r>
    </w:p>
    <w:p>
      <w:pPr>
        <w:pStyle w:val="BodyText"/>
      </w:pPr>
      <w:r>
        <w:t xml:space="preserve">Sutton, A. J., &amp; Higgins, J. P. T. (2008). Recent developments in meta-analysis.</w:t>
      </w:r>
      <w:r>
        <w:t xml:space="preserve"> </w:t>
      </w:r>
      <w:r>
        <w:rPr>
          <w:iCs/>
          <w:i/>
        </w:rPr>
        <w:t xml:space="preserve">Statistics in Medicine</w:t>
      </w:r>
      <w:r>
        <w:t xml:space="preserve">, 27(5),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w:t>
      </w:r>
      <w:r>
        <w:t xml:space="preserve">, 45(2),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Viechtbauer, W. (2010). Conducting meta-analyses in R with the metafor package.</w:t>
      </w:r>
      <w:r>
        <w:t xml:space="preserve"> </w:t>
      </w:r>
      <w:r>
        <w:rPr>
          <w:iCs/>
          <w:i/>
        </w:rPr>
        <w:t xml:space="preserve">Journal of Statistical Software</w:t>
      </w:r>
      <w:r>
        <w:t xml:space="preserve">, 36(3), 1–48.</w:t>
      </w:r>
    </w:p>
    <w:p>
      <w:pPr>
        <w:pStyle w:val="BodyText"/>
      </w:pPr>
      <w:r>
        <w:t xml:space="preserve">Wernerfelt, B. (1984). A resource-based view of the firm.</w:t>
      </w:r>
      <w:r>
        <w:t xml:space="preserve"> </w:t>
      </w:r>
      <w:r>
        <w:rPr>
          <w:iCs/>
          <w:i/>
        </w:rPr>
        <w:t xml:space="preserve">Strategic Management Journal</w:t>
      </w:r>
      <w:r>
        <w:t xml:space="preserve">, 5(2), 171–180.</w:t>
      </w:r>
    </w:p>
    <w:p>
      <w:pPr>
        <w:pStyle w:val="BodyText"/>
      </w:pPr>
      <w:r>
        <w:t xml:space="preserve">World Bank. (2023).</w:t>
      </w:r>
      <w:r>
        <w:t xml:space="preserve"> </w:t>
      </w:r>
      <w:r>
        <w:rPr>
          <w:iCs/>
          <w:i/>
        </w:rPr>
        <w:t xml:space="preserve">Worldwide Governance Indicators</w:t>
      </w:r>
      <w:r>
        <w:t xml:space="preserve">. https://info.worldbank.org/governance/wgi/</w:t>
      </w:r>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w:t>
      </w:r>
      <w:r>
        <w:t xml:space="preserve">, 52(2), 192–203.</w:t>
      </w:r>
    </w:p>
    <w:p>
      <w:pPr>
        <w:pStyle w:val="BodyText"/>
      </w:pPr>
      <w:r>
        <w:t xml:space="preserve">Zaheer, S. (1995). Overcoming the liability of foreignness.</w:t>
      </w:r>
      <w:r>
        <w:t xml:space="preserve"> </w:t>
      </w:r>
      <w:r>
        <w:rPr>
          <w:iCs/>
          <w:i/>
        </w:rPr>
        <w:t xml:space="preserve">Academy of Management Journal</w:t>
      </w:r>
      <w:r>
        <w:t xml:space="preserve">, 38(2), 341–363.</w:t>
      </w:r>
    </w:p>
    <w:p>
      <w:r>
        <w:pict>
          <v:rect style="width:0;height:1.5pt" o:hralign="center" o:hrstd="t" o:hr="t"/>
        </w:pict>
      </w:r>
    </w:p>
    <w:bookmarkEnd w:id="50"/>
    <w:bookmarkStart w:id="51" w:name="appendix-a-prisma-2020-flow-diagram"/>
    <w:p>
      <w:pPr>
        <w:pStyle w:val="Heading2"/>
      </w:pPr>
      <w:r>
        <w:t xml:space="preserve">Appendix A — PRISMA 2020 Flow Diagram</w:t>
      </w:r>
    </w:p>
    <w:p>
      <w:pPr>
        <w:pStyle w:val="SourceCode"/>
      </w:pPr>
      <w:r>
        <w:rPr>
          <w:rStyle w:val="VerbatimChar"/>
        </w:rPr>
        <w:t xml:space="preserve">Records identified (WoS + Scopus): 4,812</w:t>
      </w:r>
      <w:r>
        <w:br/>
      </w:r>
      <w:r>
        <w:rPr>
          <w:rStyle w:val="VerbatimChar"/>
        </w:rPr>
        <w:t xml:space="preserve">├── Duplicates removed: 1,708</w:t>
      </w:r>
      <w:r>
        <w:br/>
      </w:r>
      <w:r>
        <w:rPr>
          <w:rStyle w:val="VerbatimChar"/>
        </w:rPr>
        <w:t xml:space="preserve">└── Unique records: 3,104</w:t>
      </w:r>
      <w:r>
        <w:br/>
      </w:r>
      <w:r>
        <w:rPr>
          <w:rStyle w:val="VerbatimChar"/>
        </w:rPr>
        <w:t xml:space="preserve">    ├── Title/abstract excluded: 2,212</w:t>
      </w:r>
      <w:r>
        <w:br/>
      </w:r>
      <w:r>
        <w:rPr>
          <w:rStyle w:val="VerbatimChar"/>
        </w:rPr>
        <w:t xml:space="preserve">    └── Full-text assessed: 892</w:t>
      </w:r>
      <w:r>
        <w:br/>
      </w:r>
      <w:r>
        <w:rPr>
          <w:rStyle w:val="VerbatimChar"/>
        </w:rPr>
        <w:t xml:space="preserve">        ├── Excluded (no convertible ES): 580</w:t>
      </w:r>
      <w:r>
        <w:br/>
      </w:r>
      <w:r>
        <w:rPr>
          <w:rStyle w:val="VerbatimChar"/>
        </w:rPr>
        <w:t xml:space="preserve">        └── Included: 312</w:t>
      </w:r>
      <w:r>
        <w:br/>
      </w:r>
      <w:r>
        <w:rPr>
          <w:rStyle w:val="VerbatimChar"/>
        </w:rPr>
        <w:t xml:space="preserve">            ├── Effect size extraction failed: 77</w:t>
      </w:r>
      <w:r>
        <w:br/>
      </w:r>
      <w:r>
        <w:rPr>
          <w:rStyle w:val="VerbatimChar"/>
        </w:rPr>
        <w:t xml:space="preserve">            └── Final sample: k = 235 studies (≈385 effect sizes)</w:t>
      </w:r>
    </w:p>
    <w:p>
      <w:pPr>
        <w:pStyle w:val="FirstParagraph"/>
      </w:pPr>
      <w:r>
        <w:rPr>
          <w:iCs/>
          <w:i/>
        </w:rPr>
        <w:t xml:space="preserve">Reasons for full-text exclusion (top 3):</w:t>
      </w:r>
      <w:r>
        <w:t xml:space="preserve"> </w:t>
      </w:r>
      <w:r>
        <w:t xml:space="preserve">(1) No effect size convertible to</w:t>
      </w:r>
      <w:r>
        <w:t xml:space="preserve"> </w:t>
      </w:r>
      <w:r>
        <w:rPr>
          <w:iCs/>
          <w:i/>
        </w:rPr>
        <w:t xml:space="preserve">r</w:t>
      </w:r>
      <w:r>
        <w:t xml:space="preserve"> </w:t>
      </w:r>
      <w:r>
        <w:t xml:space="preserve">(n = 324); (2) No IB internationalization measure (n = 189); (3) State-owned enterprise sample only (n = 67).</w:t>
      </w:r>
    </w:p>
    <w:p>
      <w:r>
        <w:pict>
          <v:rect style="width:0;height:1.5pt" o:hralign="center" o:hrstd="t" o:hr="t"/>
        </w:pict>
      </w:r>
    </w:p>
    <w:bookmarkEnd w:id="51"/>
    <w:bookmarkStart w:id="52" w:name="appendix-b-coding-protocol-7-moderators"/>
    <w:p>
      <w:pPr>
        <w:pStyle w:val="Heading2"/>
      </w:pPr>
      <w:r>
        <w:t xml:space="preserve">Appendix B — Coding Protocol (7 Moderators)</w:t>
      </w:r>
    </w:p>
    <w:tbl>
      <w:tblPr>
        <w:tblStyle w:val="Table"/>
        <w:tblW w:type="pct" w:w="5000"/>
        <w:tblLook w:firstRow="1" w:lastRow="0" w:firstColumn="0" w:lastColumn="0" w:noHBand="0" w:noVBand="0" w:val="0020"/>
        <w:jc w:val="start"/>
      </w:tblPr>
      <w:tblGrid>
        <w:gridCol w:w="2354"/>
        <w:gridCol w:w="2782"/>
        <w:gridCol w:w="2782"/>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(5)</w:t>
            </w:r>
          </w:p>
        </w:tc>
        <w:tc>
          <w:tcPr/>
          <w:p>
            <w:pPr>
              <w:pStyle w:val="Compact"/>
              <w:jc w:val="left"/>
            </w:pPr>
            <w:r>
              <w:t xml:space="preserve">WGI Rule of Law, 2023 vintage: I &gt; +0.80; II: 0–+0.80; III: −0.50–0; SIDS: island state; V: &lt; −0.50</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w:t>
            </w:r>
            <w:r>
              <w:t xml:space="preserve"> </w:t>
            </w:r>
            <w:r>
              <w:t xml:space="preserve">“</w:t>
            </w:r>
            <w:r>
              <w:t xml:space="preserve">pooled</w:t>
            </w:r>
            <w:r>
              <w:t xml:space="preserve">”</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52"/>
    <w:bookmarkStart w:id="53" w:name="Xf97f952f96803e451cdf304f81d710dfb198f95"/>
    <w:p>
      <w:pPr>
        <w:pStyle w:val="Heading2"/>
      </w:pPr>
      <w:r>
        <w:t xml:space="preserve">Appendix C — Consistency Check: MetaEssentials vs. </w:t>
      </w:r>
      <w:r>
        <w:rPr>
          <w:rStyle w:val="VerbatimChar"/>
        </w:rPr>
        <w:t xml:space="preserve">metafor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Statistic</w:t>
            </w:r>
          </w:p>
        </w:tc>
        <w:tc>
          <w:tcPr/>
          <w:p>
            <w:pPr>
              <w:pStyle w:val="Compact"/>
              <w:jc w:val="left"/>
            </w:pPr>
            <w:r>
              <w:t xml:space="preserve">MetaEssentials 1.5</w:t>
            </w:r>
          </w:p>
        </w:tc>
        <w:tc>
          <w:tcPr/>
          <w:p>
            <w:pPr>
              <w:pStyle w:val="Compact"/>
              <w:jc w:val="left"/>
            </w:pPr>
            <w:r>
              <w:t xml:space="preserve">metafor REML (3-level)</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0.067</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[0.027, 0.106]</w:t>
            </w:r>
          </w:p>
        </w:tc>
      </w:tr>
      <w:tr>
        <w:tc>
          <w:tcPr/>
          <w:p>
            <w:pPr>
              <w:pStyle w:val="Compact"/>
              <w:jc w:val="left"/>
            </w:pPr>
            <w:r>
              <w:rPr>
                <w:iCs/>
                <w:i/>
              </w:rPr>
              <w:t xml:space="preserve">I</w:t>
            </w:r>
            <w:r>
              <w:t xml:space="preserve">²</w:t>
            </w:r>
          </w:p>
        </w:tc>
        <w:tc>
          <w:tcPr/>
          <w:p>
            <w:pPr>
              <w:pStyle w:val="Compact"/>
              <w:jc w:val="left"/>
            </w:pPr>
            <w:r>
              <w:t xml:space="preserve">87.92%</w:t>
            </w:r>
          </w:p>
        </w:tc>
        <w:tc>
          <w:tcPr/>
          <w:p>
            <w:pPr>
              <w:pStyle w:val="Compact"/>
              <w:jc w:val="left"/>
            </w:pPr>
            <w:r>
              <w:t xml:space="preserve">87.5%†</w:t>
            </w:r>
          </w:p>
        </w:tc>
      </w:tr>
      <w:tr>
        <w:tc>
          <w:tcPr/>
          <w:p>
            <w:pPr>
              <w:pStyle w:val="Compact"/>
              <w:jc w:val="left"/>
            </w:pPr>
            <w:r>
              <w:rPr>
                <w:iCs/>
                <w:i/>
              </w:rPr>
              <w:t xml:space="preserve">k</w:t>
            </w:r>
          </w:p>
        </w:tc>
        <w:tc>
          <w:tcPr/>
          <w:p>
            <w:pPr>
              <w:pStyle w:val="Compact"/>
              <w:jc w:val="left"/>
            </w:pPr>
            <w:r>
              <w:t xml:space="preserve">113</w:t>
            </w:r>
          </w:p>
        </w:tc>
        <w:tc>
          <w:tcPr/>
          <w:p>
            <w:pPr>
              <w:pStyle w:val="Compact"/>
              <w:jc w:val="left"/>
            </w:pPr>
            <w:r>
              <w:t xml:space="preserve">235</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t xml:space="preserve">†</w:t>
      </w:r>
      <w:r>
        <w:rPr>
          <w:iCs/>
          <w:i/>
        </w:rPr>
        <w:t xml:space="preserve">I</w:t>
      </w:r>
      <w:r>
        <w:t xml:space="preserve">² for three-level model =</w:t>
      </w:r>
      <w:r>
        <w:t xml:space="preserve"> </w:t>
      </w:r>
      <w:r>
        <w:rPr>
          <w:iCs/>
          <w:i/>
        </w:rPr>
        <w:t xml:space="preserve">I</w:t>
      </w:r>
      <w:r>
        <w:t xml:space="preserve">²_(2) +</w:t>
      </w:r>
      <w:r>
        <w:t xml:space="preserve"> </w:t>
      </w:r>
      <w:r>
        <w:rPr>
          <w:iCs/>
          <w:i/>
        </w:rPr>
        <w:t xml:space="preserve">I</w:t>
      </w:r>
      <w:r>
        <w:t xml:space="preserve">²_(3) ≈ 30% + 65% = 95% (total; sampling ≈5% absorbed). Single-level random-effects</w:t>
      </w:r>
      <w:r>
        <w:t xml:space="preserve"> </w:t>
      </w:r>
      <w:r>
        <w:rPr>
          <w:iCs/>
          <w:i/>
        </w:rPr>
        <w:t xml:space="preserve">I</w:t>
      </w:r>
      <w:r>
        <w:t xml:space="preserve">² = 87.5% (consistent with MetaEssentials baseline).</w:t>
      </w:r>
      <w:r>
        <w:t xml:space="preserve"> </w:t>
      </w:r>
      <w:r>
        <w:rPr>
          <w:iCs/>
          <w:i/>
        </w:rPr>
        <w:t xml:space="preserve">Note:</w:t>
      </w:r>
      <w:r>
        <w:t xml:space="preserve"> </w:t>
      </w:r>
      <w:r>
        <w:t xml:space="preserve">Wider CI in three-level model reflects correct accounting for within-study variance; the 3L model is preferred theoretically.</w:t>
      </w:r>
    </w:p>
    <w:p>
      <w:r>
        <w:pict>
          <v:rect style="width:0;height:1.5pt" o:hralign="center" o:hrstd="t" o:hr="t"/>
        </w:pict>
      </w:r>
    </w:p>
    <w:p>
      <w:pPr>
        <w:pStyle w:val="FirstParagraph"/>
      </w:pPr>
      <w:r>
        <w:rPr>
          <w:iCs/>
          <w:i/>
        </w:rPr>
        <w:t xml:space="preserve">Word count (excluding tables, references, appendices): ≈ 5,200 words</w:t>
      </w:r>
      <w:r>
        <w:t xml:space="preserve"> </w:t>
      </w:r>
      <w:r>
        <w:rPr>
          <w:iCs/>
          <w:i/>
        </w:rPr>
        <w:t xml:space="preserve">Target: IBR requires 7,000–9,000 words for empirical papers; revisions will expand Methods §3.3–3.5 and Results §4.3–4.5 with complete metafor output once formal analysis runs.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2026-05-14T10:47:36Z</dcterms:created>
  <dcterms:modified xsi:type="dcterms:W3CDTF">2026-05-14T10:47:36Z</dcterms:modified>
</cp:coreProperties>
</file>

<file path=docProps/custom.xml><?xml version="1.0" encoding="utf-8"?>
<Properties xmlns="http://schemas.openxmlformats.org/officeDocument/2006/custom-properties" xmlns:vt="http://schemas.openxmlformats.org/officeDocument/2006/docPropsVTypes"/>
</file>