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2651b4d67feaf2e0df68681ad8dd39211647d7a"/>
    <w:p>
      <w:pPr>
        <w:pStyle w:val="Heading1"/>
      </w:pPr>
      <w:r>
        <w:t xml:space="preserve">Forced Internationalization Penalty: Firm Performance in Pacific and Indian Ocean Small Island Developing States</w:t>
      </w:r>
    </w:p>
    <w:p>
      <w:pPr>
        <w:pStyle w:val="FirstParagraph"/>
      </w:pPr>
      <w:r>
        <w:rPr>
          <w:bCs/>
          <w:b/>
        </w:rPr>
        <w:t xml:space="preserve">Target journal</w:t>
      </w:r>
      <w:r>
        <w:t xml:space="preserve">: Journal of Economics and Development (JED), Emerald Publishing on behalf of National Economics University (NEU)</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highlights"/>
    <w:p>
      <w:pPr>
        <w:pStyle w:val="Heading2"/>
      </w:pPr>
      <w:r>
        <w:t xml:space="preserve">Highlights</w:t>
      </w:r>
    </w:p>
    <w:p>
      <w:pPr>
        <w:numPr>
          <w:ilvl w:val="0"/>
          <w:numId w:val="1001"/>
        </w:numPr>
        <w:pStyle w:val="Compact"/>
      </w:pPr>
      <w:r>
        <w:t xml:space="preserve">First firm-level test of the Forced Internationalization Penalty in Pacific SIDS.</w:t>
      </w:r>
    </w:p>
    <w:p>
      <w:pPr>
        <w:numPr>
          <w:ilvl w:val="0"/>
          <w:numId w:val="1001"/>
        </w:numPr>
        <w:pStyle w:val="Compact"/>
      </w:pPr>
      <w:r>
        <w:t xml:space="preserve">Internationalization is monotone-negative for productivity (β = −0.404, p =.032).</w:t>
      </w:r>
    </w:p>
    <w:p>
      <w:pPr>
        <w:numPr>
          <w:ilvl w:val="0"/>
          <w:numId w:val="1001"/>
        </w:numPr>
        <w:pStyle w:val="Compact"/>
      </w:pPr>
      <w:r>
        <w:t xml:space="preserve">The quadratic term is null: no observable turning point in the data range.</w:t>
      </w:r>
    </w:p>
    <w:p>
      <w:pPr>
        <w:numPr>
          <w:ilvl w:val="0"/>
          <w:numId w:val="1001"/>
        </w:numPr>
        <w:pStyle w:val="Compact"/>
      </w:pPr>
      <w:r>
        <w:t xml:space="preserve">Technological capability and digital adoption do not override the penalty.</w:t>
      </w:r>
    </w:p>
    <w:p>
      <w:pPr>
        <w:numPr>
          <w:ilvl w:val="0"/>
          <w:numId w:val="1001"/>
        </w:numPr>
        <w:pStyle w:val="Compact"/>
      </w:pPr>
      <w:r>
        <w:t xml:space="preserve">Shift I–P framing from institutional moderation to institutional determination.</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Purpose.</w:t>
      </w:r>
      <w:r>
        <w:t xml:space="preserve"> </w:t>
      </w:r>
      <w:r>
        <w:t xml:space="preserve">Tests whether the canonical inverted-U survives in Pacific Small Island Developing States (SIDS) and develops the Forced Internationalization Penalty (FIP) as a structural boundary condition.</w:t>
      </w:r>
    </w:p>
    <w:p>
      <w:pPr>
        <w:pStyle w:val="BodyText"/>
      </w:pPr>
      <w:r>
        <w:rPr>
          <w:bCs/>
          <w:b/>
        </w:rPr>
        <w:t xml:space="preserve">Design/methodology/approach.</w:t>
      </w:r>
      <w:r>
        <w:t xml:space="preserve"> </w:t>
      </w:r>
      <w:r>
        <w:t xml:space="preserve">WBES from 1,469 firms across nine Pacific and Indian Ocean SIDS (2009–2025; 187 exporters). Three OLS specifications: country-and-year FE; year-only FE; exporters-only. Lind–Mehlum tests verify quadratic curvature direction.</w:t>
      </w:r>
    </w:p>
    <w:p>
      <w:pPr>
        <w:pStyle w:val="BodyText"/>
      </w:pPr>
      <w:r>
        <w:rPr>
          <w:bCs/>
          <w:b/>
        </w:rPr>
        <w:t xml:space="preserve">Findings.</w:t>
      </w:r>
      <w:r>
        <w:t xml:space="preserve"> </w:t>
      </w:r>
      <w:r>
        <w:t xml:space="preserve">Internationalisation is robustly negatively associated with productivity (</w:t>
      </w:r>
      <m:oMath>
        <m:r>
          <m:t>β</m:t>
        </m:r>
      </m:oMath>
      <w:r>
        <w:t xml:space="preserve"> </w:t>
      </w:r>
      <w:r>
        <w:t xml:space="preserve">= −0.404, p =.032; −1.236, p &lt;.001; −0.901, p =.027 across specifications). Quadratic FSTS null in every specification, no turning point. TCI and DAI moderators null. The three structural prerequisites (viable home market, manageable trade costs, functional institutions) are simultaneously absent.</w:t>
      </w:r>
    </w:p>
    <w:p>
      <w:pPr>
        <w:pStyle w:val="BodyText"/>
      </w:pPr>
      <w:r>
        <w:rPr>
          <w:bCs/>
          <w:b/>
        </w:rPr>
        <w:t xml:space="preserve">Research limitations/implications.</w:t>
      </w:r>
      <w:r>
        <w:t xml:space="preserve"> </w:t>
      </w:r>
      <w:r>
        <w:t xml:space="preserve">Power constrained at 187 exporters; opens research on other extreme-developing contexts (landlocked LDCs, post-conflict economies).</w:t>
      </w:r>
    </w:p>
    <w:p>
      <w:pPr>
        <w:pStyle w:val="BodyText"/>
      </w:pPr>
      <w:r>
        <w:rPr>
          <w:bCs/>
          <w:b/>
        </w:rPr>
        <w:t xml:space="preserve">Practical implications.</w:t>
      </w:r>
      <w:r>
        <w:t xml:space="preserve"> </w:t>
      </w:r>
      <w:r>
        <w:t xml:space="preserve">Cautions against export-intensity targets in Pacific SIDS programmes; complementary structural reforms are prerequisites for positive I-P returns.</w:t>
      </w:r>
    </w:p>
    <w:p>
      <w:pPr>
        <w:pStyle w:val="BodyText"/>
      </w:pPr>
      <w:r>
        <w:rPr>
          <w:bCs/>
          <w:b/>
        </w:rPr>
        <w:t xml:space="preserve">Social implications.</w:t>
      </w:r>
      <w:r>
        <w:t xml:space="preserve"> </w:t>
      </w:r>
      <w:r>
        <w:t xml:space="preserve">Under the Antigua and Barbuda Agenda (UNGA 2024), SIDS firms cannot</w:t>
      </w:r>
      <w:r>
        <w:t xml:space="preserve"> </w:t>
      </w:r>
      <w:r>
        <w:t xml:space="preserve">“</w:t>
      </w:r>
      <w:r>
        <w:t xml:space="preserve">internationalise their way out of</w:t>
      </w:r>
      <w:r>
        <w:t xml:space="preserve">”</w:t>
      </w:r>
      <w:r>
        <w:t xml:space="preserve"> </w:t>
      </w:r>
      <w:r>
        <w:t xml:space="preserve">structural constraints.</w:t>
      </w:r>
    </w:p>
    <w:p>
      <w:pPr>
        <w:pStyle w:val="BodyText"/>
      </w:pPr>
      <w:r>
        <w:rPr>
          <w:bCs/>
          <w:b/>
        </w:rPr>
        <w:t xml:space="preserve">Originality/value.</w:t>
      </w:r>
      <w:r>
        <w:t xml:space="preserve"> </w:t>
      </w:r>
      <w:r>
        <w:t xml:space="preserve">First firm-level operationalisation of the SIDS macro-vulnerability framework. Shifts the debate from</w:t>
      </w:r>
      <w:r>
        <w:t xml:space="preserve"> </w:t>
      </w:r>
      <w:r>
        <w:t xml:space="preserve">“</w:t>
      </w:r>
      <w:r>
        <w:t xml:space="preserve">institutional moderation of I-P intensity</w:t>
      </w:r>
      <w:r>
        <w:t xml:space="preserve">”</w:t>
      </w:r>
      <w:r>
        <w:t xml:space="preserve"> </w:t>
      </w:r>
      <w:r>
        <w:t xml:space="preserve">to</w:t>
      </w:r>
      <w:r>
        <w:t xml:space="preserve"> </w:t>
      </w:r>
      <w:r>
        <w:t xml:space="preserve">“</w:t>
      </w:r>
      <w:r>
        <w:t xml:space="preserve">institutional determination of I-P sign.</w:t>
      </w:r>
      <w:r>
        <w:t xml:space="preserve">”</w:t>
      </w:r>
      <w:r>
        <w:t xml:space="preserve"> </w:t>
      </w:r>
      <w:r>
        <w:t xml:space="preserve">Of 1,745 WBES-based IB studies, zero covered Pacific SIDS.</w:t>
      </w:r>
    </w:p>
    <w:p>
      <w:pPr>
        <w:pStyle w:val="BodyText"/>
      </w:pPr>
      <w:r>
        <w:rPr>
          <w:bCs/>
          <w:b/>
        </w:rPr>
        <w:t xml:space="preserve">Keywords:</w:t>
      </w:r>
      <w:r>
        <w:t xml:space="preserve"> </w:t>
      </w:r>
      <w:r>
        <w:t xml:space="preserve">forced internationalization; small island developing states; firm performance; institutional voids; Pacific economies; labour productivity.</w:t>
      </w:r>
    </w:p>
    <w:p>
      <w:pPr>
        <w:pStyle w:val="BodyText"/>
      </w:pPr>
      <w:r>
        <w:rPr>
          <w:bCs/>
          <w:b/>
        </w:rPr>
        <w:t xml:space="preserve">JEL classification:</w:t>
      </w:r>
      <w:r>
        <w:t xml:space="preserve"> </w:t>
      </w:r>
      <w:r>
        <w:t xml:space="preserve">F23 (multinational firms; international business); O17 (formal and informal sectors; shadow economy; institutional arrangements); O56 (economywide country studies: Oceania); D22 (firm behaviour: empirical analysis); F14 (empirical studies of trade).</w:t>
      </w:r>
    </w:p>
    <w:p>
      <w:pPr>
        <w:pStyle w:val="BodyText"/>
      </w:pPr>
      <w:r>
        <w:rPr>
          <w:bCs/>
          <w:b/>
        </w:rPr>
        <w:t xml:space="preserve">Paper type:</w:t>
      </w:r>
      <w:r>
        <w:t xml:space="preserve"> </w:t>
      </w:r>
      <w:r>
        <w:t xml:space="preserve">Research paper.</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This study argues that certain structural conditions, characteristic of Small Island Developing States (SIDS), eliminate the prerequisites on which the inverted-U logic depends, and that they replace the expected non-linear pattern with a monotone negative one. This study terms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This study positions FIP as a structural boundary condition rather than a peripheral anomaly. The standard inverted-U describes</w:t>
      </w:r>
      <w:r>
        <w:t xml:space="preserve"> </w:t>
      </w:r>
      <w:r>
        <w:rPr>
          <w:iCs/>
          <w:i/>
        </w:rPr>
        <w:t xml:space="preserve">internationalization-to-scale</w:t>
      </w:r>
      <w:r>
        <w:t xml:space="preserve">: in strong-institution economies, exporting is a profit-optimizing choice, and the descending limb arrives only at a very late turning point because a viable home base, manageable trade costs, and functional institutions allow firms to appropriate scale and learning gains. FIP describes the inverse logic,</w:t>
      </w:r>
      <w:r>
        <w:t xml:space="preserve"> </w:t>
      </w:r>
      <w:r>
        <w:rPr>
          <w:iCs/>
          <w:i/>
        </w:rPr>
        <w:t xml:space="preserve">internationalization-to-survive</w:t>
      </w:r>
      <w:r>
        <w:t xml:space="preserve">: when those same prerequisites are absent, firms are forced to export despite logistics costs so severe that they erode all profit, and the inverted-U collapses into a monotone negative line. The two regimes are not different points on one curve but reflect different combinations of the three structural conditions; conventional theory characterizes the cases in which all three are satisfied, and FIP characterizes cases in which they are not. Empirically, identifying where the curve breaks down clarifies the structural prerequisites the conventional inverted-U logic assumes.</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reshapes the logic of the I-P relationship.</w:t>
      </w:r>
    </w:p>
    <w:p>
      <w:pPr>
        <w:pStyle w:val="BodyText"/>
      </w:pPr>
      <w:r>
        <w:t xml:space="preserve">This study makes three contributions to the IB literature. First, it provides a structured naming and explicit empirical operationalization for the SIDS internationalization mechanism that the foundational SIDS literature (Briguglio, 1995; Bertram, 2006 MIRAB; Briguglio et al., 2009) has long analysed at the macro level. The three-prerequisite structure (non-viable home market, prohibitive trade costs, comprehensive institutional voids) is established; the contribution of this study is the firm-level operationalization, the FIP label that connects those macro constraints to the sign of the FSTS coefficient in I-P regressions, and the demonstration that this firm-level signature is recoverable in WBES data. This study distinguishes FIP from adjacent firm-level concepts including phase-1 costs in three-stage theory (Contractor et al., 2003), Liability of Foreignness (Zaheer, 1995), and necessity entrepreneurship (Sarasvathy et al., 2014). Second, it provides empirical evidence from 1,469 firms across nine Pacific and Indian Ocean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w:t>
      </w:r>
      <w:r>
        <w:t xml:space="preserve"> </w:t>
      </w:r>
      <w:r>
        <w:t xml:space="preserve">“</w:t>
      </w:r>
      <w:r>
        <w:t xml:space="preserve">institutional moderation of the I-P relationship</w:t>
      </w:r>
      <w:r>
        <w:t xml:space="preserve">”</w:t>
      </w:r>
      <w:r>
        <w:t xml:space="preserve"> </w:t>
      </w:r>
      <w:r>
        <w:t xml:space="preserve">(Marano et al., 2016) toward</w:t>
      </w:r>
      <w:r>
        <w:t xml:space="preserve"> </w:t>
      </w:r>
      <w:r>
        <w:t xml:space="preserve">“</w:t>
      </w:r>
      <w:r>
        <w:t xml:space="preserve">institutional determination of the sign of the I-P relationship.</w:t>
      </w:r>
      <w:r>
        <w:t xml:space="preserve">”</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2"/>
    <w:bookmarkStart w:id="27" w:name="theoretical-background-and-hypotheses"/>
    <w:p>
      <w:pPr>
        <w:pStyle w:val="Heading2"/>
      </w:pPr>
      <w:r>
        <w:t xml:space="preserve">2. Theoretical Background and Hypotheses</w:t>
      </w:r>
    </w:p>
    <w:bookmarkStart w:id="23" w:name="Xd1ff7c2b94994d1910854ba407ee8c9b50df341"/>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w:t>
      </w:r>
      <w:r>
        <w:t xml:space="preserve"> </w:t>
      </w:r>
      <w:r>
        <w:t xml:space="preserve">“</w:t>
      </w:r>
      <w:r>
        <w:t xml:space="preserve">selection into exporting</w:t>
      </w:r>
      <w:r>
        <w:t xml:space="preserve">”</w:t>
      </w:r>
      <w:r>
        <w:t xml:space="preserve"> </w:t>
      </w:r>
      <w:r>
        <w:t xml:space="preserve">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3"/>
    <w:bookmarkStart w:id="24" w:name="Xb7db0e39015cb6f3662a52d47fb6342a9feb2fb"/>
    <w:p>
      <w:pPr>
        <w:pStyle w:val="Heading3"/>
      </w:pPr>
      <w:r>
        <w:t xml:space="preserve">2.2 Forced Internationalization Penalty: Theoretical Definition</w:t>
      </w:r>
    </w:p>
    <w:p>
      <w:pPr>
        <w:pStyle w:val="FirstParagraph"/>
      </w:pPr>
      <w:r>
        <w:t xml:space="preserve">This study defines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4"/>
    <w:bookmarkStart w:id="25" w:name="X6db7ec46da19cbe734f496417815d07c46d6d99"/>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the sample), domestic markets cannot sustain manufacturing or service firms at minimum efficient scale. Read (2004) demonstrated that the smallest island economies have effectively no choice architecture for export abstention. Firms either export or exit. This study terms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5"/>
    <w:bookmarkStart w:id="26" w:name="the-role-of-firm-level-capabilities"/>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 Two labels make this concrete. First, the negative slope is an</w:t>
      </w:r>
      <w:r>
        <w:t xml:space="preserve"> </w:t>
      </w:r>
      <w:r>
        <w:rPr>
          <w:iCs/>
          <w:i/>
        </w:rPr>
        <w:t xml:space="preserve">Isolation Penalty</w:t>
      </w:r>
      <w:r>
        <w:t xml:space="preserve">, a transaction-cost-of-isolation that geographic remoteness imposes on every cross-border transaction (the 30–210% trade-cost amplification), which a compelled exporter must bear permanently rather than amortize away. Second, a digital shield presupposes a minimal payment-and-logistics substrate to function; under the</w:t>
      </w:r>
      <w:r>
        <w:t xml:space="preserve"> </w:t>
      </w:r>
      <w:r>
        <w:rPr>
          <w:iCs/>
          <w:i/>
        </w:rPr>
        <w:t xml:space="preserve">extreme institutional void</w:t>
      </w:r>
      <w:r>
        <w:t xml:space="preserve"> </w:t>
      </w:r>
      <w:r>
        <w:t xml:space="preserve">characteristic of SIDS, that substrate is largely absent, so digital capability cannot substitute for the missing institutions and physical infrastructure.</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6"/>
    <w:bookmarkEnd w:id="27"/>
    <w:bookmarkStart w:id="31" w:name="data-and-methods"/>
    <w:p>
      <w:pPr>
        <w:pStyle w:val="Heading2"/>
      </w:pPr>
      <w:r>
        <w:t xml:space="preserve">3. Data and Methods</w:t>
      </w:r>
    </w:p>
    <w:bookmarkStart w:id="28" w:name="data-source"/>
    <w:p>
      <w:pPr>
        <w:pStyle w:val="Heading3"/>
      </w:pPr>
      <w:r>
        <w:t xml:space="preserve">3.1 Data Source</w:t>
      </w:r>
    </w:p>
    <w:p>
      <w:pPr>
        <w:pStyle w:val="FirstParagraph"/>
      </w:pPr>
      <w:r>
        <w:t xml:space="preserve">This study uses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This study includes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8"/>
    <w:bookmarkStart w:id="29" w:name="measures"/>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this study constructs FSTS (Foreign Sales to Total Sales) from WBES item d3c (percentage of sales exported), divided by 100. For the main models, FSTS is mean-centered at the wave level:</w:t>
      </w:r>
      <w:r>
        <w:t xml:space="preserve"> </w:t>
      </w:r>
      <m:oMath>
        <m:sSub>
          <m:e>
            <m:r>
              <m:rPr>
                <m:nor/>
                <m:sty m:val="p"/>
              </m:rPr>
              <m:t>FSTS</m:t>
            </m:r>
          </m:e>
          <m:sub>
            <m:r>
              <m:t>c</m:t>
            </m:r>
          </m:sub>
        </m:sSub>
      </m:oMath>
      <w:r>
        <w:t xml:space="preserve"> </w:t>
      </w:r>
      <w:r>
        <w:t xml:space="preserve">=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w:t>
      </w:r>
      <m:oMath>
        <m:sSub>
          <m:e>
            <m:r>
              <m:rPr>
                <m:nor/>
                <m:sty m:val="p"/>
              </m:rPr>
              <m:t>TCI</m:t>
            </m:r>
          </m:e>
          <m:sub>
            <m:r>
              <m:t>z</m:t>
            </m:r>
          </m:sub>
        </m:sSub>
      </m:oMath>
      <w:r>
        <w:rPr>
          <w:bCs/>
          <w:b/>
        </w:rPr>
        <w:t xml:space="preserve">).</w:t>
      </w:r>
      <w:r>
        <w:t xml:space="preserve"> </w:t>
      </w:r>
      <w:r>
        <w:t xml:space="preserve">Following Lall (1992) and Goedhuys and Sleuwaegen (2013), TCI is constructed from two WBES items: b8 (internationally recognized quality certification, binary) and e6 (licensing of foreign technology, binary).</w:t>
      </w:r>
      <w:r>
        <w:t xml:space="preserve"> </w:t>
      </w:r>
      <m:oMath>
        <m:sSub>
          <m:e>
            <m:r>
              <m:rPr>
                <m:nor/>
                <m:sty m:val="p"/>
              </m:rPr>
              <m:t>TCI</m:t>
            </m:r>
          </m:e>
          <m:sub>
            <m:r>
              <m:t>z</m:t>
            </m:r>
          </m:sub>
        </m:sSub>
      </m:oMath>
      <w:r>
        <w:t xml:space="preserve"> </w:t>
      </w:r>
      <w:r>
        <w:t xml:space="preserve">is the z-standardized mean of these two indicators.</w:t>
      </w:r>
    </w:p>
    <w:p>
      <w:pPr>
        <w:pStyle w:val="BodyText"/>
      </w:pPr>
      <w:r>
        <w:rPr>
          <w:bCs/>
          <w:b/>
        </w:rPr>
        <w:t xml:space="preserve">Digital adoption index (</w:t>
      </w:r>
      <m:oMath>
        <m:sSub>
          <m:e>
            <m:r>
              <m:rPr>
                <m:nor/>
                <m:sty m:val="p"/>
              </m:rPr>
              <m:t>DAI</m:t>
            </m:r>
          </m:e>
          <m:sub>
            <m:r>
              <m:t>z</m:t>
            </m:r>
          </m:sub>
        </m:sSub>
      </m:oMath>
      <w:r>
        <w:rPr>
          <w:bCs/>
          <w:b/>
        </w:rPr>
        <w:t xml:space="preserve">).</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w:t>
      </w:r>
      <w:r>
        <w:t xml:space="preserve"> </w:t>
      </w:r>
      <m:oMath>
        <m:sSub>
          <m:e>
            <m:r>
              <m:rPr>
                <m:nor/>
                <m:sty m:val="p"/>
              </m:rPr>
              <m:t>DAI</m:t>
            </m:r>
          </m:e>
          <m:sub>
            <m:r>
              <m:t>z</m:t>
            </m:r>
          </m:sub>
        </m:sSub>
      </m:oMath>
      <w:r>
        <w:t xml:space="preserve"> </w:t>
      </w:r>
      <w:r>
        <w:t xml:space="preserve">is the z-standardized value. This study does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pct" w:w="5000"/>
        <w:tblLook w:firstRow="1" w:lastRow="0" w:firstColumn="0" w:lastColumn="0" w:noHBand="0" w:noVBand="0" w:val="0020"/>
        <w:jc w:val="start"/>
      </w:tblPr>
      <w:tblGrid>
        <w:gridCol w:w="1552"/>
        <w:gridCol w:w="2018"/>
        <w:gridCol w:w="2018"/>
        <w:gridCol w:w="2329"/>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Tier-1 only</w:t>
            </w:r>
          </w:p>
        </w:tc>
        <w:tc>
          <w:tcPr/>
          <w:p>
            <w:pPr>
              <w:pStyle w:val="Compact"/>
              <w:jc w:val="left"/>
            </w:pPr>
            <w:r>
              <w:t xml:space="preserve">Digital adoption,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across the full pooled sample. PPP conversion uses World Bank ICP deflators matched to survey year.</w:t>
      </w:r>
      <w:r>
        <w:t xml:space="preserve"> </w:t>
      </w:r>
      <m:oMath>
        <m:sSub>
          <m:e>
            <m:r>
              <m:rPr>
                <m:nor/>
                <m:sty m:val="p"/>
              </m:rPr>
              <m:t>FSTS</m:t>
            </m:r>
          </m:e>
          <m:sub>
            <m:r>
              <m:t>c</m:t>
            </m:r>
          </m:sub>
        </m:sSub>
      </m:oMath>
      <w:r>
        <w:t xml:space="preserve"> </w:t>
      </w:r>
      <w:r>
        <w:t xml:space="preserve">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9"/>
    <w:bookmarkStart w:id="30" w:name="model-sequence"/>
    <w:p>
      <w:pPr>
        <w:pStyle w:val="Heading3"/>
      </w:pPr>
      <w:r>
        <w:t xml:space="preserve">3.3 Model Sequence</w:t>
      </w:r>
    </w:p>
    <w:p>
      <w:pPr>
        <w:pStyle w:val="FirstParagraph"/>
      </w:pPr>
      <w:r>
        <w:t xml:space="preserve">The analysis estimates four model families to test H1 and H2:</w:t>
      </w:r>
    </w:p>
    <w:p>
      <w:pPr>
        <w:pStyle w:val="BodyText"/>
      </w:pPr>
      <w:r>
        <w:rPr>
          <w:bCs/>
          <w:b/>
        </w:rPr>
        <w:t xml:space="preserve">M0 (controls baseline)</w:t>
      </w:r>
      <w:r>
        <w:t xml:space="preserve">:</w:t>
      </w:r>
      <w:r>
        <w:t xml:space="preserve"> </w:t>
      </w:r>
      <w:r>
        <w:t xml:space="preserve">ln_LP_it =</w:t>
      </w:r>
      <w:r>
        <w:t xml:space="preserve"> </w:t>
      </w:r>
      <m:oMath>
        <m:r>
          <m:t>α</m:t>
        </m:r>
      </m:oMath>
      <w:r>
        <w:t xml:space="preserve"> </w:t>
      </w:r>
      <w:r>
        <w:t xml:space="preserve">+</w:t>
      </w:r>
      <w:r>
        <w:t xml:space="preserve"> </w:t>
      </w:r>
      <m:oMath>
        <m:r>
          <m:t>γ</m:t>
        </m:r>
      </m:oMath>
      <w:r>
        <w:t xml:space="preserve">₁ ln_size_it +</w:t>
      </w:r>
      <w:r>
        <w:t xml:space="preserve"> </w:t>
      </w:r>
      <m:oMath>
        <m:r>
          <m:t>γ</m:t>
        </m:r>
      </m:oMath>
      <w:r>
        <w:t xml:space="preserve">₂ firm_age_it +</w:t>
      </w:r>
      <w:r>
        <w:t xml:space="preserve"> </w:t>
      </w:r>
      <m:oMath>
        <m:r>
          <m:t>γ</m:t>
        </m:r>
      </m:oMath>
      <w:r>
        <w:t xml:space="preserve">₃ foreign_own_pct_it + δ_c +</w:t>
      </w:r>
      <w:r>
        <w:t xml:space="preserve"> </w:t>
      </w:r>
      <m:oMath>
        <m:r>
          <m:t>λ</m:t>
        </m:r>
      </m:oMath>
      <w:r>
        <w:t xml:space="preserve">_t +</w:t>
      </w:r>
      <w:r>
        <w:t xml:space="preserve"> </w:t>
      </w:r>
      <m:oMath>
        <m:r>
          <m:t>ϵ</m:t>
        </m:r>
      </m:oMath>
      <w:r>
        <w:t xml:space="preserve">_it</w:t>
      </w:r>
    </w:p>
    <w:p>
      <w:pPr>
        <w:pStyle w:val="BodyText"/>
      </w:pPr>
      <w:r>
        <w:rPr>
          <w:bCs/>
          <w:b/>
        </w:rPr>
        <w:t xml:space="preserve">M1 (linear FSTS, FIP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M2 (quadratic FSTS, curvature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M3 (capabilities, moderation null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sSub>
          <m:e>
            <m:r>
              <m:t>β</m:t>
            </m:r>
          </m:e>
          <m:sub>
            <m:r>
              <m:t>3</m:t>
            </m:r>
          </m:sub>
        </m:sSub>
      </m:oMath>
      <w:r>
        <w:t xml:space="preserve"> </w:t>
      </w:r>
      <m:oMath>
        <m:sSub>
          <m:e>
            <m:r>
              <m:rPr>
                <m:nor/>
                <m:sty m:val="p"/>
              </m:rPr>
              <m:t>TCI</m:t>
            </m:r>
          </m:e>
          <m:sub>
            <m:r>
              <m:t>z</m:t>
            </m:r>
          </m:sub>
        </m:sSub>
      </m:oMath>
      <w:r>
        <w:t xml:space="preserve">_it +</w:t>
      </w:r>
      <w:r>
        <w:t xml:space="preserve"> </w:t>
      </w:r>
      <m:oMath>
        <m:sSub>
          <m:e>
            <m:r>
              <m:t>β</m:t>
            </m:r>
          </m:e>
          <m:sub>
            <m:r>
              <m:t>4</m:t>
            </m:r>
          </m:sub>
        </m:sSub>
      </m:oMath>
      <w:r>
        <w:t xml:space="preserve"> </w:t>
      </w:r>
      <m:oMath>
        <m:sSub>
          <m:e>
            <m:r>
              <m:rPr>
                <m:nor/>
                <m:sty m:val="p"/>
              </m:rPr>
              <m:t>DAI</m:t>
            </m:r>
          </m:e>
          <m:sub>
            <m:r>
              <m:t>z</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t xml:space="preserve">where δ_c denotes country fixed effects,</w:t>
      </w:r>
      <w:r>
        <w:t xml:space="preserve"> </w:t>
      </w:r>
      <m:oMath>
        <m:r>
          <m:t>λ</m:t>
        </m:r>
      </m:oMath>
      <w:r>
        <w:t xml:space="preserve">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This study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30"/>
    <w:bookmarkEnd w:id="31"/>
    <w:bookmarkStart w:id="38" w:name="results"/>
    <w:p>
      <w:pPr>
        <w:pStyle w:val="Heading2"/>
      </w:pPr>
      <w:r>
        <w:t xml:space="preserve">4. Results</w:t>
      </w:r>
    </w:p>
    <w:bookmarkStart w:id="32" w:name="X7564ed8aad7671c5c72c9705a49a1794e1c47b3"/>
    <w:p>
      <w:pPr>
        <w:pStyle w:val="Heading3"/>
      </w:pPr>
      <w:r>
        <w:t xml:space="preserve">4.1 Sample Description and Preliminary Evidence</w:t>
      </w:r>
    </w:p>
    <w:p>
      <w:pPr>
        <w:pStyle w:val="FirstParagraph"/>
      </w:pPr>
      <w:r>
        <w:t xml:space="preserve">The analysis sample spans 1,469 firms across nine Pacific and Indian Ocean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w:t>
      </w:r>
      <w:r>
        <w:t xml:space="preserve"> </w:t>
      </w:r>
      <m:oMath>
        <m:sSup>
          <m:e>
            <m:r>
              <m:t>R</m:t>
            </m:r>
          </m:e>
          <m:sup>
            <m:r>
              <m:t>2</m:t>
            </m:r>
          </m:sup>
        </m:sSup>
      </m:oMath>
      <w:r>
        <w:t xml:space="preserve"> </w:t>
      </w:r>
      <w:r>
        <w:t xml:space="preserve">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2"/>
    <w:bookmarkStart w:id="33" w:name="X6abbfa22e96478212f3491c4cdbfe1ca192aca8"/>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w:t>
      </w:r>
      <w:r>
        <w:t xml:space="preserve"> </w:t>
      </w:r>
      <m:oMath>
        <m:sSup>
          <m:e>
            <m:r>
              <m:t>R</m:t>
            </m:r>
          </m:e>
          <m:sup>
            <m:r>
              <m:t>2</m:t>
            </m:r>
          </m:sup>
        </m:sSup>
      </m:oMath>
      <w:r>
        <w:t xml:space="preserve"> </w:t>
      </w:r>
      <w:r>
        <w:t xml:space="preserve">of 0.7992, and adding</w:t>
      </w:r>
      <w:r>
        <w:t xml:space="preserve"> </w:t>
      </w:r>
      <m:oMath>
        <m:sSub>
          <m:e>
            <m:r>
              <m:rPr>
                <m:nor/>
                <m:sty m:val="p"/>
              </m:rPr>
              <m:t>FSTS</m:t>
            </m:r>
          </m:e>
          <m:sub>
            <m:r>
              <m:t>c</m:t>
            </m:r>
          </m:sub>
        </m:sSub>
      </m:oMath>
      <w:r>
        <w:t xml:space="preserve"> </w:t>
      </w:r>
      <w:r>
        <w:t xml:space="preserve">in M1 marginally increases</w:t>
      </w:r>
      <w:r>
        <w:t xml:space="preserve"> </w:t>
      </w:r>
      <m:oMath>
        <m:sSup>
          <m:e>
            <m:r>
              <m:t>R</m:t>
            </m:r>
          </m:e>
          <m:sup>
            <m:r>
              <m:t>2</m:t>
            </m:r>
          </m:sup>
        </m:sSup>
      </m:oMath>
      <w:r>
        <w:t xml:space="preserve"> </w:t>
      </w:r>
      <w:r>
        <w:t xml:space="preserve">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w:t>
      </w:r>
      <m:oMath>
        <m:r>
          <m:t>β</m:t>
        </m:r>
      </m:oMath>
      <w:r>
        <w:t xml:space="preserve"> </w:t>
      </w:r>
      <w:r>
        <w:t xml:space="preserve">= +0.009, p =.052); foreign ownership shows a marginally negative association (</w:t>
      </w:r>
      <m:oMath>
        <m:r>
          <m:t>β</m:t>
        </m:r>
      </m:oMath>
      <w:r>
        <w:t xml:space="preserve"> </w:t>
      </w:r>
      <w:r>
        <w:t xml:space="preserve">= −0.006, p =.056), perhaps reflecting thin foreign investment efficiency in SIDS contexts; firm size is positive but non-significant (</w:t>
      </w:r>
      <m:oMath>
        <m:r>
          <m:t>β</m:t>
        </m:r>
      </m:oMath>
      <w:r>
        <w:t xml:space="preserve"> </w:t>
      </w:r>
      <w:r>
        <w:t xml:space="preserve">= +0.082, p =.242).</w:t>
      </w:r>
    </w:p>
    <w:bookmarkEnd w:id="33"/>
    <w:bookmarkStart w:id="34" w:name="Xc0a88d50ea7b5c27a76a85a44afe4aa278d46cd"/>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w:t>
      </w:r>
      <w:r>
        <w:t xml:space="preserve"> </w:t>
      </w:r>
      <m:oMath>
        <m:sSubSup>
          <m:e>
            <m:r>
              <m:rPr>
                <m:nor/>
                <m:sty m:val="p"/>
              </m:rPr>
              <m:t>FSTS</m:t>
            </m:r>
          </m:e>
          <m:sub>
            <m:r>
              <m:t>c</m:t>
            </m:r>
          </m:sub>
          <m:sup>
            <m:r>
              <m:t>2</m:t>
            </m:r>
          </m:sup>
        </m:sSubSup>
      </m:oMath>
      <w:r>
        <w:t xml:space="preserve"> </w:t>
      </w:r>
      <w:r>
        <w:t xml:space="preserve">to test whether the negative I-P relationship is eventually reversed, i.e., whether there is any inverted-U pattern with the positive portion below the data range.</w:t>
      </w:r>
    </w:p>
    <w:p>
      <w:pPr>
        <w:pStyle w:val="BodyText"/>
      </w:pPr>
      <w:r>
        <w:t xml:space="preserve">The results are:</w:t>
      </w:r>
      <w:r>
        <w:t xml:space="preserve"> </w:t>
      </w:r>
      <m:oMath>
        <m:r>
          <m:t>β</m:t>
        </m:r>
      </m:oMath>
      <w:r>
        <w:t xml:space="preserve">(</w:t>
      </w:r>
      <m:oMath>
        <m:sSub>
          <m:e>
            <m:r>
              <m:rPr>
                <m:nor/>
                <m:sty m:val="p"/>
              </m:rPr>
              <m:t>FSTS</m:t>
            </m:r>
          </m:e>
          <m:sub>
            <m:r>
              <m:t>c</m:t>
            </m:r>
          </m:sub>
        </m:sSub>
      </m:oMath>
      <w:r>
        <w:t xml:space="preserve">) = −0.925, SE = 0.828, p =.265 (n.s.)</w:t>
      </w:r>
      <w:r>
        <w:t xml:space="preserve"> </w:t>
      </w:r>
      <m:oMath>
        <m:r>
          <m:t>β</m:t>
        </m:r>
      </m:oMath>
      <w:r>
        <w:t xml:space="preserve">(</w:t>
      </w:r>
      <m:oMath>
        <m:sSubSup>
          <m:e>
            <m:r>
              <m:rPr>
                <m:nor/>
                <m:sty m:val="p"/>
              </m:rPr>
              <m:t>FSTS</m:t>
            </m:r>
          </m:e>
          <m:sub>
            <m:r>
              <m:t>c</m:t>
            </m:r>
          </m:sub>
          <m:sup>
            <m:r>
              <m:t>2</m:t>
            </m:r>
          </m:sup>
        </m:sSubSup>
      </m:oMath>
      <w:r>
        <w:t xml:space="preserve">) = +0.649, SE = 0.980, p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2"/>
        </w:numPr>
        <w:pStyle w:val="Compact"/>
      </w:pPr>
      <w:r>
        <w:rPr>
          <w:bCs/>
          <w:b/>
        </w:rPr>
        <w:t xml:space="preserve">C1</w:t>
      </w:r>
      <w:r>
        <w:t xml:space="preserve"> </w:t>
      </w:r>
      <w:r>
        <w:t xml:space="preserve">(positive slope at low FSTS):</w:t>
      </w:r>
      <w:r>
        <w:t xml:space="preserve"> </w:t>
      </w:r>
      <m:oMath>
        <m:r>
          <m:t>β</m:t>
        </m:r>
      </m:oMath>
      <w:r>
        <w:t xml:space="preserve">(</w:t>
      </w:r>
      <m:oMath>
        <m:sSub>
          <m:e>
            <m:r>
              <m:rPr>
                <m:nor/>
                <m:sty m:val="p"/>
              </m:rPr>
              <m:t>FSTS</m:t>
            </m:r>
          </m:e>
          <m:sub>
            <m:r>
              <m:t>c</m:t>
            </m:r>
          </m:sub>
        </m:sSub>
      </m:oMath>
      <w:r>
        <w:t xml:space="preserve">) = −0.925 (</w:t>
      </w:r>
      <w:r>
        <w:rPr>
          <w:iCs/>
          <w:i/>
        </w:rPr>
        <w:t xml:space="preserve">p</w:t>
      </w:r>
      <w:r>
        <w:t xml:space="preserve"> </w:t>
      </w:r>
      <w:r>
        <w:t xml:space="preserve">=.265),</w:t>
      </w:r>
      <w:r>
        <w:t xml:space="preserve"> </w:t>
      </w:r>
      <w:r>
        <w:rPr>
          <w:bCs/>
          <w:b/>
        </w:rPr>
        <w:t xml:space="preserve">not significant and negative in sign</w:t>
      </w:r>
      <w:r>
        <w:t xml:space="preserve">; no ascending limb at low FSTS values</w:t>
      </w:r>
    </w:p>
    <w:p>
      <w:pPr>
        <w:numPr>
          <w:ilvl w:val="0"/>
          <w:numId w:val="1002"/>
        </w:numPr>
        <w:pStyle w:val="Compact"/>
      </w:pPr>
      <w:r>
        <w:rPr>
          <w:bCs/>
          <w:b/>
        </w:rPr>
        <w:t xml:space="preserve">C2</w:t>
      </w:r>
      <w:r>
        <w:t xml:space="preserve"> </w:t>
      </w:r>
      <w:r>
        <w:t xml:space="preserve">(negative curvature</w:t>
      </w:r>
      <w:r>
        <w:t xml:space="preserve"> </w:t>
      </w:r>
      <m:oMath>
        <m:sSub>
          <m:e>
            <m:r>
              <m:t>β</m:t>
            </m:r>
          </m:e>
          <m:sub>
            <m:r>
              <m:t>2</m:t>
            </m:r>
          </m:sub>
        </m:sSub>
      </m:oMath>
      <w:r>
        <w:t xml:space="preserve"> </w:t>
      </w:r>
      <w:r>
        <w:t xml:space="preserve">&lt; 0):</w:t>
      </w:r>
      <w:r>
        <w:t xml:space="preserve"> </w:t>
      </w:r>
      <m:oMath>
        <m:r>
          <m:t>β</m:t>
        </m:r>
      </m:oMath>
      <w:r>
        <w:t xml:space="preserve">(</w:t>
      </w:r>
      <m:oMath>
        <m:sSubSup>
          <m:e>
            <m:r>
              <m:rPr>
                <m:nor/>
                <m:sty m:val="p"/>
              </m:rPr>
              <m:t>FSTS</m:t>
            </m:r>
          </m:e>
          <m:sub>
            <m:r>
              <m:t>c</m:t>
            </m:r>
          </m:sub>
          <m:sup>
            <m:r>
              <m:t>2</m:t>
            </m:r>
          </m:sup>
        </m:sSubSup>
      </m:oMath>
      <w:r>
        <w:t xml:space="preserve">) = +0.649 (</w:t>
      </w:r>
      <w:r>
        <w:rPr>
          <w:iCs/>
          <w:i/>
        </w:rPr>
        <w:t xml:space="preserve">p</w:t>
      </w:r>
      <w:r>
        <w:t xml:space="preserve"> </w:t>
      </w:r>
      <w:r>
        <w:t xml:space="preserve">=.508),</w:t>
      </w:r>
      <w:r>
        <w:t xml:space="preserve"> </w:t>
      </w:r>
      <w:r>
        <w:rPr>
          <w:bCs/>
          <w:b/>
        </w:rPr>
        <w:t xml:space="preserve">not significant; positive sign indicates U-shape, not inverted-U</w:t>
      </w:r>
    </w:p>
    <w:p>
      <w:pPr>
        <w:numPr>
          <w:ilvl w:val="0"/>
          <w:numId w:val="1002"/>
        </w:numPr>
        <w:pStyle w:val="Compact"/>
      </w:pPr>
      <w:r>
        <w:rPr>
          <w:bCs/>
          <w:b/>
        </w:rPr>
        <w:t xml:space="preserve">C3</w:t>
      </w:r>
      <w:r>
        <w:t xml:space="preserve"> </w:t>
      </w:r>
      <w:r>
        <w:t xml:space="preserve">(turning point within data range): TP* = −(−0.925) / (2</w:t>
      </w:r>
      <w:r>
        <w:t xml:space="preserve"> </w:t>
      </w:r>
      <m:oMath>
        <m:r>
          <m:rPr>
            <m:sty m:val="p"/>
          </m:rPr>
          <m:t>×</m:t>
        </m:r>
      </m:oMath>
      <w:r>
        <w:t xml:space="preserve"> </w:t>
      </w:r>
      <w:r>
        <w:t xml:space="preserve">0.649) = 0.712,</w:t>
      </w:r>
      <w:r>
        <w:t xml:space="preserve"> </w:t>
      </w:r>
      <w:r>
        <w:rPr>
          <w:bCs/>
          <w:b/>
        </w:rPr>
        <w:t xml:space="preserve">implied turning point lies outside the observed sample maximum (</w:t>
      </w:r>
      <m:oMath>
        <m:sSub>
          <m:e>
            <m:r>
              <m:rPr>
                <m:nor/>
                <m:sty m:val="p"/>
              </m:rPr>
              <m:t>FSTS</m:t>
            </m:r>
          </m:e>
          <m:sub>
            <m:r>
              <m:t>m</m:t>
            </m:r>
          </m:sub>
        </m:sSub>
      </m:oMath>
      <w:r>
        <w:rPr>
          <w:bCs/>
          <w:b/>
        </w:rPr>
        <w:t xml:space="preserve">ax</w:t>
      </w:r>
      <w:r>
        <w:rPr>
          <w:bCs/>
          <w:b/>
        </w:rPr>
        <w:t xml:space="preserve"> </w:t>
      </w:r>
      <m:oMath>
        <m:r>
          <m:rPr>
            <m:sty m:val="p"/>
          </m:rPr>
          <m:t>≈</m:t>
        </m:r>
      </m:oMath>
      <w:r>
        <w:rPr>
          <w:bCs/>
          <w:b/>
        </w:rPr>
        <w:t xml:space="preserve"> </w:t>
      </w:r>
      <w:r>
        <w:rPr>
          <w:bCs/>
          <w:b/>
        </w:rPr>
        <w:t xml:space="preserve">0.80, but neither</w:t>
      </w:r>
      <w:r>
        <w:rPr>
          <w:bCs/>
          <w:b/>
        </w:rPr>
        <w:t xml:space="preserve"> </w:t>
      </w:r>
      <m:oMath>
        <m:sSub>
          <m:e>
            <m:r>
              <m:t>β</m:t>
            </m:r>
          </m:e>
          <m:sub>
            <m:r>
              <m:t>1</m:t>
            </m:r>
          </m:sub>
        </m:sSub>
      </m:oMath>
      <w:r>
        <w:rPr>
          <w:bCs/>
          <w:b/>
        </w:rPr>
        <w:t xml:space="preserve"> </w:t>
      </w:r>
      <w:r>
        <w:rPr>
          <w:bCs/>
          <w:b/>
        </w:rPr>
        <w:t xml:space="preserve">nor</w:t>
      </w:r>
      <w:r>
        <w:rPr>
          <w:bCs/>
          <w:b/>
        </w:rPr>
        <w:t xml:space="preserve"> </w:t>
      </w:r>
      <m:oMath>
        <m:sSub>
          <m:e>
            <m:r>
              <m:t>β</m:t>
            </m:r>
          </m:e>
          <m:sub>
            <m:r>
              <m:t>2</m:t>
            </m:r>
          </m:sub>
        </m:sSub>
      </m:oMath>
      <w:r>
        <w:rPr>
          <w:bCs/>
          <w:b/>
        </w:rPr>
        <w:t xml:space="preserve"> </w:t>
      </w:r>
      <w:r>
        <w:rPr>
          <w:bCs/>
          <w:b/>
        </w:rPr>
        <w:t xml:space="preserve">is statistically significant)</w:t>
      </w:r>
    </w:p>
    <w:p>
      <w:pPr>
        <w:numPr>
          <w:ilvl w:val="0"/>
          <w:numId w:val="1002"/>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=.941,</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4"/>
    <w:bookmarkStart w:id="35" w:name="robustness"/>
    <w:p>
      <w:pPr>
        <w:pStyle w:val="Heading3"/>
      </w:pPr>
      <w:r>
        <w:t xml:space="preserve">4.4 Robustness</w:t>
      </w:r>
    </w:p>
    <w:p>
      <w:pPr>
        <w:pStyle w:val="FirstParagraph"/>
      </w:pPr>
      <w:r>
        <w:t xml:space="preserve">This study examines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m:oMath>
        <m:r>
          <m:t>β</m:t>
        </m:r>
      </m:oMath>
      <w:r>
        <w:t xml:space="preserve">(FSTS)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m:oMath>
        <m:r>
          <m:t>β</m:t>
        </m:r>
      </m:oMath>
      <w:r>
        <w:t xml:space="preserve">(FSTS)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Specification M_comoros_excluded (Comoros sensitivity)</w:t>
      </w:r>
      <w:r>
        <w:t xml:space="preserve">: Comoros is the only Indian Ocean SIDS in the sample (117 of 1,469 firms, 8.0%); the remaining eight economies are all Pacific. Re-estimating the full M1/M2/M3 pipeline with sample-specific FSTS centring on the Pacific-only subsample (N = 1,352) yields:</w:t>
      </w:r>
    </w:p>
    <w:p>
      <w:pPr>
        <w:pStyle w:val="BodyText"/>
      </w:pPr>
      <m:oMath>
        <m:r>
          <m:t>β</m:t>
        </m:r>
      </m:oMath>
      <w:r>
        <w:t xml:space="preserve">(FSTS</w:t>
      </w:r>
      <m:oMath>
        <m:sSub>
          <m:e>
            <m:r>
              <m:t>​</m:t>
            </m:r>
          </m:e>
          <m:sub>
            <m:r>
              <m:t>c</m:t>
            </m:r>
          </m:sub>
        </m:sSub>
      </m:oMath>
      <w:r>
        <w:t xml:space="preserve">) in M1 =</w:t>
      </w:r>
      <w:r>
        <w:t xml:space="preserve"> </w:t>
      </w:r>
      <w:r>
        <w:rPr>
          <w:bCs/>
          <w:b/>
        </w:rPr>
        <w:t xml:space="preserve">−0.357</w:t>
      </w:r>
      <w:r>
        <w:t xml:space="preserve">, SE = 0.196, p = .068 (marginal); M2 quadratic:</w:t>
      </w:r>
      <w:r>
        <w:t xml:space="preserve"> </w:t>
      </w:r>
      <m:oMath>
        <m:r>
          <m:t>β</m:t>
        </m:r>
      </m:oMath>
      <w:r>
        <w:t xml:space="preserve">(FSTS</w:t>
      </w:r>
      <m:oMath>
        <m:sSub>
          <m:e>
            <m:r>
              <m:t>​</m:t>
            </m:r>
          </m:e>
          <m:sub>
            <m:r>
              <m:t>c</m:t>
            </m:r>
          </m:sub>
        </m:sSub>
      </m:oMath>
      <w:r>
        <w:t xml:space="preserve">) = −1.059 (NS),</w:t>
      </w:r>
      <w:r>
        <w:t xml:space="preserve"> </w:t>
      </w:r>
      <m:oMath>
        <m:r>
          <m:t>β</m:t>
        </m:r>
      </m:oMath>
      <w:r>
        <w:t xml:space="preserve">(FSTS</w:t>
      </w:r>
      <m:oMath>
        <m:sSubSup>
          <m:e>
            <m:r>
              <m:t>​</m:t>
            </m:r>
          </m:e>
          <m:sub>
            <m:r>
              <m:t>c</m:t>
            </m:r>
          </m:sub>
          <m:sup>
            <m:r>
              <m:t>2</m:t>
            </m:r>
          </m:sup>
        </m:sSubSup>
      </m:oMath>
      <w:r>
        <w:t xml:space="preserve">) = +0.886 (NS); M3 with capability controls:</w:t>
      </w:r>
      <w:r>
        <w:t xml:space="preserve"> </w:t>
      </w:r>
      <m:oMath>
        <m:r>
          <m:t>β</m:t>
        </m:r>
      </m:oMath>
      <w:r>
        <w:t xml:space="preserve">(FSTS</w:t>
      </w:r>
      <m:oMath>
        <m:sSub>
          <m:e>
            <m:r>
              <m:t>​</m:t>
            </m:r>
          </m:e>
          <m:sub>
            <m:r>
              <m:t>c</m:t>
            </m:r>
          </m:sub>
        </m:sSub>
      </m:oMath>
      <w:r>
        <w:t xml:space="preserve">) = −1.136 (p = .188).</w:t>
      </w:r>
    </w:p>
    <w:p>
      <w:pPr>
        <w:pStyle w:val="BodyText"/>
      </w:pPr>
      <w:r>
        <w:t xml:space="preserve">The substantive FIP reading is preserved: the M1 coefficient remains negative with the same approximate magnitude, the quadratic term is null in both samples (no inverted-U turning point), and the capability moderators remain null. The M1 significance attenuates from</w:t>
      </w:r>
      <w:r>
        <w:t xml:space="preserve"> </w:t>
      </w:r>
      <m:oMath>
        <m:r>
          <m:t>p</m:t>
        </m:r>
        <m:r>
          <m:rPr>
            <m:sty m:val="p"/>
          </m:rPr>
          <m:t>=</m:t>
        </m:r>
        <m:r>
          <m:t>.032</m:t>
        </m:r>
      </m:oMath>
      <w:r>
        <w:t xml:space="preserve"> </w:t>
      </w:r>
      <w:r>
        <w:t xml:space="preserve">(full sample,</w:t>
      </w:r>
      <w:r>
        <w:t xml:space="preserve"> </w:t>
      </w:r>
      <m:oMath>
        <m:r>
          <m:t>β</m:t>
        </m:r>
        <m:r>
          <m:rPr>
            <m:sty m:val="p"/>
          </m:rPr>
          <m:t>=</m:t>
        </m:r>
        <m:r>
          <m:rPr>
            <m:sty m:val="p"/>
          </m:rPr>
          <m:t>−</m:t>
        </m:r>
        <m:r>
          <m:t>0.404</m:t>
        </m:r>
      </m:oMath>
      <w:r>
        <w:t xml:space="preserve">, N = 1,469) to</w:t>
      </w:r>
      <w:r>
        <w:t xml:space="preserve"> </w:t>
      </w:r>
      <m:oMath>
        <m:r>
          <m:t>p</m:t>
        </m:r>
        <m:r>
          <m:rPr>
            <m:sty m:val="p"/>
          </m:rPr>
          <m:t>=</m:t>
        </m:r>
        <m:r>
          <m:t>.068</m:t>
        </m:r>
      </m:oMath>
      <w:r>
        <w:t xml:space="preserve"> </w:t>
      </w:r>
      <w:r>
        <w:t xml:space="preserve">(Pacific-only,</w:t>
      </w:r>
      <w:r>
        <w:t xml:space="preserve"> </w:t>
      </w:r>
      <m:oMath>
        <m:r>
          <m:t>β</m:t>
        </m:r>
        <m:r>
          <m:rPr>
            <m:sty m:val="p"/>
          </m:rPr>
          <m:t>=</m:t>
        </m:r>
        <m:r>
          <m:rPr>
            <m:sty m:val="p"/>
          </m:rPr>
          <m:t>−</m:t>
        </m:r>
        <m:r>
          <m:t>0.357</m:t>
        </m:r>
      </m:oMath>
      <w:r>
        <w:t xml:space="preserve">, N = 1,352). The attenuation is consistent with the loss of 8.0 % of analysis-sample firms that all share the FIP characteristic, rather than indicating that the Indian Ocean economy was driving an artefactual FIP pattern. The structural interpretation (negative FSTS, no curvature, null moderators) is robust to the Indian Ocean exclusion; the title and abstract therefore retain the inclusive</w:t>
      </w:r>
      <w:r>
        <w:t xml:space="preserve"> </w:t>
      </w:r>
      <w:r>
        <w:t xml:space="preserve">“</w:t>
      </w:r>
      <w:r>
        <w:t xml:space="preserve">Pacific and Indian Ocean SIDS</w:t>
      </w:r>
      <w:r>
        <w:t xml:space="preserve">”</w:t>
      </w:r>
      <w:r>
        <w:t xml:space="preserve"> </w:t>
      </w:r>
      <w:r>
        <w:t xml:space="preserve">framing already adopted in Phase A1 (commit</w:t>
      </w:r>
      <w:r>
        <w:t xml:space="preserve"> </w:t>
      </w:r>
      <w:r>
        <w:rPr>
          <w:rStyle w:val="VerbatimChar"/>
        </w:rPr>
        <w:t xml:space="preserve">677a91e</w:t>
      </w:r>
      <w:r>
        <w:t xml:space="preserve">). Replication:</w:t>
      </w:r>
      <w:r>
        <w:t xml:space="preserve"> </w:t>
      </w:r>
      <w:r>
        <w:rPr>
          <w:rStyle w:val="VerbatimChar"/>
        </w:rPr>
        <w:t xml:space="preserve">p8/replication/do/02_p8_comoros_excluded.do</w:t>
      </w:r>
      <w:r>
        <w:t xml:space="preserve"> </w:t>
      </w:r>
      <w:r>
        <w:t xml:space="preserve">(Stata, mirrors the Python prototype 2026-06-03; coefficient targets documented in the do-file header).</w:t>
      </w:r>
    </w:p>
    <w:p>
      <w:pPr>
        <w:pStyle w:val="BodyText"/>
      </w:pPr>
      <w:r>
        <w:rPr>
          <w:bCs/>
          <w:b/>
        </w:rPr>
        <w:t xml:space="preserve">Exporters-only subsample</w:t>
      </w:r>
      <w:r>
        <w:t xml:space="preserve"> </w:t>
      </w:r>
      <w:r>
        <w:t xml:space="preserve">(N = 187): Among the 187 active exporters (FSTS &gt; 0), the negative effect is: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5"/>
    <w:bookmarkStart w:id="36" w:name="capability-null-results-h2"/>
    <w:p>
      <w:pPr>
        <w:pStyle w:val="Heading3"/>
      </w:pPr>
      <w:r>
        <w:t xml:space="preserve">4.5 Capability Null Results (H2)</w:t>
      </w:r>
    </w:p>
    <w:p>
      <w:pPr>
        <w:pStyle w:val="FirstParagraph"/>
      </w:pPr>
      <w:r>
        <w:rPr>
          <w:bCs/>
          <w:b/>
        </w:rPr>
        <w:t xml:space="preserve">M3</w:t>
      </w:r>
      <w:r>
        <w:t xml:space="preserve"> </w:t>
      </w:r>
      <w:r>
        <w:t xml:space="preserve">introduces</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as additional regressors to test H2. Neither variable achieves statistical significance:</w:t>
      </w:r>
    </w:p>
    <w:p>
      <w:pPr>
        <w:pStyle w:val="BodyText"/>
      </w:pPr>
      <m:oMath>
        <m:r>
          <m:t>β</m:t>
        </m:r>
      </m:oMath>
      <w:r>
        <w:t xml:space="preserve">(</w:t>
      </w:r>
      <m:oMath>
        <m:sSub>
          <m:e>
            <m:r>
              <m:rPr>
                <m:nor/>
                <m:sty m:val="p"/>
              </m:rPr>
              <m:t>TCI</m:t>
            </m:r>
          </m:e>
          <m:sub>
            <m:r>
              <m:t>z</m:t>
            </m:r>
          </m:sub>
        </m:sSub>
      </m:oMath>
      <w:r>
        <w:t xml:space="preserve">) = +0.058, SE = 0.085, p =.495 (n.s.)</w:t>
      </w:r>
      <w:r>
        <w:t xml:space="preserve"> </w:t>
      </w:r>
      <m:oMath>
        <m:r>
          <m:t>β</m:t>
        </m:r>
      </m:oMath>
      <w:r>
        <w:t xml:space="preserve">(</w:t>
      </w:r>
      <m:oMath>
        <m:sSub>
          <m:e>
            <m:r>
              <m:rPr>
                <m:nor/>
                <m:sty m:val="p"/>
              </m:rPr>
              <m:t>DAI</m:t>
            </m:r>
          </m:e>
          <m:sub>
            <m:r>
              <m:t>z</m:t>
            </m:r>
          </m:sub>
        </m:sSub>
      </m:oMath>
      <w:r>
        <w:t xml:space="preserve">) = +0.062, SE = 0.073, p =.402 (n.s.)</w:t>
      </w:r>
    </w:p>
    <w:p>
      <w:pPr>
        <w:pStyle w:val="BodyText"/>
      </w:pPr>
      <w:r>
        <w:t xml:space="preserve">The FIP coefficient (</w:t>
      </w:r>
      <m:oMath>
        <m:sSub>
          <m:e>
            <m:r>
              <m:rPr>
                <m:nor/>
                <m:sty m:val="p"/>
              </m:rPr>
              <m:t>FSTS</m:t>
            </m:r>
          </m:e>
          <m:sub>
            <m:r>
              <m:t>c</m:t>
            </m:r>
          </m:sub>
        </m:sSub>
      </m:oMath>
      <w:r>
        <w:t xml:space="preserve">) remains negative but loses significance in M3 (</w:t>
      </w:r>
      <m:oMath>
        <m:r>
          <m:t>β</m:t>
        </m:r>
      </m:oMath>
      <w:r>
        <w:t xml:space="preserve"> </w:t>
      </w:r>
      <w:r>
        <w:t xml:space="preserve">= −0.974, p =.252), likely reflecting the substantially reduced sample (N = 526 for M3, versus N = 1,469 for M1, due to missing capability variables). The direction of the</w:t>
      </w:r>
      <w:r>
        <w:t xml:space="preserve"> </w:t>
      </w:r>
      <m:oMath>
        <m:sSub>
          <m:e>
            <m:r>
              <m:rPr>
                <m:nor/>
                <m:sty m:val="p"/>
              </m:rPr>
              <m:t>FSTS</m:t>
            </m:r>
          </m:e>
          <m:sub>
            <m:r>
              <m:t>c</m:t>
            </m:r>
          </m:sub>
        </m:sSub>
      </m:oMath>
      <w:r>
        <w:t xml:space="preserve"> </w:t>
      </w:r>
      <w:r>
        <w:t xml:space="preserve">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w:t>
      </w:r>
      <m:oMath>
        <m:sSub>
          <m:e>
            <m:r>
              <m:rPr>
                <m:nor/>
                <m:sty m:val="p"/>
              </m:rPr>
              <m:t>TCI</m:t>
            </m:r>
          </m:e>
          <m:sub>
            <m:r>
              <m:t>z</m:t>
            </m:r>
          </m:sub>
        </m:sSub>
      </m:oMath>
      <w:r>
        <w:t xml:space="preserve">:</w:t>
      </w:r>
      <w:r>
        <w:t xml:space="preserve"> </w:t>
      </w:r>
      <m:oMath>
        <m:r>
          <m:t>β</m:t>
        </m:r>
      </m:oMath>
      <w:r>
        <w:t xml:space="preserve"> </w:t>
      </w:r>
      <w:r>
        <w:t xml:space="preserve">= +0.058, SE = 0.085, p =.495) and digital adoption (</w:t>
      </w:r>
      <m:oMath>
        <m:sSub>
          <m:e>
            <m:r>
              <m:rPr>
                <m:nor/>
                <m:sty m:val="p"/>
              </m:rPr>
              <m:t>DAI</m:t>
            </m:r>
          </m:e>
          <m:sub>
            <m:r>
              <m:t>z</m:t>
            </m:r>
          </m:sub>
        </m:sSub>
      </m:oMath>
      <w:r>
        <w:t xml:space="preserve">:</w:t>
      </w:r>
      <w:r>
        <w:t xml:space="preserve"> </w:t>
      </w:r>
      <m:oMath>
        <m:r>
          <m:t>β</m:t>
        </m:r>
      </m:oMath>
      <w:r>
        <w:t xml:space="preserve"> </w:t>
      </w:r>
      <w:r>
        <w:t xml:space="preserve">= +0.062, SE = 0.073, p =.402) do not statistically significantly moderate the I-P relationship in Pacific SIDS, consistent with the FIP mechanism overwhelming capability effects in structurally constrained SIDS economies. The positive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6"/>
    <w:bookmarkStart w:id="37" w:name="summary"/>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w:t>
      </w:r>
      <w:r>
        <w:t xml:space="preserve"> </w:t>
      </w:r>
      <m:oMath>
        <m:r>
          <m:t>β</m:t>
        </m:r>
      </m:oMath>
      <w:r>
        <w:t xml:space="preserve"> </w:t>
      </w:r>
      <w:r>
        <w:t xml:space="preserve">= −0.404, p =.032); (ii) no significant quadratic curvature or turning point (M2: both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non-significant); (iii) robustly negative across four specifications (M_yearFE:</w:t>
      </w:r>
      <w:r>
        <w:t xml:space="preserve"> </w:t>
      </w:r>
      <m:oMath>
        <m:r>
          <m:t>β</m:t>
        </m:r>
      </m:oMath>
      <w:r>
        <w:t xml:space="preserve"> </w:t>
      </w:r>
      <w:r>
        <w:t xml:space="preserve">= −1.236, p &lt;.001; M_bivariate:</w:t>
      </w:r>
      <w:r>
        <w:t xml:space="preserve"> </w:t>
      </w:r>
      <m:oMath>
        <m:r>
          <m:t>β</m:t>
        </m:r>
      </m:oMath>
      <w:r>
        <w:t xml:space="preserve"> </w:t>
      </w:r>
      <w:r>
        <w:t xml:space="preserve">= −1.596, p &lt;.001; exporters-only:</w:t>
      </w:r>
      <w:r>
        <w:t xml:space="preserve"> </w:t>
      </w:r>
      <m:oMath>
        <m:r>
          <m:t>β</m:t>
        </m:r>
      </m:oMath>
      <w:r>
        <w:t xml:space="preserve"> </w:t>
      </w:r>
      <w:r>
        <w:t xml:space="preserve">= −0.901, p =.027); and (iv) null capability moderation (M3:</w:t>
      </w:r>
      <w:r>
        <w:t xml:space="preserve"> </w:t>
      </w:r>
      <m:oMath>
        <m:sSub>
          <m:e>
            <m:r>
              <m:rPr>
                <m:nor/>
                <m:sty m:val="p"/>
              </m:rPr>
              <m:t>TCI</m:t>
            </m:r>
          </m:e>
          <m:sub>
            <m:r>
              <m:t>z</m:t>
            </m:r>
          </m:sub>
        </m:sSub>
      </m:oMath>
      <w:r>
        <w:t xml:space="preserve"> </w:t>
      </w:r>
      <w:r>
        <w:t xml:space="preserve">p =.495;</w:t>
      </w:r>
      <w:r>
        <w:t xml:space="preserve"> </w:t>
      </w:r>
      <m:oMath>
        <m:sSub>
          <m:e>
            <m:r>
              <m:rPr>
                <m:nor/>
                <m:sty m:val="p"/>
              </m:rPr>
              <m:t>DAI</m:t>
            </m:r>
          </m:e>
          <m:sub>
            <m:r>
              <m:t>z</m:t>
            </m:r>
          </m:sub>
        </m:sSub>
      </m:oMath>
      <w:r>
        <w:t xml:space="preserve"> </w:t>
      </w:r>
      <w:r>
        <w:t xml:space="preserve">p =.402).</w:t>
      </w:r>
    </w:p>
    <w:p>
      <w:r>
        <w:pict>
          <v:rect style="width:0;height:1.5pt" o:hralign="center" o:hrstd="t" o:hr="t"/>
        </w:pict>
      </w:r>
    </w:p>
    <w:bookmarkEnd w:id="37"/>
    <w:bookmarkEnd w:id="38"/>
    <w:bookmarkStart w:id="44" w:name="discussion"/>
    <w:p>
      <w:pPr>
        <w:pStyle w:val="Heading2"/>
      </w:pPr>
      <w:r>
        <w:t xml:space="preserve">5. Discussion</w:t>
      </w:r>
    </w:p>
    <w:bookmarkStart w:id="39" w:name="Xd4d8ec5bfb52f8d3fe2e7c438ba390b633573fa"/>
    <w:p>
      <w:pPr>
        <w:pStyle w:val="Heading3"/>
      </w:pPr>
      <w:r>
        <w:t xml:space="preserve">5.1 FIP as Boundary Condition for the Inverted-U Paradigm</w:t>
      </w:r>
    </w:p>
    <w:p>
      <w:pPr>
        <w:pStyle w:val="FirstParagraph"/>
      </w:pPr>
      <w:r>
        <w:t xml:space="preserve">The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w:t>
      </w:r>
      <w:r>
        <w:t xml:space="preserve"> </w:t>
      </w:r>
      <w:r>
        <w:t xml:space="preserve">“</w:t>
      </w:r>
      <w:r>
        <w:t xml:space="preserve">cost of doing business</w:t>
      </w:r>
      <w:r>
        <w:t xml:space="preserve">”</w:t>
      </w:r>
      <w:r>
        <w:t xml:space="preserve"> </w:t>
      </w:r>
      <w:r>
        <w:t xml:space="preserve">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w:t>
      </w:r>
      <w:r>
        <w:t xml:space="preserve"> </w:t>
      </w:r>
      <w:r>
        <w:t xml:space="preserve">“</w:t>
      </w:r>
      <w:r>
        <w:t xml:space="preserve">weaker moderation</w:t>
      </w:r>
      <w:r>
        <w:t xml:space="preserve">”</w:t>
      </w:r>
      <w:r>
        <w:t xml:space="preserve"> </w:t>
      </w:r>
      <w:r>
        <w:t xml:space="preserve">to</w:t>
      </w:r>
      <w:r>
        <w:t xml:space="preserve"> </w:t>
      </w:r>
      <w:r>
        <w:t xml:space="preserve">“</w:t>
      </w:r>
      <w:r>
        <w:t xml:space="preserve">violated prerequisites,</w:t>
      </w:r>
      <w:r>
        <w:t xml:space="preserve">”</w:t>
      </w:r>
      <w:r>
        <w:t xml:space="preserve"> </w:t>
      </w:r>
      <w:r>
        <w:t xml:space="preserve">the sign of the I-P relationship reverses, not merely its magnitude.</w:t>
      </w:r>
    </w:p>
    <w:p>
      <w:pPr>
        <w:pStyle w:val="BodyText"/>
      </w:pPr>
      <w:r>
        <w:t xml:space="preserve">Read this way, conventional theory and FIP are the two poles of a single continuum rather than a rule and its exception. At the strong-institution pole, internationalization is internationalization-to-scale: a firm such as a Singaporean exporter operates on the long ascending limb where exporting optimizes profit margins, and the turning point arrives very late because the home base, trade costs, and institutions all permit scale and learning gains to be appropriated. At the opposite pole, internationalization is internationalization-to-survive: SIDS firms are forced to export despite trade-cost amplifications that erode all profit, and the curve collapses into a monotone negative line. The value of the FIP pole is not that it is rare but that it is diagnostic. It is the theoretically most revealing case precisely because it is the singularity at which the inverted-U breaks down, and where the breakdown lays bare the structural prerequisites the standard model assumes but leaves unstated. The conventional curve never had to declare its dependence on a viable home market, on bearable logistics, and on functioning institutions, because in mainstream samples those conditions are always present; only at the FIP pole, where they vanish together, does that hidden dependence become observable. FIP therefore contributes a general boundary condition to institutional moderation theory: it specifies the limit at which moderation of degree gives way to determination of sign.</w:t>
      </w:r>
    </w:p>
    <w:bookmarkEnd w:id="39"/>
    <w:bookmarkStart w:id="40" w:name="Xbadf487e3d91c7f5e5de16c24aa3b4c984ad28e"/>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The present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w:t>
      </w:r>
      <w:r>
        <w:t xml:space="preserve"> </w:t>
      </w:r>
      <w:r>
        <w:t xml:space="preserve">“</w:t>
      </w:r>
      <w:r>
        <w:t xml:space="preserve">intensity moderation</w:t>
      </w:r>
      <w:r>
        <w:t xml:space="preserve">”</w:t>
      </w:r>
      <w:r>
        <w:t xml:space="preserve"> </w:t>
      </w:r>
      <w:r>
        <w:t xml:space="preserve">toward</w:t>
      </w:r>
      <w:r>
        <w:t xml:space="preserve"> </w:t>
      </w:r>
      <w:r>
        <w:t xml:space="preserve">“</w:t>
      </w:r>
      <w:r>
        <w:t xml:space="preserve">existence moderation</w:t>
      </w:r>
      <w:r>
        <w:t xml:space="preserve">”</w:t>
      </w:r>
      <w:r>
        <w:t xml:space="preserve"> </w:t>
      </w:r>
      <w:r>
        <w:t xml:space="preserve">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40"/>
    <w:bookmarkStart w:id="41" w:name="X83134c98a606fe0940406da95e076e069d717cc"/>
    <w:p>
      <w:pPr>
        <w:pStyle w:val="Heading3"/>
      </w:pPr>
      <w:r>
        <w:t xml:space="preserve">5.3 The Capability Null: Institutional Determination vs. Moderation</w:t>
      </w:r>
    </w:p>
    <w:p>
      <w:pPr>
        <w:pStyle w:val="FirstParagraph"/>
      </w:pPr>
      <w:r>
        <w:t xml:space="preserve">The null results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w:t>
      </w:r>
      <w:r>
        <w:t xml:space="preserve"> </w:t>
      </w:r>
      <w:r>
        <w:t xml:space="preserve">“</w:t>
      </w:r>
      <w:r>
        <w:t xml:space="preserve">trapped</w:t>
      </w:r>
      <w:r>
        <w:t xml:space="preserve">”</w:t>
      </w:r>
      <w:r>
        <w:t xml:space="preserve"> </w:t>
      </w:r>
      <w:r>
        <w:t xml:space="preserve">inside the firm, unable to translate into performance advantages through international market transactions.</w:t>
      </w:r>
    </w:p>
    <w:p>
      <w:pPr>
        <w:pStyle w:val="BodyText"/>
      </w:pPr>
      <w:r>
        <w:t xml:space="preserve">The positive though non-significant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1"/>
    <w:bookmarkStart w:id="42" w:name="Xf8f5a8a03ba0839ca8278bd9312f3d61be61a50"/>
    <w:p>
      <w:pPr>
        <w:pStyle w:val="Heading3"/>
      </w:pPr>
      <w:r>
        <w:t xml:space="preserve">5.4 Policy Implications: The Antigua and Barbuda Agenda</w:t>
      </w:r>
    </w:p>
    <w:p>
      <w:pPr>
        <w:pStyle w:val="FirstParagraph"/>
      </w:pPr>
      <w:r>
        <w:t xml:space="preserve">The present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The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2"/>
    <w:bookmarkStart w:id="43" w:name="limitations"/>
    <w:p>
      <w:pPr>
        <w:pStyle w:val="Heading3"/>
      </w:pPr>
      <w:r>
        <w:t xml:space="preserve">5.5 Limitations</w:t>
      </w:r>
    </w:p>
    <w:p>
      <w:pPr>
        <w:pStyle w:val="FirstParagraph"/>
      </w:pPr>
      <w:r>
        <w:t xml:space="preserve">Several limitations bound the interpretation of the present findings.</w:t>
      </w:r>
    </w:p>
    <w:p>
      <w:pPr>
        <w:pStyle w:val="BodyText"/>
      </w:pPr>
      <w:r>
        <w:t xml:space="preserve">First,</w:t>
      </w:r>
      <w:r>
        <w:t xml:space="preserve"> </w:t>
      </w:r>
      <w:r>
        <w:rPr>
          <w:bCs/>
          <w:b/>
        </w:rPr>
        <w:t xml:space="preserve">cross-sectional pooled structure</w:t>
      </w:r>
      <w:r>
        <w:t xml:space="preserve">: although this study pools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the sample, represent a natural extension context.</w:t>
      </w:r>
    </w:p>
    <w:p>
      <w:r>
        <w:pict>
          <v:rect style="width:0;height:1.5pt" o:hralign="center" o:hrstd="t" o:hr="t"/>
        </w:pict>
      </w:r>
    </w:p>
    <w:bookmarkEnd w:id="43"/>
    <w:bookmarkEnd w:id="44"/>
    <w:bookmarkStart w:id="45" w:name="conclusions"/>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and Indian Ocean SIDS economies, the results show robust support for FIP across four empirical specifications (</w:t>
      </w:r>
      <m:oMath>
        <m:r>
          <m:t>β</m:t>
        </m:r>
      </m:oMath>
      <w:r>
        <w:t xml:space="preserve"> </w:t>
      </w:r>
      <w:r>
        <w:t xml:space="preserve">= −0.404, p =.032 in the primary country-and-year fixed-effects model;</w:t>
      </w:r>
      <w:r>
        <w:t xml:space="preserve"> </w:t>
      </w:r>
      <m:oMath>
        <m:r>
          <m:t>β</m:t>
        </m:r>
      </m:oMath>
      <w:r>
        <w:t xml:space="preserve"> </w:t>
      </w:r>
      <w:r>
        <w:t xml:space="preserve">= −1.236, p &lt;.001 without country fixed effects;</w:t>
      </w:r>
      <w:r>
        <w:t xml:space="preserve"> </w:t>
      </w:r>
      <m:oMath>
        <m:r>
          <m:t>β</m:t>
        </m:r>
      </m:oMath>
      <w:r>
        <w:t xml:space="preserve"> </w:t>
      </w:r>
      <w:r>
        <w:t xml:space="preserve">= −0.901, p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w:t>
      </w:r>
      <w:r>
        <w:t xml:space="preserve"> </w:t>
      </w:r>
      <w:r>
        <w:t xml:space="preserve">“</w:t>
      </w:r>
      <w:r>
        <w:t xml:space="preserve">institutional moderation of I-P intensity</w:t>
      </w:r>
      <w:r>
        <w:t xml:space="preserve">”</w:t>
      </w:r>
      <w:r>
        <w:t xml:space="preserve"> </w:t>
      </w:r>
      <w:r>
        <w:t xml:space="preserve">toward</w:t>
      </w:r>
      <w:r>
        <w:t xml:space="preserve"> </w:t>
      </w:r>
      <w:r>
        <w:t xml:space="preserve">“</w:t>
      </w:r>
      <w:r>
        <w:t xml:space="preserve">institutional determination of I-P sign,</w:t>
      </w:r>
      <w:r>
        <w:t xml:space="preserve">”</w:t>
      </w:r>
      <w:r>
        <w:t xml:space="preserve"> </w:t>
      </w:r>
      <w:r>
        <w:t xml:space="preserve">which establishes the inverted-U as conditional on structural prerequisites rather than universal. FIP and conventional theory are best understood as the two poles of one continuum: internationalization-to-scale, where exporting optimizes margins and the turning point is very late, and internationalization-to-survive, where firms are compelled to export despite profit-eroding logistics costs and the curve collapses to a monotone negative line. The SIDS case is valuable not because it is exotic but because it is the singularity at which the standard model breaks down and thereby reveals the prerequisites it silently assumes; FIP names that limiting regime and supplies a general boundary condition for institutional moderation theory. Second, they extend the application of</w:t>
      </w:r>
      <w:r>
        <w:t xml:space="preserve"> </w:t>
      </w:r>
      <w:r>
        <w:t xml:space="preserve">“</w:t>
      </w:r>
      <w:r>
        <w:t xml:space="preserve">forced internationalization</w:t>
      </w:r>
      <w:r>
        <w:t xml:space="preserve">”</w:t>
      </w:r>
      <w:r>
        <w:t xml:space="preserve"> </w:t>
      </w:r>
      <w:r>
        <w:t xml:space="preserve">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5"/>
    <w:bookmarkStart w:id="46" w:name="acknowledgements"/>
    <w:p>
      <w:pPr>
        <w:pStyle w:val="Heading2"/>
      </w:pPr>
      <w:r>
        <w:t xml:space="preserve">Acknowledgements</w:t>
      </w:r>
    </w:p>
    <w:p>
      <w:pPr>
        <w:pStyle w:val="FirstParagraph"/>
      </w:pPr>
      <w:r>
        <w:t xml:space="preserve">Source: World Bank Enterprise Surveys (WBES),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bookmarkEnd w:id="46"/>
    <w:bookmarkStart w:id="47" w:name="funding"/>
    <w:p>
      <w:pPr>
        <w:pStyle w:val="Heading2"/>
      </w:pPr>
      <w:r>
        <w:t xml:space="preserve">Funding</w:t>
      </w:r>
    </w:p>
    <w:p>
      <w:pPr>
        <w:pStyle w:val="FirstParagraph"/>
      </w:pPr>
      <w:r>
        <w:t xml:space="preserve">The authors received no specific grant from any funding agency in the public, commercial, or not-for-profit sectors for the research, authorship, or publication of this article.</w:t>
      </w:r>
    </w:p>
    <w:bookmarkEnd w:id="47"/>
    <w:bookmarkStart w:id="48" w:name="declaration-of-competing-interests"/>
    <w:p>
      <w:pPr>
        <w:pStyle w:val="Heading2"/>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48"/>
    <w:bookmarkStart w:id="49" w:name="credit-author-statement"/>
    <w:p>
      <w:pPr>
        <w:pStyle w:val="Heading2"/>
      </w:pPr>
      <w:r>
        <w:t xml:space="preserve">CRediT Author Statement</w:t>
      </w:r>
    </w:p>
    <w:p>
      <w:pPr>
        <w:pStyle w:val="FirstParagraph"/>
      </w:pPr>
      <w:r>
        <w:rPr>
          <w:iCs/>
          <w:i/>
        </w:rPr>
        <w:t xml:space="preserve">Author 1 (corresponding):</w:t>
      </w:r>
      <w:r>
        <w:t xml:space="preserve"> </w:t>
      </w:r>
      <w:r>
        <w:t xml:space="preserve">Conceptualization, Methodology, Data curation, Formal analysis, Writing, original draft.</w:t>
      </w:r>
      <w:r>
        <w:t xml:space="preserve"> </w:t>
      </w:r>
      <w:r>
        <w:rPr>
          <w:iCs/>
          <w:i/>
        </w:rPr>
        <w:t xml:space="preserve">Author 2:</w:t>
      </w:r>
      <w:r>
        <w:t xml:space="preserve"> </w:t>
      </w:r>
      <w:r>
        <w:t xml:space="preserve">Conceptualization, Methodology, Writing, review &amp; editing, Supervision. (Full author identities provided in separate Title Page; CRediT terms per Brand et al., 2015.)</w:t>
      </w:r>
    </w:p>
    <w:bookmarkEnd w:id="49"/>
    <w:bookmarkStart w:id="50" w:name="Xfd35355eaff5be7167e13ac5f8f9ba5509cc5e8"/>
    <w:p>
      <w:pPr>
        <w:pStyle w:val="Heading2"/>
      </w:pPr>
      <w:r>
        <w:t xml:space="preserve">Declaration of Generative AI and AI-Assisted Technologies</w:t>
      </w:r>
    </w:p>
    <w:p>
      <w:pPr>
        <w:pStyle w:val="FirstParagraph"/>
      </w:pPr>
      <w:r>
        <w:t xml:space="preserve">During the preparation of this work the authors used large-language-model assistants to support: (i) language polishing of draft prose at the sentence level; (ii) consistency checking of statistical notation and APA 7 reference formatting; and (iii) preliminary screening of WBES variable codes against the harmonisation protocol. After using these tools, the authors reviewed and edited the content as needed and take full responsibility for the content of the published article. No AI tool was used for analytic decisions, hypothesis development, or interpretation of empirical results.</w:t>
      </w:r>
    </w:p>
    <w:bookmarkEnd w:id="50"/>
    <w:bookmarkStart w:id="51" w:name="data-availability-statement"/>
    <w:p>
      <w:pPr>
        <w:pStyle w:val="Heading2"/>
      </w:pPr>
      <w:r>
        <w:t xml:space="preserve">Data Availability Statement</w:t>
      </w:r>
    </w:p>
    <w:p>
      <w:pPr>
        <w:pStyle w:val="FirstParagraph"/>
      </w:pPr>
      <w:r>
        <w:t xml:space="preserve">The World Bank Enterprise Survey microdata used in this study are publicly available at https://www.enterprisesurveys.org (accessed during May 2025–April 2026 for the nine Pacific SIDS waves analysed). The harmonisation protocol, derived variable construction code, and replication scripts that reproduce the regression results reported in §4 are available from the corresponding author on reasonable request; a fully anonymised replication archive will be deposited on OSF upon acceptance.</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Bertram, G. (2006). The MIRAB model in the twenty-first century.</w:t>
      </w:r>
      <w:r>
        <w:t xml:space="preserve"> </w:t>
      </w:r>
      <w:r>
        <w:rPr>
          <w:iCs/>
          <w:i/>
        </w:rPr>
        <w:t xml:space="preserve">Asia Pacific Viewpoint, 47</w:t>
      </w:r>
      <w:r>
        <w:t xml:space="preserve">(1), 1–13. https://doi.org/10.1111/j.1467-8373.2006.00296.x</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G., Serajuddin, U., Wadhwa, D., &amp; Yonzan, N. (2026).</w:t>
      </w:r>
      <w:r>
        <w:t xml:space="preserve"> </w:t>
      </w:r>
      <w:r>
        <w:rPr>
          <w:iCs/>
          <w:i/>
        </w:rPr>
        <w:t xml:space="preserve">Slow progress: Development indicators in the 2020s</w:t>
      </w:r>
      <w:r>
        <w:t xml:space="preserve">. World Bank Group. https://www.worldbank.org/en/research/brief/global-development-progress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2"/>
    <w:bookmarkStart w:id="56" w:name="appendix-a-tables"/>
    <w:p>
      <w:pPr>
        <w:pStyle w:val="Heading2"/>
      </w:pPr>
      <w:r>
        <w:t xml:space="preserve">Appendix A: Tables</w:t>
      </w:r>
    </w:p>
    <w:bookmarkStart w:id="53" w:name="Xd18a7fdbbe8955432f108664659551dd8892246"/>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53"/>
    <w:bookmarkStart w:id="54" w:name="Xc02e42e5e85356a7e9f67ce8450f39d43a89fec"/>
    <w:p>
      <w:pPr>
        <w:pStyle w:val="Heading3"/>
      </w:pPr>
      <w:r>
        <w:t xml:space="preserve">Table 2. Regression Results: Internationalization Intensity and Labor Productivity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&lt;.001; ** p &lt;.01; * p &lt;.05;. p &lt;.10.</w:t>
      </w:r>
    </w:p>
    <w:p>
      <w:pPr>
        <w:pStyle w:val="BodyText"/>
      </w:pPr>
      <w:r>
        <w:rPr>
          <w:iCs/>
          <w:i/>
        </w:rPr>
        <w:t xml:space="preserve">Forced Internationalization Penalty (FIP): Confirmed,</w:t>
      </w:r>
      <w:r>
        <w:rPr>
          <w:iCs/>
          <w:i/>
        </w:rPr>
        <w:t xml:space="preserve"> </w:t>
      </w:r>
      <m:oMath>
        <m:r>
          <m:t>β</m:t>
        </m:r>
      </m:oMath>
      <w:r>
        <w:rPr>
          <w:iCs/>
          <w:i/>
        </w:rPr>
        <w:t xml:space="preserve">(</w:t>
      </w:r>
      <m:oMath>
        <m:sSub>
          <m:e>
            <m:r>
              <m:rPr>
                <m:nor/>
                <m:sty m:val="p"/>
              </m:rPr>
              <m:t>FSTS</m:t>
            </m:r>
          </m:e>
          <m:sub>
            <m:r>
              <m:t>c</m:t>
            </m:r>
          </m:sub>
        </m:sSub>
      </m:oMath>
      <w:r>
        <w:rPr>
          <w:iCs/>
          <w:i/>
        </w:rPr>
        <w:t xml:space="preserve">) = −0.404, p =.032 (M1).</w:t>
      </w:r>
    </w:p>
    <w:bookmarkEnd w:id="54"/>
    <w:bookmarkStart w:id="55" w:name="X88215d8362bdd28b5211c3a1f81522f9e049dc2"/>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w:t>
      </w:r>
      <m:oMath>
        <m:r>
          <m:t>β</m:t>
        </m:r>
      </m:oMath>
      <w:r>
        <w:rPr>
          <w:iCs/>
          <w:i/>
        </w:rPr>
        <w:t xml:space="preserve"> </w:t>
      </w:r>
      <w:r>
        <w:rPr>
          <w:iCs/>
          <w:i/>
        </w:rPr>
        <w:t xml:space="preserve">= −0.901) addresses adverse selection concern: among active exporters, intensifying exports further worsens performance.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2026-06-03T07:19:41Z</dcterms:created>
  <dcterms:modified xsi:type="dcterms:W3CDTF">2026-06-03T07:19:41Z</dcterms:modified>
</cp:coreProperties>
</file>

<file path=docProps/custom.xml><?xml version="1.0" encoding="utf-8"?>
<Properties xmlns="http://schemas.openxmlformats.org/officeDocument/2006/custom-properties" xmlns:vt="http://schemas.openxmlformats.org/officeDocument/2006/docPropsVTypes"/>
</file>