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 Capability Model</w:t>
            </w:r>
          </w:p>
        </w:tc>
        <w:tc>
          <w:tcPr/>
          <w:p>
            <w:pPr>
              <w:pStyle w:val="Compact"/>
              <w:jc w:val="left"/>
            </w:pPr>
            <w:r>
              <w:t xml:space="preserve">Mô hình năng lực số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X6b5f457f890892a6024993c4ab9ca614a05a9d8"/>
    <w:p>
      <w:pPr>
        <w:pStyle w:val="Heading2"/>
      </w:pPr>
      <w:r>
        <w:t xml:space="preserve">2.1 GIỚI THIỆU</w:t>
      </w:r>
    </w:p>
    <w:bookmarkStart w:id="27" w:name="Xe52aaf1112e59c4cfcd6bd4d10ff2a675776726"/>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 "lý thuyết Uppsala vận hành ở điểm tối ưu" và "lý thuyết Uppsala bị biến dạng ở điều kiện biên".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Xfbf7d657b2e7a0afef245e3baf59220fad61883"/>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X6d34d90c3ee79c5ab598c7ba95dcae889b6e875"/>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41 nước châu Á thuần</w:t>
      </w:r>
      <w:r>
        <w:t xml:space="preserve">:</w:t>
      </w:r>
    </w:p>
    <w:p>
      <w:pPr>
        <w:numPr>
          <w:ilvl w:val="0"/>
          <w:numId w:val="1006"/>
        </w:numPr>
        <w:pStyle w:val="Compact"/>
      </w:pPr>
      <w:r>
        <w:rPr>
          <w:bCs/>
          <w:b/>
        </w:rPr>
        <w:t xml:space="preserve">(i) Advanced đổi mới sáng tạo dẫn dắt (5 nước)</w:t>
      </w:r>
      <w:r>
        <w:t xml:space="preserve">: Singapore, Hong Kong SAR, Hàn Quốc, Đài Loan, Israel.</w:t>
      </w:r>
    </w:p>
    <w:p>
      <w:pPr>
        <w:numPr>
          <w:ilvl w:val="0"/>
          <w:numId w:val="1006"/>
        </w:numPr>
        <w:pStyle w:val="Compact"/>
      </w:pPr>
      <w:r>
        <w:rPr>
          <w:bCs/>
          <w:b/>
        </w:rPr>
        <w:t xml:space="preserve">(ii) Advanced tài nguyên dẫn dắt (5 nước)</w:t>
      </w:r>
      <w:r>
        <w:t xml:space="preserve">: Saudi Arabia, Qatar, Kuwait, Bahrain, Brunei.</w:t>
      </w:r>
    </w:p>
    <w:p>
      <w:pPr>
        <w:numPr>
          <w:ilvl w:val="0"/>
          <w:numId w:val="1006"/>
        </w:numPr>
        <w:pStyle w:val="Compact"/>
      </w:pPr>
      <w:r>
        <w:rPr>
          <w:bCs/>
          <w:b/>
        </w:rPr>
        <w:t xml:space="preserve">(iii) Trung bình cao — Upper-middle (6 nước)</w:t>
      </w:r>
      <w:r>
        <w:t xml:space="preserve">: Trung Quốc, Malaysia, Thái Lan, Kazakhstan, Armenia, Georgia.</w:t>
      </w:r>
    </w:p>
    <w:p>
      <w:pPr>
        <w:numPr>
          <w:ilvl w:val="0"/>
          <w:numId w:val="1006"/>
        </w:numPr>
        <w:pStyle w:val="Compact"/>
      </w:pPr>
      <w:r>
        <w:rPr>
          <w:bCs/>
          <w:b/>
        </w:rPr>
        <w:t xml:space="preserve">(iv) Đang nổi — Emerging (7 nước)</w:t>
      </w:r>
      <w:r>
        <w:t xml:space="preserve">: Việt Nam, Indonesia, Philippines, Ấn Độ, Sri Lanka, Jordan, Mông Cổ.</w:t>
      </w:r>
    </w:p>
    <w:p>
      <w:pPr>
        <w:numPr>
          <w:ilvl w:val="0"/>
          <w:numId w:val="1006"/>
        </w:numPr>
        <w:pStyle w:val="Compact"/>
      </w:pPr>
      <w:r>
        <w:rPr>
          <w:bCs/>
          <w:b/>
        </w:rPr>
        <w:t xml:space="preserve">(v) Cận biên — Frontier (17 nước)</w:t>
      </w:r>
      <w:r>
        <w:t xml:space="preserve">: Bangladesh, Pakistan, Lào, Campuchia, Myanmar, Nepal, Bhutan, Maldives, Uzbekistan, Tajikistan, Kyrgyz Republic, Turkmenistan, Afghanistan, Timor-Leste, Iraq, Lebanon, Yemen.</w:t>
      </w:r>
    </w:p>
    <w:p>
      <w:pPr>
        <w:pStyle w:val="FirstParagraph"/>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X40ede26c0257ae4d88a1ae4b7277e9f0c4d36f7"/>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 "hậu đại dịch kết hợp tăng tốc số".</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X2686b5fe285119b7194d05d8d607138c33c7a34"/>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pStyle w:val="BodyText"/>
      </w:pPr>
      <w:r>
        <w:t xml:space="preserve">(1)</w:t>
      </w:r>
      <w:r>
        <w:t xml:space="preserve"> </w:t>
      </w:r>
      <w:r>
        <w:rPr>
          <w:bCs/>
          <w:b/>
        </w:rPr>
        <w:t xml:space="preserve">Bức tranh thực trạng đa chiều</w:t>
      </w:r>
      <w:r>
        <w:t xml:space="preserve"> </w:t>
      </w:r>
      <w:r>
        <w:t xml:space="preserve">cho hiệu quả doanh nghiệp châu Á 2009–2025 — phạm vi rộng nhất trong văn liệu kinh doanh quốc tế hiện hành (Wu et al., 2022 dừng ở 2020; Arte &amp; Larimo, 2022 dừng ở 2019).</w:t>
      </w:r>
    </w:p>
    <w:p>
      <w:pPr>
        <w:pStyle w:val="BodyText"/>
      </w:pPr>
      <w:r>
        <w:t xml:space="preserve">(2)</w:t>
      </w:r>
      <w:r>
        <w:t xml:space="preserve"> </w:t>
      </w: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pStyle w:val="BodyText"/>
      </w:pPr>
      <w:r>
        <w:t xml:space="preserve">(3)</w:t>
      </w:r>
      <w:r>
        <w:t xml:space="preserve"> </w:t>
      </w: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w:t>
      </w:r>
    </w:p>
    <w:p>
      <w:pPr>
        <w:pStyle w:val="BodyText"/>
      </w:pPr>
      <w:r>
        <w:t xml:space="preserve">(4)</w:t>
      </w:r>
      <w:r>
        <w:t xml:space="preserve"> </w:t>
      </w: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BodyText"/>
      </w:pPr>
      <w:r>
        <w:rPr>
          <w:bCs/>
          <w:b/>
        </w:rPr>
        <w:t xml:space="preserve">Một đóng góp trường hợp biên mở rộng (SIDS Pacific)</w:t>
      </w:r>
      <w:r>
        <w:t xml:space="preserve">:</w:t>
      </w:r>
    </w:p>
    <w:p>
      <w:pPr>
        <w:pStyle w:val="BodyText"/>
      </w:pPr>
      <w:r>
        <w:t xml:space="preserve">(5)</w:t>
      </w:r>
      <w:r>
        <w:t xml:space="preserve"> </w:t>
      </w: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X8ba68eb4f47e195906995745687b14136750d53"/>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7"/>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7"/>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 "Không"); gán missing nếu không trả lời.</w:t>
      </w:r>
    </w:p>
    <w:p>
      <w:pPr>
        <w:numPr>
          <w:ilvl w:val="0"/>
          <w:numId w:val="1007"/>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7"/>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81" w:name="X342156ccfd2c7f5ced860191aa03b7b6d212c37"/>
    <w:p>
      <w:pPr>
        <w:pStyle w:val="Heading2"/>
      </w:pPr>
      <w:r>
        <w:t xml:space="preserve">2.3 NỘI DUNG NGHIÊN CỨU</w:t>
      </w:r>
    </w:p>
    <w:bookmarkStart w:id="40" w:name="X675ab5af00d74d00e27b461f47ed6d6446b9560"/>
    <w:p>
      <w:pPr>
        <w:pStyle w:val="Heading3"/>
      </w:pPr>
      <w:r>
        <w:t xml:space="preserve">2.3.1 Cơ sở lý luận về hiệu quả hoạt động kinh doanh</w:t>
      </w:r>
    </w:p>
    <w:bookmarkStart w:id="34" w:name="Xfe2faeb00cd57cec256c4bcff291c23a776f5c5"/>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Xa75a9f34ff92610c157ef90079513d04d170c8a"/>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1a2a04b4428c4820c777951f575c66090cb277c"/>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X023773272cef9849c80cde40a684cebab877a2f"/>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63cbaa2208af25577c09daed9ed760efcc7cfb8"/>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774d9b9615147512c4c51af5cf52a38bf7b3508"/>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 "năng lực số" 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Năng lực số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82% FSTS.</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39"/>
    <w:bookmarkEnd w:id="40"/>
    <w:bookmarkStart w:id="45" w:name="X98f20b91300399974782a05c423861b6489fac2"/>
    <w:p>
      <w:pPr>
        <w:pStyle w:val="Heading3"/>
      </w:pPr>
      <w:r>
        <w:t xml:space="preserve">2.3.2 Khung phân loại thể chế ICRV</w:t>
      </w:r>
    </w:p>
    <w:bookmarkStart w:id="41" w:name="X242032ba016f4802b7d1f9312ced8dccd339a4f"/>
    <w:p>
      <w:pPr>
        <w:pStyle w:val="Heading4"/>
      </w:pPr>
      <w:r>
        <w:t xml:space="preserve">2.3.2.1 Lý do phân loại</w:t>
      </w:r>
    </w:p>
    <w:p>
      <w:pPr>
        <w:pStyle w:val="FirstParagraph"/>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47 nền kinh tế châu Á. Khung phân loại ICRV (Institutional Context Regime Variation — Biến thiên chế độ thể chế) được đề xuất trong chuyên đề này nhằm lấp khoảng trống đó, dựa trên bốn nguyên tắc:</w:t>
      </w:r>
    </w:p>
    <w:p>
      <w:pPr>
        <w:pStyle w:val="BodyTex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p>
      <w:pPr>
        <w:pStyle w:val="BodyTex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p>
      <w:pPr>
        <w:pStyle w:val="BodyTex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p>
      <w:pPr>
        <w:pStyle w:val="BodyText"/>
      </w:pPr>
      <w:r>
        <w:t xml:space="preserve">(d)</w:t>
      </w:r>
      <w:r>
        <w:t xml:space="preserve"> </w:t>
      </w:r>
      <w:r>
        <w:rPr>
          <w:bCs/>
          <w:b/>
        </w:rPr>
        <w:t xml:space="preserve">Tính minh bạch và tái tạo</w:t>
      </w:r>
      <w:r>
        <w:t xml:space="preserve">: tiêu chí phân loại phải rõ ràng và có thể áp dụng nhất quán.</w:t>
      </w:r>
    </w:p>
    <w:bookmarkEnd w:id="41"/>
    <w:bookmarkStart w:id="42" w:name="X5cfc458f0cff94dfd38d9df18032fbc55802577"/>
    <w:p>
      <w:pPr>
        <w:pStyle w:val="Heading4"/>
      </w:pPr>
      <w:r>
        <w:t xml:space="preserve">2.3.2.2 Tiêu chí phân loại sáu nhóm</w:t>
      </w:r>
    </w:p>
    <w:p>
      <w:pPr>
        <w:pStyle w:val="FirstParagraph"/>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p>
      <w:pPr>
        <w:pStyle w:val="BodyTex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p>
      <w:pPr>
        <w:pStyle w:val="BodyTex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p>
      <w:pPr>
        <w:pStyle w:val="BodyTex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p>
      <w:pPr>
        <w:pStyle w:val="BodyTex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p>
      <w:pPr>
        <w:pStyle w:val="BodyTex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bookmarkEnd w:id="42"/>
    <w:bookmarkStart w:id="43" w:name="X4d09b9f28b7e56385f03d12ed1cc26cd793028d"/>
    <w:p>
      <w:pPr>
        <w:pStyle w:val="Heading4"/>
      </w:pPr>
      <w:r>
        <w:t xml:space="preserve">2.3.2.3 Danh sách 47 nền kinh tế theo nhóm ICRV</w:t>
      </w:r>
    </w:p>
    <w:p>
      <w:pPr>
        <w:pStyle w:val="FirstParagraph"/>
      </w:pPr>
      <w:r>
        <w:rPr>
          <w:bCs/>
          <w:b/>
        </w:rPr>
        <w:t xml:space="preserve">Bảng 2.3.2.1</w:t>
      </w:r>
      <w:r>
        <w:t xml:space="preserve">.</w:t>
      </w:r>
      <w:r>
        <w:t xml:space="preserve"> </w:t>
      </w:r>
      <w:r>
        <w:rPr>
          <w:iCs/>
          <w:i/>
        </w:rPr>
        <w:t xml:space="preserve">Phân loại 47 nền kinh tế vào 6 nhóm ICRV — tiêu chí và số doanh nghiệp.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Quốc gia</w:t>
            </w:r>
          </w:p>
        </w:tc>
        <w:tc>
          <w:tcPr/>
          <w:p>
            <w:pPr>
              <w:pStyle w:val="Compact"/>
              <w:jc w:val="left"/>
            </w:pPr>
            <w:r>
              <w:t xml:space="preserve">n_firms (ước tính)</w:t>
            </w:r>
          </w:p>
        </w:tc>
      </w:tr>
      <w:tr>
        <w:tc>
          <w:tcPr/>
          <w:p>
            <w:pPr>
              <w:pStyle w:val="Compact"/>
              <w:jc w:val="left"/>
            </w:pPr>
            <w:r>
              <w:rPr>
                <w:bCs/>
                <w:b/>
              </w:rPr>
              <w:t xml:space="preserve">I</w:t>
            </w:r>
          </w:p>
        </w:tc>
        <w:tc>
          <w:tcPr/>
          <w:p>
            <w:pPr>
              <w:pStyle w:val="Compact"/>
              <w:jc w:val="left"/>
            </w:pPr>
            <w:r>
              <w:t xml:space="preserve">Advanced — innovation-driven</w:t>
            </w:r>
          </w:p>
        </w:tc>
        <w:tc>
          <w:tcPr/>
          <w:p>
            <w:pPr>
              <w:pStyle w:val="Compact"/>
              <w:jc w:val="left"/>
            </w:pPr>
            <w:r>
              <w:t xml:space="preserve">Singapore, Hong Kong SAR, Hàn Quốc, Đài Loan, Israel</w:t>
            </w:r>
          </w:p>
        </w:tc>
        <w:tc>
          <w:tcPr/>
          <w:p>
            <w:pPr>
              <w:pStyle w:val="Compact"/>
              <w:jc w:val="left"/>
            </w:pPr>
            <w:r>
              <w:t xml:space="preserve">~4.220</w:t>
            </w:r>
          </w:p>
        </w:tc>
      </w:tr>
      <w:tr>
        <w:tc>
          <w:tcPr/>
          <w:p>
            <w:pPr>
              <w:pStyle w:val="Compact"/>
              <w:jc w:val="left"/>
            </w:pPr>
            <w:r>
              <w:rPr>
                <w:bCs/>
                <w:b/>
              </w:rPr>
              <w:t xml:space="preserve">II</w:t>
            </w:r>
          </w:p>
        </w:tc>
        <w:tc>
          <w:tcPr/>
          <w:p>
            <w:pPr>
              <w:pStyle w:val="Compact"/>
              <w:jc w:val="left"/>
            </w:pPr>
            <w:r>
              <w:t xml:space="preserve">Advanced — resource-driven</w:t>
            </w:r>
          </w:p>
        </w:tc>
        <w:tc>
          <w:tcPr/>
          <w:p>
            <w:pPr>
              <w:pStyle w:val="Compact"/>
              <w:jc w:val="left"/>
            </w:pPr>
            <w:r>
              <w:t xml:space="preserve">Saudi Arabia, Qatar, Kuwait, Bahrain, Brunei</w:t>
            </w:r>
          </w:p>
        </w:tc>
        <w:tc>
          <w:tcPr/>
          <w:p>
            <w:pPr>
              <w:pStyle w:val="Compact"/>
              <w:jc w:val="left"/>
            </w:pPr>
            <w:r>
              <w:t xml:space="preserve">~1.932</w:t>
            </w:r>
          </w:p>
        </w:tc>
      </w:tr>
      <w:tr>
        <w:tc>
          <w:tcPr/>
          <w:p>
            <w:pPr>
              <w:pStyle w:val="Compact"/>
              <w:jc w:val="left"/>
            </w:pPr>
            <w:r>
              <w:rPr>
                <w:bCs/>
                <w:b/>
              </w:rPr>
              <w:t xml:space="preserve">III</w:t>
            </w:r>
          </w:p>
        </w:tc>
        <w:tc>
          <w:tcPr/>
          <w:p>
            <w:pPr>
              <w:pStyle w:val="Compact"/>
              <w:jc w:val="left"/>
            </w:pPr>
            <w:r>
              <w:t xml:space="preserve">Upper-middle</w:t>
            </w:r>
          </w:p>
        </w:tc>
        <w:tc>
          <w:tcPr/>
          <w:p>
            <w:pPr>
              <w:pStyle w:val="Compact"/>
              <w:jc w:val="left"/>
            </w:pPr>
            <w:r>
              <w:t xml:space="preserve">Trung Quốc, Malaysia, Thái Lan, Kazakhstan, Armenia, Georgia</w:t>
            </w:r>
          </w:p>
        </w:tc>
        <w:tc>
          <w:tcPr/>
          <w:p>
            <w:pPr>
              <w:pStyle w:val="Compact"/>
              <w:jc w:val="left"/>
            </w:pPr>
            <w:r>
              <w:t xml:space="preserve">~16.693</w:t>
            </w:r>
          </w:p>
        </w:tc>
      </w:tr>
      <w:tr>
        <w:tc>
          <w:tcPr/>
          <w:p>
            <w:pPr>
              <w:pStyle w:val="Compact"/>
              <w:jc w:val="left"/>
            </w:pPr>
            <w:r>
              <w:rPr>
                <w:bCs/>
                <w:b/>
              </w:rPr>
              <w:t xml:space="preserve">IV</w:t>
            </w:r>
          </w:p>
        </w:tc>
        <w:tc>
          <w:tcPr/>
          <w:p>
            <w:pPr>
              <w:pStyle w:val="Compact"/>
              <w:jc w:val="left"/>
            </w:pPr>
            <w:r>
              <w:t xml:space="preserve">Emerging</w:t>
            </w:r>
          </w:p>
        </w:tc>
        <w:tc>
          <w:tcPr/>
          <w:p>
            <w:pPr>
              <w:pStyle w:val="Compact"/>
              <w:jc w:val="left"/>
            </w:pPr>
            <w:r>
              <w:t xml:space="preserve">Việt Nam, Indonesia, Philippines, Ấn Độ, Sri Lanka, Jordan, Mông Cổ</w:t>
            </w:r>
          </w:p>
        </w:tc>
        <w:tc>
          <w:tcPr/>
          <w:p>
            <w:pPr>
              <w:pStyle w:val="Compact"/>
              <w:jc w:val="left"/>
            </w:pPr>
            <w:r>
              <w:t xml:space="preserve">~47.803</w:t>
            </w:r>
          </w:p>
        </w:tc>
      </w:tr>
      <w:tr>
        <w:tc>
          <w:tcPr/>
          <w:p>
            <w:pPr>
              <w:pStyle w:val="Compact"/>
              <w:jc w:val="left"/>
            </w:pPr>
            <w:r>
              <w:rPr>
                <w:bCs/>
                <w:b/>
              </w:rPr>
              <w:t xml:space="preserve">V</w:t>
            </w:r>
          </w:p>
        </w:tc>
        <w:tc>
          <w:tcPr/>
          <w:p>
            <w:pPr>
              <w:pStyle w:val="Compact"/>
              <w:jc w:val="left"/>
            </w:pPr>
            <w:r>
              <w:t xml:space="preserve">Frontier</w:t>
            </w:r>
          </w:p>
        </w:tc>
        <w:tc>
          <w:tcPr/>
          <w:p>
            <w:pPr>
              <w:pStyle w:val="Compact"/>
              <w:jc w:val="left"/>
            </w:pPr>
            <w:r>
              <w:t xml:space="preserve">Bangladesh, Pakistan, Lào, Campuchia, Myanmar, Nepal, Bhutan, Maldives, Uzbekistan, Tajikistan, Kyrgyz Republic, Turkmenistan, Afghanistan, Timor-Leste, Iraq, Lebanon, Yemen</w:t>
            </w:r>
          </w:p>
        </w:tc>
        <w:tc>
          <w:tcPr/>
          <w:p>
            <w:pPr>
              <w:pStyle w:val="Compact"/>
              <w:jc w:val="left"/>
            </w:pPr>
            <w:r>
              <w:t xml:space="preserve">~28.678</w:t>
            </w:r>
          </w:p>
        </w:tc>
      </w:tr>
      <w:tr>
        <w:tc>
          <w:tcPr/>
          <w:p>
            <w:pPr>
              <w:pStyle w:val="Compact"/>
              <w:jc w:val="left"/>
            </w:pPr>
            <w:r>
              <w:rPr>
                <w:bCs/>
                <w:b/>
              </w:rPr>
              <w:t xml:space="preserve">VI</w:t>
            </w:r>
          </w:p>
        </w:tc>
        <w:tc>
          <w:tcPr/>
          <w:p>
            <w:pPr>
              <w:pStyle w:val="Compact"/>
              <w:jc w:val="left"/>
            </w:pPr>
            <w:r>
              <w:t xml:space="preserve">SIDS Pacific (boundary)</w:t>
            </w:r>
          </w:p>
        </w:tc>
        <w:tc>
          <w:tcPr/>
          <w:p>
            <w:pPr>
              <w:pStyle w:val="Compact"/>
              <w:jc w:val="left"/>
            </w:pPr>
            <w:r>
              <w:t xml:space="preserve">Fiji, Papua New Guinea, Solomon Islands, Tonga, Vanuatu, Samoa, Kiribati</w:t>
            </w:r>
          </w:p>
        </w:tc>
        <w:tc>
          <w:tcPr/>
          <w:p>
            <w:pPr>
              <w:pStyle w:val="Compact"/>
              <w:jc w:val="left"/>
            </w:pPr>
            <w:r>
              <w:t xml:space="preserve">~1.371</w:t>
            </w:r>
          </w:p>
        </w:tc>
      </w:tr>
      <w:tr>
        <w:tc>
          <w:tcPr/>
          <w:p>
            <w:pPr>
              <w:pStyle w:val="Compact"/>
              <w:jc w:val="left"/>
            </w:pPr>
            <w:r>
              <w:rPr>
                <w:bCs/>
                <w:b/>
              </w:rPr>
              <w:t xml:space="preserve">Tổng</w:t>
            </w:r>
          </w:p>
        </w:tc>
        <w:tc>
          <w:tcPr/>
          <w:p>
            <w:pPr>
              <w:pStyle w:val="Compact"/>
            </w:pPr>
          </w:p>
        </w:tc>
        <w:tc>
          <w:tcPr/>
          <w:p>
            <w:pPr>
              <w:pStyle w:val="Compact"/>
              <w:jc w:val="left"/>
            </w:pPr>
            <w:r>
              <w:t xml:space="preserve">47 nền kinh tế</w:t>
            </w:r>
          </w:p>
        </w:tc>
        <w:tc>
          <w:tcPr/>
          <w:p>
            <w:pPr>
              <w:pStyle w:val="Compact"/>
              <w:jc w:val="left"/>
            </w:pPr>
            <w:r>
              <w:rPr>
                <w:bCs/>
                <w:b/>
              </w:rPr>
              <w:t xml:space="preserve">101.185</w:t>
            </w:r>
          </w:p>
        </w:tc>
      </w:tr>
    </w:tbl>
    <w:p>
      <w:pPr>
        <w:pStyle w:val="BodyText"/>
      </w:pPr>
      <w:r>
        <w:rPr>
          <w:iCs/>
          <w:i/>
        </w:rPr>
        <w:t xml:space="preserve">Ghi chú: n_firms là phân bố xấp xỉ theo pool 101.185; tổng 5 nhóm chính (I–V) = 99.814 (phạm vi chính 41 nước châu Á); SIDS Nhóm VI = 1.371 (1,4% pool).</w:t>
      </w:r>
    </w:p>
    <w:bookmarkEnd w:id="43"/>
    <w:bookmarkStart w:id="44" w:name="Xd47f898f6991efbde7b27bc90a430952f5ee92c"/>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 WGI, GNI, cơ chế tăng trưởng, pattern WBES dự kiến.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w:t>
            </w:r>
          </w:p>
        </w:tc>
        <w:tc>
          <w:tcPr/>
          <w:p>
            <w:pPr>
              <w:pStyle w:val="Compact"/>
              <w:jc w:val="left"/>
            </w:pPr>
            <w:r>
              <w:t xml:space="preserve">Cơ chế quốc tế hóa → hiệu quả</w:t>
            </w:r>
          </w:p>
        </w:tc>
      </w:tr>
      <w:tr>
        <w:tc>
          <w:tcPr/>
          <w:p>
            <w:pPr>
              <w:pStyle w:val="Compact"/>
              <w:jc w:val="left"/>
            </w:pPr>
            <w:r>
              <w:t xml:space="preserve">I —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~1,03</w:t>
            </w:r>
          </w:p>
        </w:tc>
        <w:tc>
          <w:tcPr/>
          <w:p>
            <w:pPr>
              <w:pStyle w:val="Compact"/>
              <w:jc w:val="left"/>
            </w:pPr>
            <w:r>
              <w:t xml:space="preserve">U ngược nhẹ / tuyến tính dương; điểm uốn ~82% (SG)</w:t>
            </w:r>
          </w:p>
        </w:tc>
      </w:tr>
      <w:tr>
        <w:tc>
          <w:tcPr/>
          <w:p>
            <w:pPr>
              <w:pStyle w:val="Compact"/>
              <w:jc w:val="left"/>
            </w:pPr>
            <w:r>
              <w:t xml:space="preserve">II — Resource</w:t>
            </w:r>
          </w:p>
        </w:tc>
        <w:tc>
          <w:tcPr/>
          <w:p>
            <w:pPr>
              <w:pStyle w:val="Compact"/>
              <w:jc w:val="left"/>
            </w:pPr>
            <w:r>
              <w:t xml:space="preserve">+0,00→+0,50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(1–3%)</w:t>
            </w:r>
          </w:p>
        </w:tc>
        <w:tc>
          <w:tcPr/>
          <w:p>
            <w:pPr>
              <w:pStyle w:val="Compact"/>
              <w:jc w:val="left"/>
            </w:pPr>
            <w:r>
              <w:t xml:space="preserve">~0,49</w:t>
            </w:r>
          </w:p>
        </w:tc>
        <w:tc>
          <w:tcPr/>
          <w:p>
            <w:pPr>
              <w:pStyle w:val="Compact"/>
              <w:jc w:val="left"/>
            </w:pPr>
            <w:r>
              <w:t xml:space="preserve">Phi tuyến suy yếu; nhà nước tô phân phối lại</w:t>
            </w:r>
          </w:p>
        </w:tc>
      </w:tr>
      <w:tr>
        <w:tc>
          <w:tcPr/>
          <w:p>
            <w:pPr>
              <w:pStyle w:val="Compact"/>
              <w:jc w:val="left"/>
            </w:pPr>
            <w:r>
              <w:t xml:space="preserve">III — Upper-mid</w:t>
            </w:r>
          </w:p>
        </w:tc>
        <w:tc>
          <w:tcPr/>
          <w:p>
            <w:pPr>
              <w:pStyle w:val="Compact"/>
              <w:jc w:val="left"/>
            </w:pPr>
            <w:r>
              <w:t xml:space="preserve">0,00→+0,80</w:t>
            </w:r>
          </w:p>
        </w:tc>
        <w:tc>
          <w:tcPr/>
          <w:p>
            <w:pPr>
              <w:pStyle w:val="Compact"/>
              <w:jc w:val="left"/>
            </w:pPr>
            <m:oMath>
              <m:r>
                <m:t>5</m:t>
              </m:r>
              <m:r>
                <m:t>k</m:t>
              </m:r>
              <m:r>
                <m:rPr>
                  <m:sty m:val="p"/>
                </m:rPr>
                <m:t>–</m:t>
              </m:r>
            </m:oMath>
            <w:r>
              <w:t xml:space="preserve">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~1,29</w:t>
            </w:r>
          </w:p>
        </w:tc>
        <w:tc>
          <w:tcPr/>
          <w:p>
            <w:pPr>
              <w:pStyle w:val="Compact"/>
              <w:jc w:val="left"/>
            </w:pPr>
            <w:r>
              <w:t xml:space="preserve">U ngược; điểm uốn ~47% (CHN Đỗ &amp; Phan, 2026)</w:t>
            </w:r>
          </w:p>
        </w:tc>
      </w:tr>
      <w:tr>
        <w:tc>
          <w:tcPr/>
          <w:p>
            <w:pPr>
              <w:pStyle w:val="Compact"/>
              <w:jc w:val="left"/>
            </w:pPr>
            <w:r>
              <w:t xml:space="preserve">IV — Emerging</w:t>
            </w:r>
          </w:p>
        </w:tc>
        <w:tc>
          <w:tcPr/>
          <w:p>
            <w:pPr>
              <w:pStyle w:val="Compact"/>
              <w:jc w:val="left"/>
            </w:pPr>
            <w:r>
              <w:t xml:space="preserve">-0,50→0,00</w:t>
            </w:r>
          </w:p>
        </w:tc>
        <w:tc>
          <w:tcPr/>
          <w:p>
            <w:pPr>
              <w:pStyle w:val="Compact"/>
              <w:jc w:val="left"/>
            </w:pPr>
            <m:oMath>
              <m:r>
                <m:t>1</m:t>
              </m:r>
              <m:r>
                <m:t>k</m:t>
              </m:r>
              <m:r>
                <m:rPr>
                  <m:sty m:val="p"/>
                </m:rPr>
                <m:t>–</m:t>
              </m:r>
            </m:oMath>
            <w:r>
              <w:t xml:space="preserve">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~1,24</w:t>
            </w:r>
          </w:p>
        </w:tc>
        <w:tc>
          <w:tcPr/>
          <w:p>
            <w:pPr>
              <w:pStyle w:val="Compact"/>
              <w:jc w:val="left"/>
            </w:pPr>
            <w:r>
              <w:t xml:space="preserve">U ngược; điểm uốn 39–46% (VNM) — bẫy chuyển hướng nguồn lực</w:t>
            </w:r>
          </w:p>
        </w:tc>
      </w:tr>
      <w:tr>
        <w:tc>
          <w:tcPr/>
          <w:p>
            <w:pPr>
              <w:pStyle w:val="Compact"/>
              <w:jc w:val="left"/>
            </w:pPr>
            <w:r>
              <w:t xml:space="preserve">V — Frontier</w:t>
            </w:r>
          </w:p>
        </w:tc>
        <w:tc>
          <w:tcPr/>
          <w:p>
            <w:pPr>
              <w:pStyle w:val="Compact"/>
              <w:jc w:val="left"/>
            </w:pPr>
            <w:r>
              <w:t xml:space="preserve">&lt;-0,50</w:t>
            </w:r>
          </w:p>
        </w:tc>
        <w:tc>
          <w:tcPr/>
          <w:p>
            <w:pPr>
              <w:pStyle w:val="Compact"/>
              <w:jc w:val="left"/>
            </w:pPr>
            <w:r>
              <w:t xml:space="preserve">&lt;</w:t>
            </w:r>
            <m:oMath>
              <m:r>
                <m:t>1</m:t>
              </m:r>
              <m:r>
                <m:t>k</m:t>
              </m:r>
              <m:r>
                <m:rPr>
                  <m:sty m:val="p"/>
                </m:rPr>
                <m:t>–</m:t>
              </m:r>
            </m:oMath>
            <w:r>
              <w:t xml:space="preserve">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~1,36</w:t>
            </w:r>
          </w:p>
        </w:tc>
        <w:tc>
          <w:tcPr/>
          <w:p>
            <w:pPr>
              <w:pStyle w:val="Compact"/>
              <w:jc w:val="left"/>
            </w:pPr>
            <w:r>
              <w:t xml:space="preserve">Yếu; voids thể chế → đổi mới bằng nguồn lực hạn chế</w:t>
            </w:r>
          </w:p>
        </w:tc>
      </w:tr>
      <w:tr>
        <w:tc>
          <w:tcPr/>
          <w:p>
            <w:pPr>
              <w:pStyle w:val="Compact"/>
              <w:jc w:val="left"/>
            </w:pPr>
            <w:r>
              <w:t xml:space="preserve">VI — SIDS</w:t>
            </w:r>
          </w:p>
        </w:tc>
        <w:tc>
          <w:tcPr/>
          <w:p>
            <w:pPr>
              <w:pStyle w:val="Compact"/>
              <w:jc w:val="left"/>
            </w:pPr>
            <w:r>
              <w:t xml:space="preserve">Đặc biệt</w:t>
            </w:r>
          </w:p>
        </w:tc>
        <w:tc>
          <w:tcPr/>
          <w:p>
            <w:pPr>
              <w:pStyle w:val="Compact"/>
              <w:jc w:val="left"/>
            </w:pPr>
            <m:oMath>
              <m:r>
                <m:t>1</m:t>
              </m:r>
              <m:r>
                <m:t>k</m:t>
              </m:r>
              <m:r>
                <m:rPr>
                  <m:sty m:val="p"/>
                </m:rPr>
                <m:t>–</m:t>
              </m:r>
            </m:oMath>
            <w:r>
              <w:t xml:space="preserve">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 U-curve không vận hành</w:t>
            </w:r>
          </w:p>
        </w:tc>
      </w:tr>
    </w:tbl>
    <w:p>
      <w:pPr>
        <w:pStyle w:val="BodyText"/>
      </w:pPr>
      <w:r>
        <w:rPr>
          <w:iCs/>
          <w:i/>
        </w:rPr>
        <w:t xml:space="preserve">Nguồn: Tổng hợp từ World Bank Enterprise Surveys (2025); WGI từ Kaufmann et al. (2011); GNI từ World Bank (2025, tháng 7). Pattern WBES từ phân tích Chương 4 và Đỗ &amp; Phan (2026 — VEFR, JABS, JFAR, MIR under review).</w:t>
      </w:r>
    </w:p>
    <w:p>
      <w:r>
        <w:pict>
          <v:rect style="width:0;height:1.5pt" o:hralign="center" o:hrstd="t" o:hr="t"/>
        </w:pict>
      </w:r>
    </w:p>
    <w:bookmarkEnd w:id="44"/>
    <w:bookmarkEnd w:id="45"/>
    <w:bookmarkStart w:id="49" w:name="X7a4557ec5f328bbc85d5a4ed1bb75ea10e661ff"/>
    <w:p>
      <w:pPr>
        <w:pStyle w:val="Heading3"/>
      </w:pPr>
      <w:r>
        <w:t xml:space="preserve">2.3.3 Thực trạng năng suất lao động và quốc tế hóa</w:t>
      </w:r>
    </w:p>
    <w:bookmarkStart w:id="46" w:name="X9efc38921db522c2198468480477304ba858e97"/>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6"/>
    <w:bookmarkStart w:id="47" w:name="X776ba5e7e4447177ea5f3b43c9e3a363fcc40bd"/>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 0,86 sau khi bổ sung Vùng Vịnh — bằng chứng dị biệt nội bộ; (2) Frontier cao nhất —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7"/>
    <w:bookmarkStart w:id="48" w:name="Xdea3c3468e1ac43b62453be8eff03e210f590fa"/>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8"/>
    <w:bookmarkEnd w:id="49"/>
    <w:bookmarkStart w:id="53" w:name="X48a64f0ab0a551639b88ae683205b88fc505339"/>
    <w:p>
      <w:pPr>
        <w:pStyle w:val="Heading3"/>
      </w:pPr>
      <w:r>
        <w:t xml:space="preserve">2.3.4 Đổi mới sáng tạo và năng lực số hóa</w:t>
      </w:r>
    </w:p>
    <w:bookmarkStart w:id="50" w:name="Xa5eed793639f9fa708261effd8dd5d2cf95e3d3"/>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50"/>
    <w:bookmarkStart w:id="51" w:name="X48321a8ad05ce07f4df9332400b6f3b9b5184ad"/>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 sáng tạo không chính thức để bù đắp cho thiếu hụt nguồn lực; website 58,9% vượt cả nhóm Emerging dù GNI thấp hơn đáng kể. Phân tách rõ TCI so với DAI — kế thừa Đỗ &amp; Phan (2026 — VEFR).</w:t>
      </w:r>
    </w:p>
    <w:bookmarkEnd w:id="51"/>
    <w:bookmarkStart w:id="52" w:name="X039eefd029479bc7c4b04d536a9a2c0066f7bae"/>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 "số hóa làm giảm năng suất ở Singapore/Hàn Quốc" —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"Sự hiện diện số cơ bản (Tier-1)"</w:t>
      </w:r>
      <w:r>
        <w:t xml:space="preserve"> </w:t>
      </w:r>
      <w:r>
        <w:t xml:space="preserve">— phạm vi khiêm tốn và phản ánh đúng thực tế đo lường.</w:t>
      </w:r>
    </w:p>
    <w:p>
      <w:r>
        <w:pict>
          <v:rect style="width:0;height:1.5pt" o:hralign="center" o:hrstd="t" o:hr="t"/>
        </w:pict>
      </w:r>
    </w:p>
    <w:bookmarkEnd w:id="52"/>
    <w:bookmarkEnd w:id="53"/>
    <w:bookmarkStart w:id="56" w:name="X72eb40a6f7e25bc137b858c80c8b2c164b34062"/>
    <w:p>
      <w:pPr>
        <w:pStyle w:val="Heading3"/>
      </w:pPr>
      <w:r>
        <w:t xml:space="preserve">2.3.5 Cấu trúc doanh nghiệp</w:t>
      </w:r>
    </w:p>
    <w:bookmarkStart w:id="54" w:name="Xa7dedc490ea2a591885aa4c93f91c2ff8cf4a43"/>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54"/>
    <w:bookmarkStart w:id="55" w:name="X279013228163a98d12773178e6c91846d9b5a1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5"/>
    <w:bookmarkEnd w:id="56"/>
    <w:bookmarkStart w:id="62" w:name="Xb5f5053f24178deaae76fd6a0b7517dcbde3c2b"/>
    <w:p>
      <w:pPr>
        <w:pStyle w:val="Heading3"/>
      </w:pPr>
      <w:r>
        <w:t xml:space="preserve">2.3.6 Biến thiên theo thời gian (2009–2025)</w:t>
      </w:r>
    </w:p>
    <w:bookmarkStart w:id="57" w:name="Xfc0c9ffff2e477aa15de35263cf6be3ebb3dbfa"/>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7"/>
    <w:bookmarkStart w:id="58" w:name="X15cc21ed2bba2d00eb68e819762140b85f4d05d"/>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 "phải hối lộ thanh tra thuế" 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8"/>
    <w:bookmarkStart w:id="59" w:name="X1d1775454e164ec96880a4039b82bdc8acf5777"/>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theo Kafouros et al., 2023).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9"/>
    <w:bookmarkStart w:id="60" w:name="Xba69c568898f5be6dd187064545e4b695772442"/>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60"/>
    <w:bookmarkStart w:id="61" w:name="X6dd7cda65443cf47e18bb2d4cac658826405050"/>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 "số hóa tăng, xuất khẩu giảm";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 "số hóa cao" (FJI, MDV) so với "cô lập nông thôn" (KIR) — Chuyên đề 2 cần tách 2 phân nhóm con SIDS.</w:t>
      </w:r>
      <w:r>
        <w:t xml:space="preserve">; (8)</w:t>
      </w:r>
      <w:r>
        <w:t xml:space="preserve"> </w:t>
      </w:r>
      <w:r>
        <w:rPr>
          <w:bCs/>
          <w:b/>
        </w:rPr>
        <w:t xml:space="preserve">Nepal Frontier — BREADY Micro schema (n=1.740): 10% bán quốc tế, số hóa 22,6% (máy tính/tablet), sd log LP 1,15 — mẫu doanh nghiệp siêu nhỏ không so sánh trực tiếp với WBES chuẩn; cần tái mã hóa trước khi tích hợp vào hồi quy chính.</w:t>
      </w:r>
    </w:p>
    <w:p>
      <w:r>
        <w:pict>
          <v:rect style="width:0;height:1.5pt" o:hralign="center" o:hrstd="t" o:hr="t"/>
        </w:pict>
      </w:r>
    </w:p>
    <w:bookmarkEnd w:id="61"/>
    <w:bookmarkEnd w:id="62"/>
    <w:bookmarkStart w:id="71" w:name="Xd6626b244661b808c75b098a6548f556384e2d4"/>
    <w:p>
      <w:pPr>
        <w:pStyle w:val="Heading3"/>
      </w:pPr>
      <w:r>
        <w:t xml:space="preserve">2.3.7 Bảy tiểu cảnh điển hình</w:t>
      </w:r>
    </w:p>
    <w:bookmarkStart w:id="63" w:name="Xcff4d6e38b2807e38398c46cc003f19f0870721"/>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63"/>
    <w:bookmarkStart w:id="64" w:name="X7dae8bd91b7a66085efb248b8743b187c1ad134"/>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64"/>
    <w:bookmarkStart w:id="65" w:name="Xc0d0a4ac1970454ec7a9406872ce19583983fc7"/>
    <w:p>
      <w:pPr>
        <w:pStyle w:val="Heading4"/>
      </w:pPr>
      <w:r>
        <w:t xml:space="preserve">2.3.7.3 Việt Nam (n=3.077, 3 đợt khảo sát)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5"/>
    <w:bookmarkStart w:id="66" w:name="X277549c0c2e07611a176f54ee466361ef9e7c40"/>
    <w:p>
      <w:pPr>
        <w:pStyle w:val="Heading4"/>
      </w:pPr>
      <w:r>
        <w:t xml:space="preserve">2.3.7.4 Trung Quốc (n=4.889)</w:t>
      </w:r>
    </w:p>
    <w:p>
      <w:pPr>
        <w:pStyle w:val="FirstParagraph"/>
      </w:pPr>
      <w:r>
        <w:t xml:space="preserve">FSTS 10,9% → 8,8%; FDI ≥10% chiếm 6,0%. Quan hệ FSTS – năng suất là hàm bậc ba với điểm uốn ~47,8%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6"/>
    <w:bookmarkStart w:id="67" w:name="X2e3bf564c07513beffd6d89139670937864989e"/>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7"/>
    <w:bookmarkStart w:id="68" w:name="Xd73094d8bef136e9846d3fa666530217d2cc4a8"/>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8"/>
    <w:bookmarkStart w:id="69" w:name="Xab836cafea807ed77f15b21cd94cc6b892d6d3c"/>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9"/>
    <w:bookmarkStart w:id="70" w:name="Xfd5fe21f9fcef2d12fbf9bf5b514d4edcb38056"/>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70"/>
    <w:bookmarkEnd w:id="71"/>
    <w:bookmarkStart w:id="75" w:name="X268ac3e7736b22d5a7e7bb0dd0db24ee7c9a0fe"/>
    <w:p>
      <w:pPr>
        <w:pStyle w:val="Heading3"/>
      </w:pPr>
      <w:r>
        <w:t xml:space="preserve">2.3.8 Yếu tố giải thích sơ bộ</w:t>
      </w:r>
    </w:p>
    <w:bookmarkStart w:id="72" w:name="X76fd8dbe2b9b91bea7918a9270911a7c211abd5"/>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72"/>
    <w:bookmarkStart w:id="73" w:name="X787ef546d85dd073220df47ad86cf87544d1d07"/>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(kênh quan hệ, Hambrick &amp; Mason, 1984) nhưng không có ý nghĩa thống kê tại Advanced.</w:t>
      </w:r>
    </w:p>
    <w:bookmarkEnd w:id="73"/>
    <w:bookmarkStart w:id="74" w:name="Xade5b455581c2336d77181f962fe777af946445"/>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 "sân khấu số" (Verhoef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74"/>
    <w:bookmarkEnd w:id="75"/>
    <w:bookmarkStart w:id="80" w:name="Xf043498bf1729b29cfab4f032a23e6f500dd3c3"/>
    <w:p>
      <w:pPr>
        <w:pStyle w:val="Heading3"/>
      </w:pPr>
      <w:r>
        <w:t xml:space="preserve">2.3.9 Thảo luận tổng hợp</w:t>
      </w:r>
    </w:p>
    <w:bookmarkStart w:id="76" w:name="X50398870d83cde6afbab045058663d7d92dfa78"/>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6"/>
    <w:bookmarkStart w:id="77" w:name="X46667155284f97c200a5c64899f2a21c5cf33a6"/>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 "phát triển".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bookmarkEnd w:id="77"/>
    <w:bookmarkStart w:id="78" w:name="Xa66085143ffff6413371519ab41b3c4856371a5"/>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 "phần bù số" 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 "phối hợp kỹ thuật số xuyên biên giới" 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8"/>
    <w:bookmarkStart w:id="79" w:name="X189ece3194e43cc24a92a340e8a7d9069d506e5"/>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9"/>
    <w:bookmarkEnd w:id="80"/>
    <w:bookmarkEnd w:id="81"/>
    <w:bookmarkStart w:id="86" w:name="X823a172d700e07156f307d64ebb51dd68a5ba8d"/>
    <w:p>
      <w:pPr>
        <w:pStyle w:val="Heading2"/>
      </w:pPr>
      <w:r>
        <w:t xml:space="preserve">2.4 KẾT LUẬN</w:t>
      </w:r>
    </w:p>
    <w:bookmarkStart w:id="82" w:name="X45ad1c2c92641d62b5ddf89c8644d597d843847"/>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 "Advanced" nhưng pattern năng suất doanh nghiệp hoàn toàn khác nhau.</w:t>
      </w:r>
    </w:p>
    <w:bookmarkEnd w:id="82"/>
    <w:bookmarkStart w:id="85" w:name="X7e7dd0c69ae63ee797d467ac3735f8a7b3df6f2"/>
    <w:p>
      <w:pPr>
        <w:pStyle w:val="Heading3"/>
      </w:pPr>
      <w:r>
        <w:t xml:space="preserve">2.4.2 Hàm ý và đề xuất</w:t>
      </w:r>
    </w:p>
    <w:bookmarkStart w:id="83" w:name="X094960bc59f54f838b2d57aea89e9e1912e4b2a"/>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TCI cao → điểm uốn cao → chịu đựng được mức độ quốc tế hóa cao hơn.</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83"/>
    <w:bookmarkStart w:id="84" w:name="Xb697be836d09af640a289e52f50161b3b1155ae"/>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84"/>
    <w:bookmarkEnd w:id="85"/>
    <w:bookmarkEnd w:id="86"/>
    <w:bookmarkStart w:id="87"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7"/>
    <w:bookmarkStart w:id="89" w:name="phụ-lục"/>
    <w:p>
      <w:pPr>
        <w:pStyle w:val="Heading2"/>
      </w:pPr>
      <w:r>
        <w:t xml:space="preserve">PHỤ LỤC</w:t>
      </w:r>
    </w:p>
    <w:bookmarkStart w:id="88" w:name="X455ce858332f7a7b125a8542ec5352c1f9e8564"/>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8"/>
    <w:bookmarkEnd w:id="8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2026-05-16T12:19:52Z</dcterms:created>
  <dcterms:modified xsi:type="dcterms:W3CDTF">2026-05-16T12:19:52Z</dcterms:modified>
</cp:coreProperties>
</file>

<file path=docProps/custom.xml><?xml version="1.0" encoding="utf-8"?>
<Properties xmlns="http://schemas.openxmlformats.org/officeDocument/2006/custom-properties" xmlns:vt="http://schemas.openxmlformats.org/officeDocument/2006/docPropsVTypes"/>
</file>