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r>
        <w:t xml:space="preserve"> </w:t>
      </w:r>
      <w:r>
        <w:t xml:space="preserve"># CHƯƠNG 2: TỔNG QUAN TÀI LIỆU</w:t>
      </w:r>
    </w:p>
    <w:p>
      <w:pPr>
        <w:pStyle w:val="BodyText"/>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End w:id="31"/>
    <w:bookmarkStart w:id="37"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2"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2"/>
    <w:bookmarkStart w:id="33"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33"/>
    <w:bookmarkStart w:id="34"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34"/>
    <w:bookmarkStart w:id="35"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35"/>
    <w:bookmarkStart w:id="36"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36"/>
    <w:bookmarkEnd w:id="37"/>
    <w:bookmarkStart w:id="43"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38"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38"/>
    <w:bookmarkStart w:id="39"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39"/>
    <w:bookmarkStart w:id="40"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0"/>
    <w:bookmarkStart w:id="41"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1"/>
    <w:bookmarkStart w:id="42"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2"/>
    <w:bookmarkEnd w:id="43"/>
    <w:bookmarkStart w:id="47"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44"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44"/>
    <w:bookmarkStart w:id="45"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45"/>
    <w:bookmarkStart w:id="46"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46"/>
    <w:bookmarkEnd w:id="47"/>
    <w:bookmarkStart w:id="52"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48"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48"/>
    <w:bookmarkStart w:id="49"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robust.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49"/>
    <w:bookmarkStart w:id="50"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0"/>
    <w:bookmarkStart w:id="51"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1"/>
    <w:bookmarkEnd w:id="52"/>
    <w:bookmarkStart w:id="60" w:name="X571aebe6b94c63b04e26a653f6b78348d98b3f9"/>
    <w:p>
      <w:pPr>
        <w:pStyle w:val="Heading2"/>
      </w:pPr>
      <w:r>
        <w:t xml:space="preserve">2.5 Khoảng trống nghiên cứu và khung khái niệm, giả thuyết của luận án</w:t>
      </w:r>
    </w:p>
    <w:bookmarkStart w:id="53"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53"/>
    <w:bookmarkStart w:id="57"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860884"/>
            <wp:effectExtent b="0" l="0" r="0" t="0"/>
            <wp:docPr descr="Hình 2.1: Mô hình khái niệm thống nhất — CDCM" title="" id="55" name="Picture"/>
            <a:graphic>
              <a:graphicData uri="http://schemas.openxmlformats.org/drawingml/2006/picture">
                <pic:pic>
                  <pic:nvPicPr>
                    <pic:cNvPr descr="figures/figure_conceptual_model_unified.png" id="56" name="Picture"/>
                    <pic:cNvPicPr>
                      <a:picLocks noChangeArrowheads="1" noChangeAspect="1"/>
                    </pic:cNvPicPr>
                  </pic:nvPicPr>
                  <pic:blipFill>
                    <a:blip r:embed="rId54"/>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Mô hình khái niệm thống nhất — CDCM</w:t>
      </w:r>
    </w:p>
    <w:p>
      <w:pPr>
        <w:pStyle w:val="BodyText"/>
      </w:pPr>
      <w:r>
        <w:rPr>
          <w:iCs/>
          <w:i/>
        </w:rPr>
        <w:t xml:space="preserve">Hình 2.1.</w:t>
      </w:r>
      <w:r>
        <w:t xml:space="preserve"> </w:t>
      </w:r>
      <w:r>
        <w:t xml:space="preserve">Mô hình khái niệm thống nhất — Quốc tế hóa và Hiệu quả doanh nghiệp (CDCM: Context-Contingent Digital-and-Capability Model).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Mũi tên hai chiều đứt nét biểu thị thay thế số–thể chế (DAI×ICRV,</w:t>
      </w:r>
      <w:r>
        <w:t xml:space="preserve"> </w:t>
      </w:r>
      <m:oMath>
        <m:r>
          <m:t>p</m:t>
        </m:r>
      </m:oMath>
      <w:r>
        <w:t xml:space="preserve"> </w:t>
      </w:r>
      <w:r>
        <w:t xml:space="preserve">= ,049). Kiểm soát Bậc trên (H4) đặc điểm nhà quản trị đưa vào như biến kiểm soát quản trị nội sinh.</w:t>
      </w:r>
      <w:r>
        <w:t xml:space="preserve"> </w:t>
      </w:r>
      <w:r>
        <w:rPr>
          <w:iCs/>
          <w:i/>
        </w:rPr>
        <w:t xml:space="preserve">Nguồn: tác giả tự xây dựng.</w:t>
      </w:r>
    </w:p>
    <w:bookmarkEnd w:id="57"/>
    <w:bookmarkStart w:id="58"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58"/>
    <w:bookmarkStart w:id="59"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59"/>
    <w:bookmarkEnd w:id="60"/>
    <w:bookmarkStart w:id="6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1"/>
    <w:bookmarkEnd w:id="62"/>
    <w:bookmarkStart w:id="63" w:name="chương-3-phương-pháp-nghiên-cứu"/>
    <w:p>
      <w:pPr>
        <w:pStyle w:val="Heading1"/>
      </w:pPr>
      <w:r>
        <w:t xml:space="preserve">CHƯƠNG 3: PHƯƠNG PHÁP NGHIÊN CỨU</w:t>
      </w:r>
    </w:p>
    <w:bookmarkEnd w:id="63"/>
    <w:p>
      <w:r>
        <w:pict>
          <v:rect style="width:0;height:1.5pt" o:hralign="center" o:hrstd="t" o:hr="t"/>
        </w:pict>
      </w:r>
    </w:p>
    <w:bookmarkStart w:id="66" w:name="thiết-kế-nghiên-cứu-tổng-thể"/>
    <w:p>
      <w:pPr>
        <w:pStyle w:val="Heading2"/>
      </w:pPr>
      <w:r>
        <w:t xml:space="preserve">3.1 Thiết kế nghiên cứu tổng thể</w:t>
      </w:r>
    </w:p>
    <w:bookmarkStart w:id="64"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4"/>
    <w:bookmarkStart w:id="6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5"/>
    <w:bookmarkEnd w:id="66"/>
    <w:bookmarkStart w:id="71" w:name="giai-đoạn-1-phân-tích-tổng-hợp-1982-2026"/>
    <w:p>
      <w:pPr>
        <w:pStyle w:val="Heading2"/>
      </w:pPr>
      <w:r>
        <w:t xml:space="preserve">3.2 Giai đoạn 1: Phân tích tổng hợp 1982-2026</w:t>
      </w:r>
    </w:p>
    <w:bookmarkStart w:id="67"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67"/>
    <w:bookmarkStart w:id="68"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68"/>
    <w:bookmarkStart w:id="6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69"/>
    <w:bookmarkStart w:id="70" w:name="Xaf1604a6b1879e72a06558e5e5346d4255108c6"/>
    <w:p>
      <w:pPr>
        <w:pStyle w:val="Heading3"/>
      </w:pPr>
      <w:r>
        <w:t xml:space="preserve">3.2.4 Công cụ trích xuất dữ liệu M-AIDA và chuỗi quy đổi hiệu ứng</w:t>
      </w:r>
    </w:p>
    <w:p>
      <w:pPr>
        <w:pStyle w:val="FirstParagraph"/>
      </w:pPr>
      <w:r>
        <w:t xml:space="preserve">Bước trích xuất độ lớn hiệu ứng từ hàng trăm nghiên cứu sơ cấp dị biệt vừa chậm vừa dễ sai sót khi quy đổi giữa các dạng thống kê. Để tối ưu hóa khâu này mà vẫn bảo đảm tính chính xác khoa học, luận án phát triển và sử dụng</w:t>
      </w:r>
      <w:r>
        <w:t xml:space="preserve"> </w:t>
      </w:r>
      <w:r>
        <w:rPr>
          <w:bCs/>
          <w:b/>
        </w:rPr>
        <w:t xml:space="preserve">M-AIDA (Meta-Analysis Intelligent Data Assistant)</w:t>
      </w:r>
      <w:r>
        <w:t xml:space="preserve">, một công cụ trích xuất bán tự động chuyên biệt cho quan hệ I-P do tác giả xây dựng (đã lập hồ sơ đăng ký quyền tác giả tại Cục Bản quyền Tác giả Việt Nam). M-AIDA vận hành theo nguyên lý</w:t>
      </w:r>
      <w:r>
        <w:t xml:space="preserve"> </w:t>
      </w:r>
      <w:r>
        <w:rPr>
          <w:bCs/>
          <w:b/>
        </w:rPr>
        <w:t xml:space="preserve">con người trong vòng lặp (human-in-the-loop)</w:t>
      </w:r>
      <w:r>
        <w:t xml:space="preserve">: mô hình ngôn ngữ lớn hoặc bộ quy tắc biểu thức chính quy chỉ tạo ra</w:t>
      </w:r>
      <w:r>
        <w:t xml:space="preserve"> </w:t>
      </w:r>
      <w:r>
        <w:rPr>
          <w:iCs/>
          <w:i/>
        </w:rPr>
        <w:t xml:space="preserve">bản nháp</w:t>
      </w:r>
      <w:r>
        <w:t xml:space="preserve"> </w:t>
      </w:r>
      <w:r>
        <w:t xml:space="preserve">trích xuất kèm đoạn trích nguồn nguyên văn; nghiên cứu sinh chủ trì bắt buộc rà soát, hiệu chỉnh và xác nhận từng đại lượng, sau đó bản ghi mới được</w:t>
      </w:r>
      <w:r>
        <w:t xml:space="preserve"> </w:t>
      </w:r>
      <w:r>
        <w:rPr>
          <w:bCs/>
          <w:b/>
        </w:rPr>
        <w:t xml:space="preserve">khóa</w:t>
      </w:r>
      <w:r>
        <w:t xml:space="preserve"> </w:t>
      </w:r>
      <w:r>
        <w:t xml:space="preserve">kèm dấu thời gian để bảo đảm vết kiểm toán và khả năng tái lập. Tự động hóa rút ngắn thời gian, còn con người chịu trách nhiệm cuối cùng về tính hợp lệ của từng số liệu; do đó kết quả phân tích tổng hợp không lệ thuộc vào tính tự động của phần mềm.</w:t>
      </w:r>
    </w:p>
    <w:p>
      <w:pPr>
        <w:pStyle w:val="BodyText"/>
      </w:pPr>
      <w:r>
        <w:t xml:space="preserve">Khi hệ số tương quan Pearson</w:t>
      </w:r>
      <w:r>
        <w:t xml:space="preserve"> </w:t>
      </w:r>
      <m:oMath>
        <m:r>
          <m:t>r</m:t>
        </m:r>
      </m:oMath>
      <w:r>
        <w:t xml:space="preserve"> </w:t>
      </w:r>
      <w:r>
        <w:t xml:space="preserve">không được báo cáo trực tiếp, M-AIDA áp dụng chuỗi quy đổi theo thứ tự ưu tiên về độ chính xác thống kê (Borenstein et al., 2009):</w:t>
      </w:r>
    </w:p>
    <w:tbl>
      <w:tblPr>
        <w:tblStyle w:val="Table"/>
        <w:tblW w:type="pct" w:w="5000"/>
        <w:tblLook w:firstRow="1" w:lastRow="0" w:firstColumn="0" w:lastColumn="0" w:noHBand="0" w:noVBand="0" w:val="0020"/>
        <w:jc w:val="start"/>
      </w:tblPr>
      <w:tblGrid>
        <w:gridCol w:w="1218"/>
        <w:gridCol w:w="5280"/>
        <w:gridCol w:w="1421"/>
      </w:tblGrid>
      <w:tr>
        <w:trPr>
          <w:tblHeader w:val="true"/>
        </w:trPr>
        <w:tc>
          <w:tcPr/>
          <w:p>
            <w:pPr>
              <w:pStyle w:val="Compact"/>
              <w:jc w:val="left"/>
            </w:pPr>
            <w:r>
              <w:t xml:space="preserve">Bước</w:t>
            </w:r>
          </w:p>
        </w:tc>
        <w:tc>
          <w:tcPr/>
          <w:p>
            <w:pPr>
              <w:pStyle w:val="Compact"/>
              <w:jc w:val="left"/>
            </w:pPr>
            <w:r>
              <w:t xml:space="preserve">Công thức quy đổi về</w:t>
            </w:r>
            <w:r>
              <w:t xml:space="preserve"> </w:t>
            </w:r>
            <m:oMath>
              <m:r>
                <m:t>r</m:t>
              </m:r>
            </m:oMath>
          </w:p>
        </w:tc>
        <w:tc>
          <w:tcPr/>
          <w:p>
            <w:pPr>
              <w:pStyle w:val="Compact"/>
              <w:jc w:val="left"/>
            </w:pPr>
            <w:r>
              <w:t xml:space="preserve">Nguồn</w:t>
            </w:r>
          </w:p>
        </w:tc>
      </w:tr>
      <w:tr>
        <w:tc>
          <w:tcPr/>
          <w:p>
            <w:pPr>
              <w:pStyle w:val="Compact"/>
              <w:jc w:val="left"/>
            </w:pPr>
            <w:r>
              <w:t xml:space="preserve">(i)</w:t>
            </w:r>
          </w:p>
        </w:tc>
        <w:tc>
          <w:tcPr/>
          <w:p>
            <w:pPr>
              <w:pStyle w:val="Compact"/>
              <w:jc w:val="left"/>
            </w:pP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giữ dấu theo chiều hệ số</w:t>
            </w:r>
          </w:p>
        </w:tc>
        <w:tc>
          <w:tcPr/>
          <w:p>
            <w:pPr>
              <w:pStyle w:val="Compact"/>
              <w:jc w:val="left"/>
            </w:pPr>
            <w:r>
              <w:t xml:space="preserve">Cohen (1988)</w:t>
            </w:r>
          </w:p>
        </w:tc>
      </w:tr>
      <w:tr>
        <w:tc>
          <w:tcPr/>
          <w:p>
            <w:pPr>
              <w:pStyle w:val="Compact"/>
              <w:jc w:val="left"/>
            </w:pPr>
            <w:r>
              <w:t xml:space="preserve">(ii)</w:t>
            </w:r>
          </w:p>
        </w:tc>
        <w:tc>
          <w:tcPr/>
          <w:p>
            <w:pPr>
              <w:pStyle w:val="Compact"/>
              <w:jc w:val="left"/>
            </w:pPr>
            <m:oMath>
              <m:sSub>
                <m:e>
                  <m:r>
                    <m:t>r</m:t>
                  </m:r>
                </m:e>
                <m:sub>
                  <m:r>
                    <m:rPr>
                      <m:nor/>
                      <m:sty m:val="p"/>
                    </m:rPr>
                    <m:t>partial</m:t>
                  </m:r>
                </m:sub>
              </m:sSub>
              <m:r>
                <m:rPr>
                  <m:sty m:val="p"/>
                </m:rPr>
                <m:t>=</m:t>
              </m:r>
              <m:r>
                <m:t>0</m:t>
              </m:r>
              <m:r>
                <m:rPr>
                  <m:sty m:val="p"/>
                </m:rPr>
                <m:t>,</m:t>
              </m:r>
              <m:r>
                <m:t>98</m:t>
              </m:r>
              <m:r>
                <m:rPr>
                  <m:sty m:val="p"/>
                </m:rPr>
                <m:t>×</m:t>
              </m:r>
              <m:r>
                <m:t>β</m:t>
              </m:r>
            </m:oMath>
            <w:r>
              <w:t xml:space="preserve"> </w:t>
            </w:r>
            <w:r>
              <w:t xml:space="preserve">(từ hệ số hồi quy chuẩn hóa)</w:t>
            </w:r>
          </w:p>
        </w:tc>
        <w:tc>
          <w:tcPr/>
          <w:p>
            <w:pPr>
              <w:pStyle w:val="Compact"/>
              <w:jc w:val="left"/>
            </w:pPr>
            <w:r>
              <w:t xml:space="preserve">Peterson &amp; Brown (2005)</w:t>
            </w:r>
          </w:p>
        </w:tc>
      </w:tr>
      <w:tr>
        <w:tc>
          <w:tcPr/>
          <w:p>
            <w:pPr>
              <w:pStyle w:val="Compact"/>
              <w:jc w:val="left"/>
            </w:pPr>
            <w:r>
              <w:t xml:space="preserve">(iii)</w:t>
            </w:r>
          </w:p>
        </w:tc>
        <w:tc>
          <w:tcPr/>
          <w:p>
            <w:pPr>
              <w:pStyle w:val="Compact"/>
              <w:jc w:val="left"/>
            </w:pP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với</w:t>
            </w:r>
            <w:r>
              <w:t xml:space="preserve"> </w:t>
            </w:r>
            <m:oMath>
              <m:r>
                <m:t>d</m:t>
              </m:r>
              <m:sSub>
                <m:e>
                  <m:r>
                    <m:t>f</m:t>
                  </m:r>
                </m:e>
                <m:sub>
                  <m:r>
                    <m:t>1</m:t>
                  </m:r>
                </m:sub>
              </m:sSub>
              <m:r>
                <m:rPr>
                  <m:sty m:val="p"/>
                </m:rPr>
                <m:t>=</m:t>
              </m:r>
              <m:r>
                <m:t>1</m:t>
              </m:r>
            </m:oMath>
          </w:p>
        </w:tc>
        <w:tc>
          <w:tcPr/>
          <w:p>
            <w:pPr>
              <w:pStyle w:val="Compact"/>
              <w:jc w:val="left"/>
            </w:pPr>
            <w:r>
              <w:t xml:space="preserve">Rosenthal (1994)</w:t>
            </w:r>
          </w:p>
        </w:tc>
      </w:tr>
    </w:tbl>
    <w:p>
      <w:pPr>
        <w:pStyle w:val="BodyText"/>
      </w:pPr>
      <w:r>
        <w:t xml:space="preserve">Nghiên cứu chỉ báo cáo</w:t>
      </w:r>
      <w:r>
        <w:t xml:space="preserve"> </w:t>
      </w:r>
      <m:oMath>
        <m:r>
          <m:t>β</m:t>
        </m:r>
      </m:oMath>
      <w:r>
        <w:t xml:space="preserve"> </w:t>
      </w:r>
      <w:r>
        <w:t xml:space="preserve">chưa chuẩn hóa mà không kèm thống kê</w:t>
      </w:r>
      <w:r>
        <w:t xml:space="preserve"> </w:t>
      </w:r>
      <m:oMath>
        <m:r>
          <m:t>t</m:t>
        </m:r>
      </m:oMath>
      <w:r>
        <w:t xml:space="preserve"> </w:t>
      </w:r>
      <w:r>
        <w:t xml:space="preserve">và</w:t>
      </w:r>
      <w:r>
        <w:t xml:space="preserve"> </w:t>
      </w:r>
      <m:oMath>
        <m:r>
          <m:t>d</m:t>
        </m:r>
        <m:r>
          <m:t>f</m:t>
        </m:r>
      </m:oMath>
      <w:r>
        <w:t xml:space="preserve"> </w:t>
      </w:r>
      <w:r>
        <w:t xml:space="preserve">bị loại khỏi mẫu, trừ khi giá trị</w:t>
      </w:r>
      <w:r>
        <w:t xml:space="preserve"> </w:t>
      </w:r>
      <m:oMath>
        <m:r>
          <m:t>p</m:t>
        </m:r>
      </m:oMath>
      <w:r>
        <w:t xml:space="preserve"> </w:t>
      </w:r>
      <w:r>
        <w:t xml:space="preserve">cho phép tối thiểu phân loại chiều hướng. Mọi</w:t>
      </w:r>
      <w:r>
        <w:t xml:space="preserve"> </w:t>
      </w:r>
      <m:oMath>
        <m:r>
          <m:t>r</m:t>
        </m:r>
      </m:oMath>
      <w:r>
        <w:t xml:space="preserve"> </w:t>
      </w:r>
      <w:r>
        <w:t xml:space="preserve">sau đó được biến đổi sang thang Fisher</w:t>
      </w:r>
      <w:r>
        <w:t xml:space="preserve"> </w:t>
      </w:r>
      <m:oMath>
        <m:r>
          <m:t>z</m:t>
        </m:r>
        <m:r>
          <m:rPr>
            <m:sty m:val="p"/>
          </m:rPr>
          <m:t>=</m:t>
        </m:r>
        <m:f>
          <m:fPr>
            <m:type m:val="lin"/>
          </m:fPr>
          <m:num>
            <m:r>
              <m:t>1</m:t>
            </m:r>
          </m:num>
          <m:den>
            <m:r>
              <m:t>2</m:t>
            </m:r>
          </m:den>
        </m:f>
        <m:r>
          <m:rPr>
            <m:sty m:val="p"/>
          </m:rPr>
          <m:t>ln</m:t>
        </m:r>
        <m:d>
          <m:dPr>
            <m:begChr m:val="["/>
            <m:endChr m:val="]"/>
            <m:sepChr m:val=""/>
            <m:grow/>
          </m:dPr>
          <m:e>
            <m:d>
              <m:dPr>
                <m:begChr m:val="("/>
                <m:endChr m:val=")"/>
                <m:sepChr m:val=""/>
                <m:grow/>
              </m:dPr>
              <m:e>
                <m:r>
                  <m:t>1</m:t>
                </m:r>
                <m:r>
                  <m:rPr>
                    <m:sty m:val="p"/>
                  </m:rPr>
                  <m:t>+</m:t>
                </m:r>
                <m:r>
                  <m:t>r</m:t>
                </m:r>
              </m:e>
            </m:d>
            <m:r>
              <m:rPr>
                <m:sty m:val="p"/>
              </m:rPr>
              <m:t>/</m:t>
            </m:r>
            <m:d>
              <m:dPr>
                <m:begChr m:val="("/>
                <m:endChr m:val=")"/>
                <m:sepChr m:val=""/>
                <m:grow/>
              </m:dPr>
              <m:e>
                <m:r>
                  <m:t>1</m:t>
                </m:r>
                <m:r>
                  <m:rPr>
                    <m:sty m:val="p"/>
                  </m:rPr>
                  <m:t>−</m:t>
                </m:r>
                <m:r>
                  <m:t>r</m:t>
                </m:r>
              </m:e>
            </m:d>
          </m:e>
        </m:d>
      </m:oMath>
      <w:r>
        <w:t xml:space="preserve"> </w:t>
      </w:r>
      <w:r>
        <w:t xml:space="preserve">để ổn định phương sai trước khi gộp (Hedges &amp; Olkin, 1985); mọi giá trị</w:t>
      </w:r>
      <w:r>
        <w:t xml:space="preserve"> </w:t>
      </w:r>
      <m:oMath>
        <m:d>
          <m:dPr>
            <m:begChr m:val="|"/>
            <m:endChr m:val="|"/>
            <m:sepChr m:val=""/>
            <m:grow/>
          </m:dPr>
          <m:e>
            <m:r>
              <m:t>r</m:t>
            </m:r>
          </m:e>
        </m:d>
        <m:r>
          <m:rPr>
            <m:sty m:val="p"/>
          </m:rPr>
          <m:t>≥</m:t>
        </m:r>
        <m:r>
          <m:t>1</m:t>
        </m:r>
      </m:oMath>
      <w:r>
        <w:t xml:space="preserve"> </w:t>
      </w:r>
      <w:r>
        <w:t xml:space="preserve">đều bị loại. Quy trình mã hóa và độ tin cậy liên mã hóa viên (Cohen’s</w:t>
      </w:r>
      <w:r>
        <w:t xml:space="preserve"> </w:t>
      </w:r>
      <m:oMath>
        <m:r>
          <m:t>κ</m:t>
        </m:r>
        <m:r>
          <m:rPr>
            <m:sty m:val="p"/>
          </m:rPr>
          <m:t>≥</m:t>
        </m:r>
        <m:r>
          <m:t>0</m:t>
        </m:r>
        <m:r>
          <m:rPr>
            <m:sty m:val="p"/>
          </m:rPr>
          <m:t>,</m:t>
        </m:r>
        <m:r>
          <m:t>70</m:t>
        </m:r>
      </m:oMath>
      <w:r>
        <w:t xml:space="preserve">) được trình bày chi tiết trong bài báo phân tích tổng hợp thành phần (P6).</w:t>
      </w:r>
    </w:p>
    <w:bookmarkEnd w:id="70"/>
    <w:bookmarkEnd w:id="71"/>
    <w:bookmarkStart w:id="80" w:name="X2f2dc61cf51b22160123af8668c978f8ce43175"/>
    <w:p>
      <w:pPr>
        <w:pStyle w:val="Heading2"/>
      </w:pPr>
      <w:r>
        <w:t xml:space="preserve">3.3 Giai đoạn 2: Phân tích thực nghiệm đa quốc gia</w:t>
      </w:r>
    </w:p>
    <w:bookmarkStart w:id="72"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72"/>
    <w:bookmarkStart w:id="73"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3"/>
    <w:bookmarkStart w:id="74"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74"/>
    <w:bookmarkStart w:id="78" w:name="đo-lường-biến-điều-tiết"/>
    <w:p>
      <w:pPr>
        <w:pStyle w:val="Heading3"/>
      </w:pPr>
      <w:r>
        <w:t xml:space="preserve">3.3.4 Đo lường biến điều tiết</w:t>
      </w:r>
    </w:p>
    <w:bookmarkStart w:id="75"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5"/>
    <w:bookmarkStart w:id="76"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6"/>
    <w:bookmarkStart w:id="77"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77"/>
    <w:bookmarkEnd w:id="78"/>
    <w:bookmarkStart w:id="79"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79"/>
    <w:bookmarkEnd w:id="80"/>
    <w:bookmarkStart w:id="94" w:name="mô-hình-phân-tích"/>
    <w:p>
      <w:pPr>
        <w:pStyle w:val="Heading2"/>
      </w:pPr>
      <w:r>
        <w:t xml:space="preserve">3.4 Mô hình phân tích</w:t>
      </w:r>
    </w:p>
    <w:bookmarkStart w:id="81"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1"/>
    <w:bookmarkStart w:id="82"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2"/>
    <w:bookmarkStart w:id="83"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3"/>
    <w:bookmarkStart w:id="86" w:name="mô-hình-điều-tiết-h2-h6"/>
    <w:p>
      <w:pPr>
        <w:pStyle w:val="Heading3"/>
      </w:pPr>
      <w:r>
        <w:t xml:space="preserve">3.4.4 Mô hình điều tiết (H2-H6)</w:t>
      </w:r>
    </w:p>
    <w:bookmarkStart w:id="84"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4"/>
    <w:bookmarkStart w:id="85"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85"/>
    <w:bookmarkEnd w:id="86"/>
    <w:bookmarkStart w:id="87"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87"/>
    <w:bookmarkStart w:id="8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88"/>
    <w:bookmarkStart w:id="8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89"/>
    <w:bookmarkStart w:id="9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90"/>
    <w:bookmarkStart w:id="91"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91"/>
    <w:bookmarkStart w:id="92"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2"/>
    <w:bookmarkStart w:id="93"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3"/>
    <w:bookmarkEnd w:id="94"/>
    <w:bookmarkStart w:id="100" w:name="kiểm-định-độ-vững"/>
    <w:p>
      <w:pPr>
        <w:pStyle w:val="Heading2"/>
      </w:pPr>
      <w:r>
        <w:t xml:space="preserve">3.5 Kiểm định độ vững</w:t>
      </w:r>
    </w:p>
    <w:bookmarkStart w:id="95"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5"/>
    <w:bookmarkStart w:id="96"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6"/>
    <w:bookmarkStart w:id="97"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97"/>
    <w:bookmarkStart w:id="98"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98"/>
    <w:bookmarkStart w:id="99"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99"/>
    <w:bookmarkEnd w:id="100"/>
    <w:bookmarkStart w:id="10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1"/>
    <w:bookmarkStart w:id="10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 CHƯƠNG 4: KẾT QUẢ NGHIÊN CỨU</w:t>
      </w:r>
    </w:p>
    <w:p>
      <w:r>
        <w:pict>
          <v:rect style="width:0;height:1.5pt" o:hralign="center" o:hrstd="t" o:hr="t"/>
        </w:pict>
      </w:r>
    </w:p>
    <w:bookmarkEnd w:id="102"/>
    <w:bookmarkStart w:id="103"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3"/>
    <w:bookmarkStart w:id="108" w:name="thống-kê-mô-tả-và-bức-tranh-tổng-thể"/>
    <w:p>
      <w:pPr>
        <w:pStyle w:val="Heading2"/>
      </w:pPr>
      <w:r>
        <w:t xml:space="preserve">4.1 Thống kê mô tả và bức tranh tổng thể</w:t>
      </w:r>
    </w:p>
    <w:bookmarkStart w:id="104"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4"/>
    <w:bookmarkStart w:id="105"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105"/>
    <w:bookmarkStart w:id="106"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6"/>
    <w:bookmarkStart w:id="107"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07"/>
    <w:bookmarkEnd w:id="108"/>
    <w:bookmarkStart w:id="113" w:name="Xcac9e8aa89b90d2d4c5a3d7a7353386e79eb48b"/>
    <w:p>
      <w:pPr>
        <w:pStyle w:val="Heading2"/>
      </w:pPr>
      <w:r>
        <w:t xml:space="preserve">4.2 Kết quả phân tích tổng hợp ba tầng (phân tích tổng hợp)</w:t>
      </w:r>
    </w:p>
    <w:bookmarkStart w:id="109"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09"/>
    <w:bookmarkStart w:id="110"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0"/>
    <w:bookmarkStart w:id="111"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robust</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robust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robust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111"/>
    <w:bookmarkStart w:id="112"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2"/>
    <w:bookmarkEnd w:id="113"/>
    <w:bookmarkStart w:id="118" w:name="X2211c9df96706adf979c72912d0dfbc1dae7ce1"/>
    <w:p>
      <w:pPr>
        <w:pStyle w:val="Heading2"/>
      </w:pPr>
      <w:r>
        <w:t xml:space="preserve">4.3 Kết quả đa quốc gia trên 45 nền kinh tế (phân tích đa quốc gia 45 nền kinh tế)</w:t>
      </w:r>
    </w:p>
    <w:bookmarkStart w:id="114"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114"/>
    <w:bookmarkStart w:id="115"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robust</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robust.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115"/>
    <w:bookmarkStart w:id="116"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6"/>
    <w:bookmarkStart w:id="117"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117"/>
    <w:bookmarkEnd w:id="118"/>
    <w:bookmarkStart w:id="122"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19"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19"/>
    <w:bookmarkStart w:id="120"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0"/>
    <w:bookmarkStart w:id="121"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1"/>
    <w:bookmarkEnd w:id="122"/>
    <w:bookmarkStart w:id="126" w:name="X7dc1f4b6942ab8cbfe81c82f5ce732ad4c75229"/>
    <w:p>
      <w:pPr>
        <w:pStyle w:val="Heading2"/>
      </w:pPr>
      <w:r>
        <w:t xml:space="preserve">4.5 Trường hợp biên: quốc đảo nhỏ đang phát triển Thái Bình Dương (SIDS)</w:t>
      </w:r>
    </w:p>
    <w:bookmarkStart w:id="123"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3"/>
    <w:bookmarkStart w:id="124"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4"/>
    <w:bookmarkStart w:id="125"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5"/>
    <w:bookmarkEnd w:id="126"/>
    <w:bookmarkStart w:id="131" w:name="thảo-luận-tổng-hợp"/>
    <w:p>
      <w:pPr>
        <w:pStyle w:val="Heading2"/>
      </w:pPr>
      <w:r>
        <w:t xml:space="preserve">4.6 Thảo luận tổng hợp</w:t>
      </w:r>
    </w:p>
    <w:bookmarkStart w:id="127"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27"/>
    <w:bookmarkStart w:id="128"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28"/>
    <w:bookmarkStart w:id="129"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29"/>
    <w:bookmarkStart w:id="130"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robust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0"/>
    <w:bookmarkEnd w:id="131"/>
    <w:bookmarkStart w:id="132"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tbl>
      <w:tblPr>
        <w:tblStyle w:val="Table"/>
        <w:tblW w:type="pct" w:w="278"/>
        <w:tblLook w:firstRow="0" w:lastRow="0" w:firstColumn="0" w:lastColumn="0" w:noHBand="0" w:noVBand="0" w:val="0000"/>
        <w:jc w:val="start"/>
      </w:tblPr>
      <w:tblGrid>
        <w:gridCol w:w="440"/>
      </w:tblGrid>
      <w:tr>
        <w:tc>
          <w:tcPr/>
          <w:p>
            <w:pPr>
              <w:pStyle w:val="Compact"/>
            </w:pPr>
          </w:p>
        </w:tc>
      </w:tr>
      <w:tr>
        <w:tc>
          <w:tcPr/>
          <w:p>
            <w:pPr>
              <w:pStyle w:val="Compact"/>
              <w:jc w:val="left"/>
            </w:pPr>
            <w:r>
              <w:t xml:space="preserve"># CHƯƠNG 5: KẾT LUẬN VÀ ĐỀ XUẤT</w:t>
            </w:r>
          </w:p>
        </w:tc>
      </w:tr>
      <w:tr>
        <w:tc>
          <w:tcPr/>
          <w:p>
            <w:pPr>
              <w:pStyle w:val="Compact"/>
            </w:pPr>
          </w:p>
        </w:tc>
      </w:tr>
    </w:tbl>
    <w:bookmarkEnd w:id="132"/>
    <w:bookmarkStart w:id="133"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3"/>
    <w:bookmarkStart w:id="139" w:name="Xff8cef3ed320f9cf6f3fba4ff558bfed3af19c6"/>
    <w:p>
      <w:pPr>
        <w:pStyle w:val="Heading2"/>
      </w:pPr>
      <w:r>
        <w:t xml:space="preserve">5.1 Bàn luận kết quả theo khung lý thuyết CDCM</w:t>
      </w:r>
    </w:p>
    <w:bookmarkStart w:id="134"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4"/>
    <w:bookmarkStart w:id="135"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35"/>
    <w:bookmarkStart w:id="136"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136"/>
    <w:bookmarkStart w:id="137"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37"/>
    <w:bookmarkStart w:id="138"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38"/>
    <w:bookmarkEnd w:id="139"/>
    <w:bookmarkStart w:id="143" w:name="so-sánh-với-nghiên-cứu-trước-đây"/>
    <w:p>
      <w:pPr>
        <w:pStyle w:val="Heading2"/>
      </w:pPr>
      <w:r>
        <w:t xml:space="preserve">5.2 So sánh với nghiên cứu trước đây</w:t>
      </w:r>
    </w:p>
    <w:bookmarkStart w:id="140"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0"/>
    <w:bookmarkStart w:id="141"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1"/>
    <w:bookmarkStart w:id="142"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2"/>
    <w:bookmarkEnd w:id="143"/>
    <w:bookmarkStart w:id="147" w:name="đóng-góp-lý-thuyết-1"/>
    <w:p>
      <w:pPr>
        <w:pStyle w:val="Heading2"/>
      </w:pPr>
      <w:r>
        <w:t xml:space="preserve">5.3 Đóng góp lý thuyết</w:t>
      </w:r>
    </w:p>
    <w:bookmarkStart w:id="14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4"/>
    <w:bookmarkStart w:id="145"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45"/>
    <w:bookmarkStart w:id="146"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46"/>
    <w:bookmarkEnd w:id="147"/>
    <w:bookmarkStart w:id="152" w:name="đề-xuất-chính-sách-và-quản-trị"/>
    <w:p>
      <w:pPr>
        <w:pStyle w:val="Heading2"/>
      </w:pPr>
      <w:r>
        <w:t xml:space="preserve">5.4 Đề xuất chính sách và quản trị</w:t>
      </w:r>
    </w:p>
    <w:bookmarkStart w:id="148"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48"/>
    <w:bookmarkStart w:id="149"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49"/>
    <w:bookmarkStart w:id="150"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0"/>
    <w:bookmarkStart w:id="151"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1"/>
    <w:bookmarkEnd w:id="152"/>
    <w:bookmarkStart w:id="157" w:name="hạn-chế-và-hướng-nghiên-cứu-tương-lai"/>
    <w:p>
      <w:pPr>
        <w:pStyle w:val="Heading2"/>
      </w:pPr>
      <w:r>
        <w:t xml:space="preserve">5.5 Hạn chế và hướng nghiên cứu tương lai</w:t>
      </w:r>
    </w:p>
    <w:bookmarkStart w:id="153"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3"/>
    <w:bookmarkStart w:id="154"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4"/>
    <w:bookmarkStart w:id="155"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55"/>
    <w:bookmarkStart w:id="156"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56"/>
    <w:bookmarkEnd w:id="157"/>
    <w:bookmarkStart w:id="162" w:name="kết-luận"/>
    <w:p>
      <w:pPr>
        <w:pStyle w:val="Heading2"/>
      </w:pPr>
      <w:r>
        <w:t xml:space="preserve">5.6 Kết luận</w:t>
      </w:r>
    </w:p>
    <w:bookmarkStart w:id="158"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58"/>
    <w:bookmarkStart w:id="15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59"/>
    <w:bookmarkStart w:id="16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robust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0"/>
    <w:bookmarkStart w:id="161"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Tài liệu tham khảo — APA 7th</w:t>
            </w:r>
          </w:p>
        </w:tc>
      </w:tr>
      <w:tr>
        <w:tc>
          <w:tcPr/>
          <w:p>
            <w:pPr>
              <w:pStyle w:val="Compact"/>
              <w:jc w:val="left"/>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tc>
      </w:tr>
      <w:tr>
        <w:tc>
          <w:tcPr/>
          <w:p>
            <w:pPr>
              <w:pStyle w:val="Compact"/>
              <w:jc w:val="left"/>
            </w:pPr>
            <w:r>
              <w:t xml:space="preserve">&gt;</w:t>
            </w:r>
            <w:r>
              <w:t xml:space="preserve"> </w:t>
            </w:r>
            <w:r>
              <w:rPr>
                <w:bCs/>
                <w:b/>
              </w:rPr>
              <w:t xml:space="preserve">Phiên bản 2.0 (06/05/2026)</w:t>
            </w:r>
            <w:r>
              <w:t xml:space="preserve">: Bổ sung 11 entries học thuật mới (Section N) và 7 văn bản pháp lý Việt Nam (Section O).</w:t>
            </w:r>
            <w:r>
              <w:t xml:space="preserve"> </w:t>
            </w:r>
            <w:r>
              <w:t xml:space="preserve">&gt;</w:t>
            </w:r>
            <w:r>
              <w:t xml:space="preserve"> </w:t>
            </w:r>
            <w:r>
              <w:t xml:space="preserve">&gt;</w:t>
            </w:r>
            <w:r>
              <w:t xml:space="preserve"> </w:t>
            </w: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r>
              <w:t xml:space="preserve"> </w:t>
            </w:r>
            <w:r>
              <w:t xml:space="preserve">&gt;</w:t>
            </w:r>
            <w:r>
              <w:t xml:space="preserve"> </w:t>
            </w:r>
            <w:r>
              <w:t xml:space="preserve">&gt;</w:t>
            </w:r>
            <w:r>
              <w:t xml:space="preserve"> </w:t>
            </w: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r>
              <w:t xml:space="preserve"> </w:t>
            </w:r>
            <w:r>
              <w:t xml:space="preserve">&gt;</w:t>
            </w:r>
            <w:r>
              <w:t xml:space="preserve"> </w:t>
            </w:r>
            <w:r>
              <w:t xml:space="preserve">&gt;</w:t>
            </w:r>
            <w:r>
              <w:t xml:space="preserve"> </w:t>
            </w: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r>
              <w:t xml:space="preserve"> </w:t>
            </w:r>
            <w:r>
              <w:t xml:space="preserve">&gt;</w:t>
            </w:r>
            <w:r>
              <w:t xml:space="preserve"> </w:t>
            </w:r>
            <w:r>
              <w:t xml:space="preserve">&gt;</w:t>
            </w:r>
            <w:r>
              <w:t xml:space="preserve"> </w:t>
            </w: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r>
              <w:t xml:space="preserve"> </w:t>
            </w:r>
            <w:r>
              <w:t xml:space="preserve">&gt;</w:t>
            </w:r>
            <w:r>
              <w:t xml:space="preserve"> </w:t>
            </w:r>
            <w:r>
              <w:t xml:space="preserve">&gt;</w:t>
            </w:r>
            <w:r>
              <w:t xml:space="preserve"> </w:t>
            </w: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r>
              <w:t xml:space="preserve"> </w:t>
            </w:r>
            <w:r>
              <w:t xml:space="preserve">&gt;</w:t>
            </w:r>
            <w:r>
              <w:t xml:space="preserve"> </w:t>
            </w:r>
            <w:r>
              <w:t xml:space="preserve">&gt;</w:t>
            </w:r>
            <w:r>
              <w:t xml:space="preserve"> </w:t>
            </w: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r>
              <w:t xml:space="preserve"> </w:t>
            </w:r>
            <w:r>
              <w:t xml:space="preserve">&gt;</w:t>
            </w:r>
            <w:r>
              <w:t xml:space="preserve"> </w:t>
            </w:r>
            <w:r>
              <w:t xml:space="preserve">&gt;</w:t>
            </w:r>
            <w:r>
              <w:t xml:space="preserve"> </w:t>
            </w: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r>
              <w:t xml:space="preserve"> </w:t>
            </w:r>
            <w:r>
              <w:t xml:space="preserve">&gt;</w:t>
            </w:r>
            <w:r>
              <w:t xml:space="preserve"> </w:t>
            </w:r>
            <w:r>
              <w:t xml:space="preserve">&gt;</w:t>
            </w:r>
            <w:r>
              <w:t xml:space="preserve"> </w:t>
            </w: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r>
              <w:t xml:space="preserve"> </w:t>
            </w:r>
            <w:r>
              <w:t xml:space="preserve">&gt;</w:t>
            </w:r>
            <w:r>
              <w:t xml:space="preserve"> </w:t>
            </w:r>
            <w:r>
              <w:t xml:space="preserve">&gt;</w:t>
            </w:r>
            <w:r>
              <w:t xml:space="preserve"> </w:t>
            </w: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tc>
      </w:tr>
      <w:tr>
        <w:tc>
          <w:tcPr/>
          <w:p>
            <w:pPr>
              <w:pStyle w:val="Compact"/>
              <w:jc w:val="left"/>
            </w:pPr>
            <w:r>
              <w:t xml:space="preserve">&gt;</w:t>
            </w:r>
            <w:r>
              <w:t xml:space="preserve"> </w:t>
            </w: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tc>
      </w:tr>
      <w:tr>
        <w:tc>
          <w:tcPr/>
          <w:p>
            <w:pPr>
              <w:pStyle w:val="Compact"/>
              <w:jc w:val="left"/>
            </w:pPr>
            <w:r>
              <w:t xml:space="preserve">## A. Lý thuyết nền kinh doanh quốc tế (cập nhật v2.4 — bổ sung Bello &amp; Kostova 2012, Meyer et al. 2017, Dunning 1988, Williamson 2000)</w:t>
            </w:r>
          </w:p>
        </w:tc>
      </w:tr>
      <w:tr>
        <w:tc>
          <w:tcPr/>
          <w:p>
            <w:pPr>
              <w:pStyle w:val="Compact"/>
              <w:jc w:val="left"/>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tc>
      </w:tr>
      <w:tr>
        <w:tc>
          <w:tcPr/>
          <w:p>
            <w:pPr>
              <w:pStyle w:val="Compact"/>
              <w:jc w:val="lef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tc>
      </w:tr>
      <w:tr>
        <w:tc>
          <w:tcPr/>
          <w:p>
            <w:pPr>
              <w:pStyle w:val="Compact"/>
              <w:jc w:val="lef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tc>
      </w:tr>
      <w:tr>
        <w:tc>
          <w:tcPr/>
          <w:p>
            <w:pPr>
              <w:pStyle w:val="Compact"/>
              <w:jc w:val="lef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tc>
      </w:tr>
      <w:tr>
        <w:tc>
          <w:tcPr/>
          <w:p>
            <w:pPr>
              <w:pStyle w:val="Compact"/>
              <w:jc w:val="lef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tc>
      </w:tr>
      <w:tr>
        <w:tc>
          <w:tcPr/>
          <w:p>
            <w:pPr>
              <w:pStyle w:val="Compact"/>
              <w:jc w:val="left"/>
            </w:pPr>
            <w:r>
              <w:t xml:space="preserve">## B. Internationalization-Firm Performance: Foundational empirical</w:t>
            </w:r>
          </w:p>
        </w:tc>
      </w:tr>
      <w:tr>
        <w:tc>
          <w:tcPr/>
          <w:p>
            <w:pPr>
              <w:pStyle w:val="Compact"/>
              <w:jc w:val="left"/>
            </w:pPr>
            <w:r>
              <w:t xml:space="preserve">(Giữ nguyên từ v2.1 — Contractor et al. 2003, Gomes &amp; Ramaswamy 1999, Grant 1987, Hitt et al. 1997 và 2006, Kim et al. 1989, Lu &amp; Beamish 2004, Sullivan 1994. Tổng 8 entries.)</w:t>
            </w:r>
          </w:p>
        </w:tc>
      </w:tr>
      <w:tr>
        <w:tc>
          <w:tcPr/>
          <w:p>
            <w:pPr>
              <w:pStyle w:val="Compact"/>
              <w:jc w:val="left"/>
            </w:pPr>
            <w:r>
              <w:t xml:space="preserve">&gt;</w:t>
            </w:r>
            <w:r>
              <w:t xml:space="preserve"> </w:t>
            </w: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tc>
      </w:tr>
      <w:tr>
        <w:tc>
          <w:tcPr/>
          <w:p>
            <w:pPr>
              <w:pStyle w:val="Compact"/>
              <w:jc w:val="left"/>
            </w:pPr>
            <w:r>
              <w:t xml:space="preserve">## C. Meta-analyses về I-P relationship</w:t>
            </w:r>
          </w:p>
        </w:tc>
      </w:tr>
      <w:tr>
        <w:tc>
          <w:tcPr/>
          <w:p>
            <w:pPr>
              <w:pStyle w:val="Compact"/>
              <w:jc w:val="left"/>
            </w:pPr>
            <w:r>
              <w:t xml:space="preserve">(Giữ nguyên từ v2.1 — Arte &amp; Larimo 2022, Bausch &amp; Krist 2007, Kirca et al. 2012, Marano et al. 2016, Schwens et al. 2018, Wu, Fan &amp; Chen 2022. Tổng 6 entries.)</w:t>
            </w:r>
          </w:p>
        </w:tc>
      </w:tr>
      <w:tr>
        <w:tc>
          <w:tcPr/>
          <w:p>
            <w:pPr>
              <w:pStyle w:val="Compact"/>
              <w:jc w:val="left"/>
            </w:pPr>
            <w:r>
              <w:t xml:space="preserve">## D. Recent IB literature 2019-2025 (cập nhật v2.3 — bổ sung Xu 2024 GSJ + Kafouros 2023 GSJ)</w:t>
            </w:r>
          </w:p>
        </w:tc>
      </w:tr>
      <w:tr>
        <w:tc>
          <w:tcPr/>
          <w:p>
            <w:pPr>
              <w:pStyle w:val="Compact"/>
              <w:jc w:val="lef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tc>
      </w:tr>
      <w:tr>
        <w:tc>
          <w:tcPr/>
          <w:p>
            <w:pPr>
              <w:pStyle w:val="Compact"/>
              <w:jc w:val="lef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tc>
      </w:tr>
      <w:tr>
        <w:tc>
          <w:tcPr/>
          <w:p>
            <w:pPr>
              <w:pStyle w:val="Compact"/>
              <w:jc w:val="left"/>
            </w:pPr>
            <w:r>
              <w:t xml:space="preserve">Banalieva, E. R., &amp; Dhanaraj, C. (2019). Internalization theory for the digital economy.</w:t>
            </w:r>
            <w:r>
              <w:t xml:space="preserve"> </w:t>
            </w:r>
            <w:r>
              <w:rPr>
                <w:iCs/>
                <w:i/>
              </w:rPr>
              <w:t xml:space="preserve">Journal of International Business Studies, 50</w:t>
            </w:r>
            <w:r>
              <w:t xml:space="preserve">(8), 1372–1387.</w:t>
            </w:r>
          </w:p>
        </w:tc>
      </w:tr>
      <w:tr>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tc>
      </w:tr>
      <w:tr>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tc>
      </w:tr>
      <w:tr>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tc>
      </w:tr>
      <w:tr>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Stallkamp, M., &amp; Schotter, A. P. J. (2021). Platforms without borders?</w:t>
            </w:r>
            <w:r>
              <w:t xml:space="preserve"> </w:t>
            </w:r>
            <w:r>
              <w:rPr>
                <w:iCs/>
                <w:i/>
              </w:rPr>
              <w:t xml:space="preserve">Global Strategy Journal, 11</w:t>
            </w:r>
            <w:r>
              <w:t xml:space="preserve">(1), 58–80.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tc>
      </w:tr>
      <w:tr>
        <w:tc>
          <w:tcPr/>
          <w:p>
            <w:pPr>
              <w:pStyle w:val="Compact"/>
              <w:jc w:val="lef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tc>
      </w:tr>
      <w:tr>
        <w:tc>
          <w:tcPr/>
          <w:p>
            <w:pPr>
              <w:pStyle w:val="Compact"/>
              <w:jc w:val="left"/>
            </w:pPr>
            <w:r>
              <w:t xml:space="preserve">## E. Top management và leadership (cập nhật v2.3)</w:t>
            </w:r>
          </w:p>
        </w:tc>
      </w:tr>
      <w:tr>
        <w:tc>
          <w:tcPr/>
          <w:p>
            <w:pPr>
              <w:pStyle w:val="Compact"/>
              <w:jc w:val="left"/>
            </w:pPr>
            <w:r>
              <w:t xml:space="preserve">(Giữ nguyên từ v2.1 — Hsu et al. 2013, Post &amp; Byron 2015, Sambharya 1996.)</w:t>
            </w:r>
          </w:p>
        </w:tc>
      </w:tr>
      <w:tr>
        <w:tc>
          <w:tcPr/>
          <w:p>
            <w:pPr>
              <w:pStyle w:val="Compact"/>
              <w:jc w:val="lef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tc>
      </w:tr>
      <w:tr>
        <w:tc>
          <w:tcPr/>
          <w:p>
            <w:pPr>
              <w:pStyle w:val="Compact"/>
              <w:jc w:val="lef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tc>
      </w:tr>
      <w:tr>
        <w:tc>
          <w:tcPr/>
          <w:p>
            <w:pPr>
              <w:pStyle w:val="Compact"/>
              <w:jc w:val="left"/>
            </w:pPr>
            <w:r>
              <w:t xml:space="preserve">## F. China-specific research (cập nhật v2.2)</w:t>
            </w:r>
          </w:p>
        </w:tc>
      </w:tr>
      <w:tr>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tc>
      </w:tr>
      <w:tr>
        <w:tc>
          <w:tcPr/>
          <w:p>
            <w:pPr>
              <w:pStyle w:val="Compact"/>
              <w:jc w:val="left"/>
            </w:pPr>
            <w:r>
              <w:t xml:space="preserve">Liu, X., &amp; Zhang, H. (2024). How geopolitical risk affects firms’ internationalization performance: Evidence from China.</w:t>
            </w:r>
            <w:r>
              <w:t xml:space="preserve"> </w:t>
            </w:r>
            <w:r>
              <w:rPr>
                <w:iCs/>
                <w:i/>
              </w:rPr>
              <w:t xml:space="preserve">Heliyon, 10</w:t>
            </w:r>
            <w:r>
              <w:t xml:space="preserve">(6), e27512.</w:t>
            </w:r>
          </w:p>
        </w:tc>
      </w:tr>
      <w:tr>
        <w:tc>
          <w:tcPr/>
          <w:p>
            <w:pPr>
              <w:pStyle w:val="Compact"/>
              <w:jc w:val="lef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tc>
      </w:tr>
      <w:tr>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Zhang, Y., &amp; Wei, J. (2022). The impact of the internationalization of China’s new retail industry on corporate performance.</w:t>
            </w:r>
            <w:r>
              <w:t xml:space="preserve"> </w:t>
            </w:r>
            <w:r>
              <w:rPr>
                <w:iCs/>
                <w:i/>
              </w:rPr>
              <w:t xml:space="preserve">PLOS ONE, 17</w:t>
            </w:r>
            <w:r>
              <w:t xml:space="preserve">(2), e0262891.</w:t>
            </w:r>
          </w:p>
        </w:tc>
      </w:tr>
      <w:tr>
        <w:tc>
          <w:tcPr/>
          <w:p>
            <w:pPr>
              <w:pStyle w:val="Compact"/>
              <w:jc w:val="left"/>
            </w:pPr>
            <w:r>
              <w:t xml:space="preserve">## G. Asian/EMNE empirical (cập nhật v2.3)</w:t>
            </w:r>
          </w:p>
        </w:tc>
      </w:tr>
      <w:tr>
        <w:tc>
          <w:tcPr/>
          <w:p>
            <w:pPr>
              <w:pStyle w:val="Compact"/>
              <w:jc w:val="lef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tc>
      </w:tr>
      <w:tr>
        <w:tc>
          <w:tcPr/>
          <w:p>
            <w:pPr>
              <w:pStyle w:val="Compact"/>
              <w:jc w:val="lef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tc>
      </w:tr>
      <w:tr>
        <w:tc>
          <w:tcPr/>
          <w:p>
            <w:pPr>
              <w:pStyle w:val="Compact"/>
              <w:jc w:val="lef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tc>
      </w:tr>
      <w:tr>
        <w:tc>
          <w:tcPr/>
          <w:p>
            <w:pPr>
              <w:pStyle w:val="Compact"/>
              <w:jc w:val="lef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tc>
      </w:tr>
      <w:tr>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Mondal, A., Ray, S., &amp; Lahiri, S. (2022). Internationalization and performance of family firms.</w:t>
            </w:r>
            <w:r>
              <w:t xml:space="preserve"> </w:t>
            </w:r>
            <w:r>
              <w:rPr>
                <w:iCs/>
                <w:i/>
              </w:rPr>
              <w:t xml:space="preserve">Journal of Business Research, 138</w:t>
            </w:r>
            <w:r>
              <w:t xml:space="preserve">, 280–294.</w:t>
            </w:r>
          </w:p>
        </w:tc>
      </w:tr>
      <w:tr>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tc>
      </w:tr>
      <w:tr>
        <w:tc>
          <w:tcPr/>
          <w:p>
            <w:pPr>
              <w:pStyle w:val="Compact"/>
              <w:jc w:val="left"/>
            </w:pPr>
            <w:r>
              <w:t xml:space="preserve">## H. Firm performance đa chiều</w:t>
            </w:r>
          </w:p>
        </w:tc>
      </w:tr>
      <w:tr>
        <w:tc>
          <w:tcPr/>
          <w:p>
            <w:pPr>
              <w:pStyle w:val="Compact"/>
              <w:jc w:val="left"/>
            </w:pPr>
            <w:r>
              <w:t xml:space="preserve">(Giữ nguyên từ v2.1.)</w:t>
            </w:r>
          </w:p>
        </w:tc>
      </w:tr>
      <w:tr>
        <w:tc>
          <w:tcPr/>
          <w:p>
            <w:pPr>
              <w:pStyle w:val="Compact"/>
              <w:jc w:val="left"/>
            </w:pPr>
            <w:r>
              <w:t xml:space="preserve">## I. Productivity literature</w:t>
            </w:r>
          </w:p>
        </w:tc>
      </w:tr>
      <w:tr>
        <w:tc>
          <w:tcPr/>
          <w:p>
            <w:pPr>
              <w:pStyle w:val="Compact"/>
              <w:jc w:val="left"/>
            </w:pPr>
            <w:r>
              <w:t xml:space="preserve">(Giữ nguyên từ v2.1 — Bloom, Sadun &amp; Van Reenen 2012; Cusolito &amp; Maloney 2018; Hsieh &amp; Klenow 2009 và 2014.)</w:t>
            </w:r>
          </w:p>
        </w:tc>
      </w:tr>
      <w:tr>
        <w:tc>
          <w:tcPr/>
          <w:p>
            <w:pPr>
              <w:pStyle w:val="Compact"/>
              <w:jc w:val="left"/>
            </w:pPr>
            <w:r>
              <w:t xml:space="preserve">## J. Phương pháp meta-analysis và kinh tế lượng (cập nhật v2.4)</w:t>
            </w:r>
          </w:p>
        </w:tc>
      </w:tr>
      <w:tr>
        <w:tc>
          <w:tcPr/>
          <w:p>
            <w:pPr>
              <w:pStyle w:val="Compact"/>
              <w:jc w:val="left"/>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tc>
      </w:tr>
      <w:tr>
        <w:tc>
          <w:tcPr/>
          <w:p>
            <w:pPr>
              <w:pStyle w:val="Compact"/>
              <w:jc w:val="lef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tc>
      </w:tr>
      <w:tr>
        <w:tc>
          <w:tcPr/>
          <w:p>
            <w:pPr>
              <w:pStyle w:val="Compact"/>
              <w:jc w:val="left"/>
            </w:pPr>
            <w:r>
              <w:t xml:space="preserve">## K. WBES references và báo cáo Việt Nam (cập nhật v2.5 — bổ sung 4 entries từ batch upload 5 PDFs 07/05/2026)</w:t>
            </w:r>
          </w:p>
        </w:tc>
      </w:tr>
      <w:tr>
        <w:tc>
          <w:tcPr/>
          <w:p>
            <w:pPr>
              <w:pStyle w:val="Compact"/>
              <w:jc w:val="lef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tc>
      </w:tr>
      <w:tr>
        <w:tc>
          <w:tcPr/>
          <w:p>
            <w:pPr>
              <w:pStyle w:val="Compact"/>
              <w:jc w:val="lef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tc>
      </w:tr>
      <w:tr>
        <w:tc>
          <w:tcPr/>
          <w:p>
            <w:pPr>
              <w:pStyle w:val="Compact"/>
              <w:jc w:val="lef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tc>
      </w:tr>
      <w:tr>
        <w:tc>
          <w:tcPr/>
          <w:p>
            <w:pPr>
              <w:pStyle w:val="Compact"/>
              <w:jc w:val="left"/>
            </w:pPr>
            <w:r>
              <w:t xml:space="preserve">World Bank. (2019).</w:t>
            </w:r>
            <w:r>
              <w:t xml:space="preserve"> </w:t>
            </w:r>
            <w:r>
              <w:rPr>
                <w:iCs/>
                <w:i/>
              </w:rPr>
              <w:t xml:space="preserve">Understanding the questionnaire: Enterprise Survey questionnaire manual</w:t>
            </w:r>
            <w:r>
              <w:t xml:space="preserve">. World Bank Enterprise Surveys.</w:t>
            </w:r>
          </w:p>
        </w:tc>
      </w:tr>
      <w:tr>
        <w:tc>
          <w:tcPr/>
          <w:p>
            <w:pPr>
              <w:pStyle w:val="Compact"/>
              <w:jc w:val="left"/>
            </w:pPr>
            <w:r>
              <w:t xml:space="preserve">World Bank. (2023).</w:t>
            </w:r>
            <w:r>
              <w:t xml:space="preserve"> </w:t>
            </w:r>
            <w:r>
              <w:rPr>
                <w:iCs/>
                <w:i/>
              </w:rPr>
              <w:t xml:space="preserve">Vietnam 2023 Enterprise Surveys country profile</w:t>
            </w:r>
            <w:r>
              <w:t xml:space="preserve">. World Bank Enterprise Surveys.</w:t>
            </w:r>
          </w:p>
        </w:tc>
      </w:tr>
      <w:tr>
        <w:tc>
          <w:tcPr/>
          <w:p>
            <w:pPr>
              <w:pStyle w:val="Compact"/>
              <w:jc w:val="left"/>
            </w:pPr>
            <w:r>
              <w:t xml:space="preserve">World Bank. (2024).</w:t>
            </w:r>
            <w:r>
              <w:t xml:space="preserve"> </w:t>
            </w:r>
            <w:r>
              <w:rPr>
                <w:iCs/>
                <w:i/>
              </w:rPr>
              <w:t xml:space="preserve">Mongolia Economic Update: Towards diversified growth</w:t>
            </w:r>
            <w:r>
              <w:t xml:space="preserve">. World Bank.</w:t>
            </w:r>
          </w:p>
        </w:tc>
      </w:tr>
      <w:tr>
        <w:tc>
          <w:tcPr/>
          <w:p>
            <w:pPr>
              <w:pStyle w:val="Compact"/>
              <w:jc w:val="left"/>
            </w:pPr>
            <w:r>
              <w:t xml:space="preserve">World Bank. (2024, December).</w:t>
            </w:r>
            <w:r>
              <w:t xml:space="preserve"> </w:t>
            </w:r>
            <w:r>
              <w:rPr>
                <w:iCs/>
                <w:i/>
              </w:rPr>
              <w:t xml:space="preserve">Tonga 2024 Enterprise Surveys country profile</w:t>
            </w:r>
            <w:r>
              <w:t xml:space="preserve">. World Bank Enterprise Surveys.</w:t>
            </w:r>
          </w:p>
        </w:tc>
      </w:tr>
      <w:tr>
        <w:tc>
          <w:tcPr/>
          <w:p>
            <w:pPr>
              <w:pStyle w:val="Compact"/>
              <w:jc w:val="left"/>
            </w:pPr>
            <w:r>
              <w:t xml:space="preserve">World Bank. (2025, December).</w:t>
            </w:r>
            <w:r>
              <w:t xml:space="preserve"> </w:t>
            </w:r>
            <w:r>
              <w:rPr>
                <w:iCs/>
                <w:i/>
              </w:rPr>
              <w:t xml:space="preserve">Kiribati 2025 Enterprise Surveys country profile</w:t>
            </w:r>
            <w:r>
              <w:t xml:space="preserve">. World Bank Enterprise Surveys.</w:t>
            </w:r>
          </w:p>
        </w:tc>
      </w:tr>
      <w:tr>
        <w:tc>
          <w:tcPr/>
          <w:p>
            <w:pPr>
              <w:pStyle w:val="Compact"/>
              <w:jc w:val="left"/>
            </w:pPr>
            <w:r>
              <w:t xml:space="preserve">World Bank. (2026).</w:t>
            </w:r>
            <w:r>
              <w:t xml:space="preserve"> </w:t>
            </w:r>
            <w:r>
              <w:rPr>
                <w:iCs/>
                <w:i/>
              </w:rPr>
              <w:t xml:space="preserve">Indicator descriptions</w:t>
            </w:r>
            <w:r>
              <w:t xml:space="preserve">. World Bank Enterprise Surveys.</w:t>
            </w:r>
          </w:p>
        </w:tc>
      </w:tr>
      <w:tr>
        <w:tc>
          <w:tcPr/>
          <w:p>
            <w:pPr>
              <w:pStyle w:val="Compact"/>
              <w:jc w:val="lef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tc>
      </w:tr>
      <w:tr>
        <w:tc>
          <w:tcPr/>
          <w:p>
            <w:pPr>
              <w:pStyle w:val="Compact"/>
              <w:jc w:val="left"/>
            </w:pPr>
            <w:r>
              <w:t xml:space="preserve">International Finance Corporation. (2022, December).</w:t>
            </w:r>
            <w:r>
              <w:t xml:space="preserve"> </w:t>
            </w:r>
            <w:r>
              <w:rPr>
                <w:iCs/>
                <w:i/>
              </w:rPr>
              <w:t xml:space="preserve">Mind the gaps: Women in leadership in Viet Nam’s banking sector</w:t>
            </w:r>
            <w:r>
              <w:t xml:space="preserve">. IFC, World Bank Group.</w:t>
            </w:r>
          </w:p>
        </w:tc>
      </w:tr>
      <w:tr>
        <w:tc>
          <w:tcPr/>
          <w:p>
            <w:pPr>
              <w:pStyle w:val="Compact"/>
              <w:jc w:val="lef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tc>
      </w:tr>
      <w:tr>
        <w:tc>
          <w:tcPr/>
          <w:p>
            <w:pPr>
              <w:pStyle w:val="Compact"/>
              <w:jc w:val="left"/>
            </w:pPr>
            <w:r>
              <w:t xml:space="preserve">World Bank. (2025a, March).</w:t>
            </w:r>
            <w:r>
              <w:t xml:space="preserve"> </w:t>
            </w:r>
            <w:r>
              <w:rPr>
                <w:iCs/>
                <w:i/>
              </w:rPr>
              <w:t xml:space="preserve">Digital public infrastructure and development: A World Bank Group approach</w:t>
            </w:r>
            <w:r>
              <w:t xml:space="preserve">. World Bank Group.</w:t>
            </w:r>
          </w:p>
        </w:tc>
      </w:tr>
      <w:tr>
        <w:tc>
          <w:tcPr/>
          <w:p>
            <w:pPr>
              <w:pStyle w:val="Compact"/>
              <w:jc w:val="lef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tc>
      </w:tr>
      <w:tr>
        <w:tc>
          <w:tcPr/>
          <w:p>
            <w:pPr>
              <w:pStyle w:val="Compact"/>
              <w:jc w:val="lef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tc>
      </w:tr>
      <w:tr>
        <w:tc>
          <w:tcPr/>
          <w:p>
            <w:pPr>
              <w:pStyle w:val="Compact"/>
              <w:jc w:val="left"/>
            </w:pPr>
            <w:r>
              <w:t xml:space="preserve">World Bank. (2025d, December).</w:t>
            </w:r>
            <w:r>
              <w:t xml:space="preserve"> </w:t>
            </w:r>
            <w:r>
              <w:rPr>
                <w:iCs/>
                <w:i/>
              </w:rPr>
              <w:t xml:space="preserve">Korea global digital knowledge center</w:t>
            </w:r>
            <w:r>
              <w:t xml:space="preserve">. World Bank Group.</w:t>
            </w:r>
          </w:p>
        </w:tc>
      </w:tr>
      <w:tr>
        <w:tc>
          <w:tcPr/>
          <w:p>
            <w:pPr>
              <w:pStyle w:val="Compact"/>
              <w:jc w:val="left"/>
            </w:pPr>
            <w:r>
              <w:t xml:space="preserve">World Bank. (2026a).</w:t>
            </w:r>
            <w:r>
              <w:t xml:space="preserve"> </w:t>
            </w:r>
            <w:r>
              <w:rPr>
                <w:iCs/>
                <w:i/>
              </w:rPr>
              <w:t xml:space="preserve">ID4D &amp; G2Px annual report 2023: Putting people at the center of digital public infrastructure</w:t>
            </w:r>
            <w:r>
              <w:t xml:space="preserve">. World Bank Group.</w:t>
            </w:r>
          </w:p>
        </w:tc>
      </w:tr>
      <w:tr>
        <w:tc>
          <w:tcPr/>
          <w:p>
            <w:pPr>
              <w:pStyle w:val="Compact"/>
              <w:jc w:val="left"/>
            </w:pPr>
            <w:r>
              <w:t xml:space="preserve">World Bank. (2026b, April).</w:t>
            </w:r>
            <w:r>
              <w:t xml:space="preserve"> </w:t>
            </w:r>
            <w:r>
              <w:rPr>
                <w:iCs/>
                <w:i/>
              </w:rPr>
              <w:t xml:space="preserve">Viet Nam macro monitoring: April 2026</w:t>
            </w:r>
            <w:r>
              <w:t xml:space="preserve">. World Bank Group, Fiscal Policy and Growth Viet Nam Team.</w:t>
            </w:r>
          </w:p>
        </w:tc>
      </w:tr>
      <w:tr>
        <w:tc>
          <w:tcPr/>
          <w:p>
            <w:pPr>
              <w:pStyle w:val="Compact"/>
              <w:jc w:val="lef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tc>
      </w:tr>
      <w:tr>
        <w:tc>
          <w:tcPr/>
          <w:p>
            <w:pPr>
              <w:pStyle w:val="Compact"/>
              <w:jc w:val="lef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tc>
      </w:tr>
      <w:tr>
        <w:tc>
          <w:tcPr/>
          <w:p>
            <w:pPr>
              <w:pStyle w:val="Compact"/>
              <w:jc w:val="lef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tc>
      </w:tr>
      <w:tr>
        <w:tc>
          <w:tcPr/>
          <w:p>
            <w:pPr>
              <w:pStyle w:val="Compact"/>
              <w:jc w:val="left"/>
            </w:pPr>
            <w:r>
              <w:t xml:space="preserve">ADB. (2024).</w:t>
            </w:r>
            <w:r>
              <w:t xml:space="preserve"> </w:t>
            </w:r>
            <w:r>
              <w:rPr>
                <w:iCs/>
                <w:i/>
              </w:rPr>
              <w:t xml:space="preserve">Asian Development Outlook 2024 — Recovery and resilience in Asia</w:t>
            </w:r>
            <w:r>
              <w:t xml:space="preserve">. Asian Development Bank.</w:t>
            </w:r>
          </w:p>
        </w:tc>
      </w:tr>
      <w:tr>
        <w:tc>
          <w:tcPr/>
          <w:p>
            <w:pPr>
              <w:pStyle w:val="Compact"/>
              <w:jc w:val="lef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tc>
      </w:tr>
      <w:tr>
        <w:tc>
          <w:tcPr/>
          <w:p>
            <w:pPr>
              <w:pStyle w:val="Compact"/>
              <w:jc w:val="lef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tc>
      </w:tr>
      <w:tr>
        <w:tc>
          <w:tcPr/>
          <w:p>
            <w:pPr>
              <w:pStyle w:val="Compact"/>
              <w:jc w:val="lef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tc>
      </w:tr>
      <w:tr>
        <w:tc>
          <w:tcPr/>
          <w:p>
            <w:pPr>
              <w:pStyle w:val="Compact"/>
              <w:jc w:val="lef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tc>
      </w:tr>
      <w:tr>
        <w:tc>
          <w:tcPr/>
          <w:p>
            <w:pPr>
              <w:pStyle w:val="Compact"/>
              <w:jc w:val="lef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tc>
      </w:tr>
      <w:tr>
        <w:tc>
          <w:tcPr/>
          <w:p>
            <w:pPr>
              <w:pStyle w:val="Compact"/>
              <w:jc w:val="lef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tc>
      </w:tr>
      <w:tr>
        <w:tc>
          <w:tcPr/>
          <w:p>
            <w:pPr>
              <w:pStyle w:val="Compact"/>
              <w:jc w:val="left"/>
            </w:pPr>
            <w:r>
              <w:t xml:space="preserve">ADB. (2026, May).</w:t>
            </w:r>
            <w:r>
              <w:t xml:space="preserve"> </w:t>
            </w:r>
            <w:r>
              <w:rPr>
                <w:iCs/>
                <w:i/>
              </w:rPr>
              <w:t xml:space="preserve">Market Assessment of Critical Minerals in Mongolia</w:t>
            </w:r>
            <w:r>
              <w:t xml:space="preserve">. Asian Development Bank. https://doi.org/10.22617/TCS260157-2</w:t>
            </w:r>
          </w:p>
        </w:tc>
      </w:tr>
      <w:tr>
        <w:tc>
          <w:tcPr/>
          <w:p>
            <w:pPr>
              <w:pStyle w:val="Compact"/>
              <w:jc w:val="lef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tc>
      </w:tr>
      <w:tr>
        <w:tc>
          <w:tcPr/>
          <w:p>
            <w:pPr>
              <w:pStyle w:val="Compact"/>
              <w:jc w:val="left"/>
            </w:pPr>
            <w:r>
              <w:t xml:space="preserve">IMF. (2026, April).</w:t>
            </w:r>
            <w:r>
              <w:t xml:space="preserve"> </w:t>
            </w:r>
            <w:r>
              <w:rPr>
                <w:iCs/>
                <w:i/>
              </w:rPr>
              <w:t xml:space="preserve">World Economic Outlook April 2026: Global Economy in the Shadow of War</w:t>
            </w:r>
            <w:r>
              <w:t xml:space="preserve">. International Monetary Fund.</w:t>
            </w:r>
          </w:p>
        </w:tc>
      </w:tr>
      <w:tr>
        <w:tc>
          <w:tcPr/>
          <w:p>
            <w:pPr>
              <w:pStyle w:val="Compact"/>
              <w:jc w:val="left"/>
            </w:pPr>
            <w:r>
              <w:t xml:space="preserve">OECD. (2026, March).</w:t>
            </w:r>
            <w:r>
              <w:t xml:space="preserve"> </w:t>
            </w:r>
            <w:r>
              <w:rPr>
                <w:iCs/>
                <w:i/>
              </w:rPr>
              <w:t xml:space="preserve">OECD Economic Outlook, Volume 2026 Issue 1</w:t>
            </w:r>
            <w:r>
              <w:t xml:space="preserve">. Organisation for Economic Co-operation and Development.</w:t>
            </w:r>
          </w:p>
        </w:tc>
      </w:tr>
      <w:tr>
        <w:tc>
          <w:tcPr/>
          <w:p>
            <w:pPr>
              <w:pStyle w:val="Compact"/>
              <w:jc w:val="left"/>
            </w:pPr>
            <w:r>
              <w:t xml:space="preserve">OECD. (2026, April).</w:t>
            </w:r>
            <w:r>
              <w:t xml:space="preserve"> </w:t>
            </w:r>
            <w:r>
              <w:rPr>
                <w:iCs/>
                <w:i/>
              </w:rPr>
              <w:t xml:space="preserve">FDI in Figures, April 2026</w:t>
            </w:r>
            <w:r>
              <w:t xml:space="preserve">. Organisation for Economic Co-operation and Development.</w:t>
            </w:r>
          </w:p>
        </w:tc>
      </w:tr>
      <w:tr>
        <w:tc>
          <w:tcPr/>
          <w:p>
            <w:pPr>
              <w:pStyle w:val="Compact"/>
              <w:jc w:val="left"/>
            </w:pPr>
            <w:r>
              <w:t xml:space="preserve">UNCTAD. (2023).</w:t>
            </w:r>
            <w:r>
              <w:t xml:space="preserve"> </w:t>
            </w:r>
            <w:r>
              <w:rPr>
                <w:iCs/>
                <w:i/>
              </w:rPr>
              <w:t xml:space="preserve">World Investment Report 2023: Investing in sustainable energy for all</w:t>
            </w:r>
            <w:r>
              <w:t xml:space="preserve">. United Nations Conference on Trade and Development.</w:t>
            </w:r>
          </w:p>
        </w:tc>
      </w:tr>
      <w:tr>
        <w:tc>
          <w:tcPr/>
          <w:p>
            <w:pPr>
              <w:pStyle w:val="Compact"/>
              <w:jc w:val="left"/>
            </w:pPr>
            <w:r>
              <w:t xml:space="preserve">WIPO. (2024).</w:t>
            </w:r>
            <w:r>
              <w:t xml:space="preserve"> </w:t>
            </w:r>
            <w:r>
              <w:rPr>
                <w:iCs/>
                <w:i/>
              </w:rPr>
              <w:t xml:space="preserve">Global Innovation Index 2024: Unlocking the promise of social entrepreneurship</w:t>
            </w:r>
            <w:r>
              <w:t xml:space="preserve">. World Intellectual Property Organization.</w:t>
            </w:r>
          </w:p>
        </w:tc>
      </w:tr>
      <w:tr>
        <w:tc>
          <w:tcPr/>
          <w:p>
            <w:pPr>
              <w:pStyle w:val="Compact"/>
              <w:jc w:val="left"/>
            </w:pPr>
            <w:r>
              <w:t xml:space="preserve">## L. Tham khảo bổ sung 2024-2026 (cập nhật v2.4)</w:t>
            </w:r>
          </w:p>
        </w:tc>
      </w:tr>
      <w:tr>
        <w:tc>
          <w:tcPr/>
          <w:p>
            <w:pPr>
              <w:pStyle w:val="Compact"/>
              <w:jc w:val="lef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tc>
      </w:tr>
      <w:tr>
        <w:tc>
          <w:tcPr/>
          <w:p>
            <w:pPr>
              <w:pStyle w:val="Compact"/>
              <w:jc w:val="lef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tc>
      </w:tr>
      <w:tr>
        <w:tc>
          <w:tcPr/>
          <w:p>
            <w:pPr>
              <w:pStyle w:val="Compact"/>
              <w:jc w:val="lef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tc>
      </w:tr>
      <w:tr>
        <w:tc>
          <w:tcPr/>
          <w:p>
            <w:pPr>
              <w:pStyle w:val="Compact"/>
              <w:jc w:val="lef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tc>
      </w:tr>
      <w:tr>
        <w:tc>
          <w:tcPr/>
          <w:p>
            <w:pPr>
              <w:pStyle w:val="Compact"/>
              <w:jc w:val="left"/>
            </w:pPr>
            <w:r>
              <w:t xml:space="preserve">## M. Công trình của tác giả luận án (NCS Đỗ Thùy Hương)</w:t>
            </w:r>
          </w:p>
        </w:tc>
      </w:tr>
      <w:tr>
        <w:tc>
          <w:tcPr/>
          <w:p>
            <w:pPr>
              <w:pStyle w:val="Compact"/>
              <w:jc w:val="left"/>
            </w:pPr>
            <w:r>
              <w:t xml:space="preserve">(Giữ nguyên từ v2.1 — 4 đã xuất bản 2024-2026 + 4 đang chuẩn bị P3/P4/P5/P8.)</w:t>
            </w:r>
          </w:p>
        </w:tc>
      </w:tr>
      <w:tr>
        <w:tc>
          <w:tcPr/>
          <w:p>
            <w:pPr>
              <w:pStyle w:val="Compact"/>
              <w:jc w:val="left"/>
            </w:pPr>
            <w:r>
              <w:t xml:space="preserve">## N. Lý thuyết tài nguyên + thể chế kinh tế chính trị + boundary cases</w:t>
            </w:r>
          </w:p>
        </w:tc>
      </w:tr>
      <w:tr>
        <w:tc>
          <w:tcPr/>
          <w:p>
            <w:pPr>
              <w:pStyle w:val="Compact"/>
              <w:jc w:val="left"/>
            </w:pPr>
            <w:r>
              <w:t xml:space="preserve">(Giữ nguyên từ v2.0 — Auty 1993, Beblawi 1987, Gerelmaa &amp; Kotani 2016, Hertog 2010, Hvidt 2013, Sachs &amp; Warner 2001, Hall &amp; Soskice 2001, Bertram 2006, Briguglio 1995. Tổng 9 entries.)</w:t>
            </w:r>
          </w:p>
        </w:tc>
      </w:tr>
      <w:tr>
        <w:tc>
          <w:tcPr/>
          <w:p>
            <w:pPr>
              <w:pStyle w:val="Compact"/>
              <w:jc w:val="left"/>
            </w:pPr>
            <w:r>
              <w:t xml:space="preserve">## O. Văn bản pháp lý Việt Nam (cited trong CĐ1 Mục 7.3.3)</w:t>
            </w:r>
          </w:p>
        </w:tc>
      </w:tr>
      <w:tr>
        <w:tc>
          <w:tcPr/>
          <w:p>
            <w:pPr>
              <w:pStyle w:val="Compact"/>
              <w:jc w:val="left"/>
            </w:pPr>
            <w:r>
              <w:t xml:space="preserve">(Giữ nguyên từ v2.0 — 7 văn bản pháp lý + 8 hiệp định FTA.)</w:t>
            </w:r>
          </w:p>
        </w:tc>
      </w:tr>
      <w:tr>
        <w:tc>
          <w:tcPr/>
          <w:p>
            <w:pPr>
              <w:pStyle w:val="Compact"/>
              <w:jc w:val="left"/>
            </w:pPr>
            <w:r>
              <w:t xml:space="preserve">## P. World Bank Data360 Atlas 2026 và báo cáo AI-Finance (Mới v2.6)</w:t>
            </w:r>
          </w:p>
        </w:tc>
      </w:tr>
      <w:tr>
        <w:tc>
          <w:tcPr/>
          <w:p>
            <w:pPr>
              <w:pStyle w:val="Compact"/>
              <w:jc w:val="lef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tc>
      </w:tr>
      <w:tr>
        <w:tc>
          <w:tcPr/>
          <w:p>
            <w:pPr>
              <w:pStyle w:val="Compact"/>
              <w:jc w:val="lef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tc>
      </w:tr>
      <w:tr>
        <w:tc>
          <w:tcPr/>
          <w:p>
            <w:pPr>
              <w:pStyle w:val="Compact"/>
              <w:jc w:val="lef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tc>
      </w:tr>
      <w:tr>
        <w:tc>
          <w:tcPr/>
          <w:p>
            <w:pPr>
              <w:pStyle w:val="Compact"/>
              <w:jc w:val="lef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tc>
      </w:tr>
      <w:tr>
        <w:tc>
          <w:tcPr/>
          <w:p>
            <w:pPr>
              <w:pStyle w:val="Compact"/>
              <w:jc w:val="lef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tc>
      </w:tr>
    </w:tbl>
    <w:bookmarkEnd w:id="161"/>
    <w:bookmarkEnd w:id="162"/>
    <w:bookmarkStart w:id="163"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63"/>
    <w:bookmarkStart w:id="164"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64"/>
    <w:bookmarkStart w:id="165"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65"/>
    <w:bookmarkStart w:id="166"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66"/>
    <w:bookmarkStart w:id="170" w:name="hướng-dẫn-sử-dụng-cập-nhật-v2.5"/>
    <w:p>
      <w:pPr>
        <w:pStyle w:val="Heading2"/>
      </w:pPr>
      <w:r>
        <w:t xml:space="preserve">Hướng dẫn sử dụng (cập nhật v2.5)</w:t>
      </w:r>
    </w:p>
    <w:bookmarkStart w:id="167"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67"/>
    <w:bookmarkStart w:id="168"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68"/>
    <w:bookmarkStart w:id="169"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69"/>
    <w:bookmarkEnd w:id="170"/>
    <w:bookmarkStart w:id="171"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71"/>
    <w:bookmarkStart w:id="172"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72"/>
    <w:bookmarkStart w:id="173"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73"/>
    <w:bookmarkStart w:id="174"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74"/>
    <w:bookmarkStart w:id="178"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75"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175"/>
    <w:bookmarkStart w:id="176"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76"/>
    <w:bookmarkStart w:id="177"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77"/>
    <w:bookmarkEnd w:id="1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2026-05-29T02:55:08Z</dcterms:created>
  <dcterms:modified xsi:type="dcterms:W3CDTF">2026-05-29T02:55:08Z</dcterms:modified>
</cp:coreProperties>
</file>

<file path=docProps/custom.xml><?xml version="1.0" encoding="utf-8"?>
<Properties xmlns="http://schemas.openxmlformats.org/officeDocument/2006/custom-properties" xmlns:vt="http://schemas.openxmlformats.org/officeDocument/2006/docPropsVTypes"/>
</file>