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689fb58d5a2a484cdf23b29a9fa80b3b157d685"/>
    <w:p>
      <w:pPr>
        <w:pStyle w:val="Heading1"/>
      </w:pPr>
      <w:r>
        <w:t xml:space="preserve">Internationalisation and Firm Performance across 34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 / Management International Review (MIR)</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81,968 firms across 34 economies and 73 country-year waves of the World Bank Enterprise Survey (2009–2025), we estimate a hierarchical set of OLS models with HC1 robust standard errors and country-year fixed effects. We find robust support for an inverted-U I–P relationship, with a turning point at approximately 38% of sales from exports (Lind–Mehlum test p &lt; .001 across all specifications). Technological capability index (TCI) amplifies the performance-internationalisation curve — raising mean performance and shifting the curve — while digital adoption (DAI) operates as a level enhancer without reshaping the curve. The institutional regime (ICRV group) moderates both slope and curvature, consistent with regime-contingent performance dynamics. Managerial experience and female top management improve firm-level performance but do not moderate the I–P curve shape. These findings resolve apparent inconsistencies in the Asian I–P literature by showing that institutional context — not relationship direction — is the primary source of cross-study heterogeneity.</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81,968 firm-observations from 34 Asian and Pacific economies spanning 2009–2025, harmonised from the World Bank Enterprise Survey (WBES). Our sample spans six institutional regime groups — from advanced innovation-driven economies (Singapore, Korea, Taiwan) to Pacific Small Island Developing States (Vanuatu, Solomon Islands, Timor-Leste)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38% foreign sales intensity across all specifications (N = 68,957–30,458). Second, we disentangle three capability moderators — technological capability (TCI), digital adoption (DAI), and managerial characteristics — and show that only TCI reshapes the I–P curve; DAI and manager attributes shift the performance level without altering curve curvature. Third, we document that institutional regime (ICRV group) systematically moderates both the slope and curvature of the I–P function, such that firms operating under stronger institutions achieve superior performance at lower export intensities. These results offer a parsimonious explanation for cross-study heterogeneity: the I–P relationship is inverted-U shaped everywhere in our sample, but the turning point and the magnitude of the performance premium vary with institutional context.</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without systematically reshaping the I–P curve (no significant FSTS×DAI interaction).</w:t>
      </w:r>
    </w:p>
    <w:p>
      <w:pPr>
        <w:pStyle w:val="BlockText"/>
      </w:pPr>
      <w:r>
        <w:rPr>
          <w:bCs/>
          <w:b/>
        </w:rPr>
        <w:t xml:space="preserve">H3:</w:t>
      </w:r>
      <w:r>
        <w:t xml:space="preserve"> </w:t>
      </w:r>
      <w:r>
        <w:t xml:space="preserve">DAI has a positive main effect on labour productivity, but does not significantly reshape the FSTS–performance curve (no significant FSTS×DAI interaction in the pooled specification).</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data-and-methods"/>
    <w:p>
      <w:pPr>
        <w:pStyle w:val="Heading2"/>
      </w:pPr>
      <w:r>
        <w:t xml:space="preserve">3. Data and Methods</w:t>
      </w:r>
    </w:p>
    <w:bookmarkStart w:id="29"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34 Asian and Pacific economies across 73 country-year waves spanning 2009–2025. This coverage encompasses six UN M.49 Asian sub-regions: East Asia (China, Hong Kong, Korea, Mongolia, Taiwan), Southeast Asia (Brunei, Cambodia, Indonesia, Laos, Malaysia, Myanmar, Philippines, Singapore, Thailand, Timor-Leste, Vietnam), South Asia (Afghanistan, Bangladesh, Bhutan, India, Nepal, Pakistan, Sri Lanka), Central Asia (Kazakhstan, Kyrgyz Republic, Tajikistan, Turkmenistan, Uzbekistan), West Asia (Armenia, Bahrain, Cyprus), and Pacific/SIDS (Solomon Islands, Vanuatu).</w:t>
      </w:r>
    </w:p>
    <w:p>
      <w:pPr>
        <w:pStyle w:val="BodyText"/>
      </w:pPr>
      <w:r>
        <w:t xml:space="preserve">The final analytical dataset contains 81,968 firm-observations (before applying outcome and FSTS non-missing requirements).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SD(FSTS) + mean(FSTS).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sample-sizes"/>
    <w:p>
      <w:pPr>
        <w:pStyle w:val="Heading3"/>
      </w:pPr>
      <w:r>
        <w:t xml:space="preserve">3.4 Sample Sizes</w:t>
      </w:r>
    </w:p>
    <w:p>
      <w:pPr>
        <w:pStyle w:val="FirstParagraph"/>
      </w:pPr>
      <w:r>
        <w:t xml:space="preserve">The analytic sample for M2 (outcome + FSTS non-missing) is N = 68,957. Adding controls reduces the sample to N = 30,458 (M3); country-year FE model M5 uses the same sample. TCI-moderation models (M6, M7) use N ≈ 30,225; adding DAI (M8) N ≈ 30,134; manager models (M9) N ≈ 28,208; ICRV-moderation (M10) N ≈ 28,103; full three-way (M11) N ≈ 26,317.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results"/>
    <w:p>
      <w:pPr>
        <w:pStyle w:val="Heading2"/>
      </w:pPr>
      <w:r>
        <w:t xml:space="preserve">4. Results</w:t>
      </w:r>
    </w:p>
    <w:bookmarkStart w:id="34" w:name="descriptive-statistics-and-correlations"/>
    <w:p>
      <w:pPr>
        <w:pStyle w:val="Heading3"/>
      </w:pPr>
      <w:r>
        <w:t xml:space="preserve">4.1 Descriptive Statistics and Correlations</w:t>
      </w:r>
    </w:p>
    <w:p>
      <w:pPr>
        <w:pStyle w:val="FirstParagraph"/>
      </w:pPr>
      <w:r>
        <w:t xml:space="preserve">The full analytic sample spans 34 economies and 73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+1.139 (p &lt; .001) and β₂ = −1.492 (p &lt; .001), consistent with an inverted-U. The Lind–Mehlum test confirms concavity (joint p &lt; .001) with a turning point at</w:t>
      </w:r>
      <w:r>
        <w:t xml:space="preserve"> </w:t>
      </w:r>
      <w:r>
        <w:rPr>
          <w:bCs/>
          <w:b/>
        </w:rPr>
        <w:t xml:space="preserve">FSTS = 38.2%</w:t>
      </w:r>
      <w:r>
        <w:t xml:space="preserve"> </w:t>
      </w:r>
      <w:r>
        <w:t xml:space="preserve">of sales from exports (95% bootstrap CI: 34.1%–42.3%). The inverted-U remains significant when controls are added (M3: TP = 35.5%, LM p &lt; .001) and when country-year fixed effects absorb all unobserved time-varying country heterogeneity (M5: TP = 38.6%, LM p &lt; .001, adjR² = .650). The consistency of the turning point across M2, M3, and M5 — ranging from 35.5% to 38.6% — provides strong evidence that the inverted-U is not an artefact of omitted country-level confounders.</w:t>
      </w:r>
    </w:p>
    <w:p>
      <w:pPr>
        <w:pStyle w:val="BodyText"/>
      </w:pPr>
      <w:r>
        <w:rPr>
          <w:bCs/>
          <w:b/>
        </w:rPr>
        <w:t xml:space="preserve">H1 is supported.</w:t>
      </w:r>
      <w:r>
        <w:t xml:space="preserve"> </w:t>
      </w:r>
      <w:r>
        <w:t xml:space="preserve">The I–P relationship is robustly inverted-U in the pooled sample of 34 Asian and Pacific economies, with a turning point of approximately 38% foreign sales intensity.</w:t>
      </w:r>
    </w:p>
    <w:bookmarkEnd w:id="35"/>
    <w:bookmarkStart w:id="36"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+0.414, p &lt; .001) raises adjR² from .011 to .020. The interaction model M7 adds FSTS×TCI and FSTS²×TCI. Results show:</w:t>
      </w:r>
    </w:p>
    <w:p>
      <w:pPr>
        <w:numPr>
          <w:ilvl w:val="0"/>
          <w:numId w:val="1001"/>
        </w:numPr>
        <w:pStyle w:val="Compact"/>
      </w:pPr>
      <w:r>
        <w:t xml:space="preserve">TCI main effect: β = +0.414 (p &lt; .001) — higher TCI raises baseline performance</w:t>
      </w:r>
    </w:p>
    <w:p>
      <w:pPr>
        <w:numPr>
          <w:ilvl w:val="0"/>
          <w:numId w:val="1001"/>
        </w:numPr>
        <w:pStyle w:val="Compact"/>
      </w:pPr>
      <w:r>
        <w:t xml:space="preserve">FSTS×TCI: β = +0.532 (p = .014) — at mean FSTS, higher TCI steepens the ascending limb</w:t>
      </w:r>
    </w:p>
    <w:p>
      <w:pPr>
        <w:numPr>
          <w:ilvl w:val="0"/>
          <w:numId w:val="1001"/>
        </w:numPr>
        <w:pStyle w:val="Compact"/>
      </w:pPr>
      <w:r>
        <w:t xml:space="preserve">FSTS²×TCI: β = −1.160 (p &lt; .001) — higher TCI deepens the descending limb at high FSTS</w:t>
      </w:r>
    </w:p>
    <w:p>
      <w:pPr>
        <w:pStyle w:val="FirstParagraph"/>
      </w:pPr>
      <w:r>
        <w:t xml:space="preserve">The joint F-test for the two TCI interaction terms is significant (p &lt; .001). The inverted-U remains confirmed in M7 (TP = 37.8%, LM p &lt; .001). Translated to substantive terms: a one-SD increase in TCI raises labour productivity by exp(0.414) − 1 ≈ 51% at mean FSTS, while simultaneously shifting more performance mass to lower export intensities (steeper curve). High-TCI firms thus gain more from moderate internationalisation and lose more at excessive internationalisation — the amplification pattern predicted by H2.</w:t>
      </w:r>
    </w:p>
    <w:p>
      <w:pPr>
        <w:pStyle w:val="BodyText"/>
      </w:pPr>
      <w:r>
        <w:rPr>
          <w:bCs/>
          <w:b/>
        </w:rPr>
        <w:t xml:space="preserve">H2 is supported.</w:t>
      </w:r>
      <w:r>
        <w:t xml:space="preserve"> </w:t>
      </w:r>
      <w:r>
        <w:t xml:space="preserve">TCI amplifies the I–P curve, raising the performance level and steepening both limbs of the inverted-U.</w:t>
      </w:r>
    </w:p>
    <w:bookmarkEnd w:id="36"/>
    <w:bookmarkStart w:id="37"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significant (β = +0.182, p &lt; .001), consistent with a 20% performance premium for digitally active firms (exp(0.182) − 1 ≈ 20%). However, neither FSTS×DAI (β = −0.230, p = .227) nor FSTS²×DAI (β = +0.180, p = .502) is significant individually or jointly. The inverted-U is maintained (M8: TP = 38.8%, LM p = .001). When manager controls are added (M9), the FSTS×DAI coefficient becomes marginally significant and negative (β = −0.436, p = .029), suggesting that with richer controls, DAI actually compresses the ascending limb — consistent with a negative selection story: digitally active firms at low FSTS may be selecting into export markets, not gaining productivity from exporting per se. The effect is fragile across specifications and we do not interpret it as a primary finding.</w:t>
      </w:r>
    </w:p>
    <w:p>
      <w:pPr>
        <w:pStyle w:val="BodyText"/>
      </w:pPr>
      <w:r>
        <w:rPr>
          <w:bCs/>
          <w:b/>
        </w:rPr>
        <w:t xml:space="preserve">H3 is supported (level effect only).</w:t>
      </w:r>
      <w:r>
        <w:t xml:space="preserve"> </w:t>
      </w:r>
      <w:r>
        <w:t xml:space="preserve">DAI raises firm performance by approximately 20% regardless of export intensity, but does not reshape the I–P curve. The CDCM prediction — that DAI’s curve-shaping role is context-contingent — is consistent with the null shape moderation in the pooled (institutionally heterogeneous) sample.</w:t>
      </w:r>
    </w:p>
    <w:bookmarkEnd w:id="37"/>
    <w:bookmarkStart w:id="38"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+0.013, p &lt; .001) and female top manager (β = +0.170, p &lt; .001) both raise firm performance independently of FSTS. The experience effect implies that each additional year of sectoral experience is associated with approximately 1.3% higher labour productivity, net of firm size, age, and ownership. The female top manager effect implies approximately a 19% performance premium (exp(0.170) − 1 ≈ 19%). However, neither FSTS×manager_experience (β = +0.008, p = .150) nor the corresponding curve-shaping interaction is significant.</w:t>
      </w:r>
    </w:p>
    <w:p>
      <w:pPr>
        <w:pStyle w:val="BodyText"/>
      </w:pPr>
      <w:r>
        <w:rPr>
          <w:bCs/>
          <w:b/>
        </w:rPr>
        <w:t xml:space="preserve">H4 is supported (level effects only).</w:t>
      </w:r>
      <w:r>
        <w:t xml:space="preserve"> </w:t>
      </w:r>
      <w:r>
        <w:t xml:space="preserve">Top manager experience and female management improve firm performance but do not moderate the shape of the I–P curve. This is consistent with our theoretical prediction that firm-level managerial factors operate as performance-level enhancers in a pooled, institutionally diverse setting, where the curve shape is primarily determined by economy-level factors.</w:t>
      </w:r>
    </w:p>
    <w:bookmarkEnd w:id="38"/>
    <w:bookmarkStart w:id="39"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+0.643, p &lt; .001) indicates that — controlling for TCI, DAI, and firm characteristics — each step up the ICRV scale (from Group I to VI, i.e., from stronger to weaker institutions) is associated with approximately a 90% higher labour productivity level (exp(0.643) − 1 ≈ 90%).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+1.684, p &lt; .001) and FSTS²×ICRV (β = −2.589,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full-three-way-moderation-h7-p7"/>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DAI×ICRV interaction (β = +0.064, p = .054) is marginally significant, suggesting that DAI has a stronger per-unit performance effect in weaker institutional environments — consistent with the CDCM prediction that digital capabilities are more valuable as substitutes for formal institutional infrastructure. The three-way FSTS×DAI×ICRV term (β = −0.097, p = .554) is not significant.</w:t>
      </w:r>
    </w:p>
    <w:p>
      <w:pPr>
        <w:pStyle w:val="BodyText"/>
      </w:pPr>
      <w:r>
        <w:t xml:space="preserve">The M11 inverted-U is not confirmed by the Lind–Mehlum test (LM p = .279), likely because the extensive interactions and reduced sample (N = 26,317) attenuate the quadratic FSTS signal. FSTS² remains significant and negative (β = −1.465, p &lt; .001), and both TCI (β = +0.257, p &lt; .001) and ICRV (β = +0.685, p &lt; .001) retain their main effects.</w:t>
      </w:r>
    </w:p>
    <w:p>
      <w:pPr>
        <w:pStyle w:val="BodyText"/>
      </w:pPr>
      <w:r>
        <w:rPr>
          <w:bCs/>
          <w:b/>
        </w:rPr>
        <w:t xml:space="preserve">H7-P7 (three-way interaction) is not confirmed.</w:t>
      </w:r>
      <w:r>
        <w:t xml:space="preserve"> </w:t>
      </w:r>
      <w:r>
        <w:t xml:space="preserve">DAI×ICRV is marginally significant, suggesting regime-contingent digital performance effects, but the three-way interaction does not reach conventional significance thresholds. This is a boundary condition of our pooled design — the WBES DAI measure conflates Tier 1 (website) and Tier 2 (e-payment) capabilities, which may be insufficient to detect the CDCM-predicted three-way interaction at scale.</w:t>
      </w:r>
    </w:p>
    <w:p>
      <w:r>
        <w:pict>
          <v:rect style="width:0;height:1.5pt" o:hralign="center" o:hrstd="t" o:hr="t"/>
        </w:pict>
      </w:r>
    </w:p>
    <w:bookmarkEnd w:id="40"/>
    <w:bookmarkEnd w:id="41"/>
    <w:bookmarkStart w:id="47" w:name="discussion"/>
    <w:p>
      <w:pPr>
        <w:pStyle w:val="Heading2"/>
      </w:pPr>
      <w:r>
        <w:t xml:space="preserve">5. Discussion</w:t>
      </w:r>
    </w:p>
    <w:bookmarkStart w:id="42" w:name="resolution-of-cross-study-heterogeneity"/>
    <w:p>
      <w:pPr>
        <w:pStyle w:val="Heading3"/>
      </w:pPr>
      <w:r>
        <w:t xml:space="preserve">5.1 Resolution of Cross-Study Heterogeneity</w:t>
      </w:r>
    </w:p>
    <w:p>
      <w:pPr>
        <w:pStyle w:val="FirstParagraph"/>
      </w:pPr>
      <w:r>
        <w:t xml:space="preserve">The central finding — an inverted-U with a turning point at approximately 38% foreign sales intensity, robust across 34 economies and six ICRV groups — offers a parsimonious resolution to apparent inconsistencies in the Asian I–P literature. Studies finding positive linear effects (Pangarkar, 2008: Singapore; Cho et al., 2023: Korea) are working with samples centred well below the 38%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technology-as-amplifier-not-moderator"/>
    <w:p>
      <w:pPr>
        <w:pStyle w:val="Heading3"/>
      </w:pPr>
      <w:r>
        <w:t xml:space="preserve">5.2 Technology as Amplifier, Not Moderator</w:t>
      </w:r>
    </w:p>
    <w:p>
      <w:pPr>
        <w:pStyle w:val="FirstParagraph"/>
      </w:pPr>
      <w:r>
        <w:t xml:space="preserve">The finding that TCI steepens both limbs of the I–P curve — rather than simply shifting it upward — has important implications for theory and practice. It implies that technological capability is not simply a performance complement to internationalisation; it is a risk amplifier that accelerates the payoff at moderate FSTS and accelerates the performance decline at excessive FSTS. Firms with high TCI derive disproportionate returns from moderate export commitments (the ascending limb premium) but also suffer disproportionate losses from over-internationalisation. This is consistent with the absorptive capacity argument (Cohen &amp; Levinthal, 1990): high-TCI firms are better at processing international market signals, but precisely because they are more active in cross-border engagement, they also face greater coordination demands when export share exceeds capacity.</w:t>
      </w:r>
    </w:p>
    <w:bookmarkEnd w:id="43"/>
    <w:bookmarkStart w:id="44" w:name="Xf6197b5ae9fc313cd14220a896ca012fd7330cf"/>
    <w:p>
      <w:pPr>
        <w:pStyle w:val="Heading3"/>
      </w:pPr>
      <w:r>
        <w:t xml:space="preserve">5.3 Digital Adoption and Institutional Complementarity</w:t>
      </w:r>
    </w:p>
    <w:p>
      <w:pPr>
        <w:pStyle w:val="FirstParagraph"/>
      </w:pPr>
      <w:r>
        <w:t xml:space="preserve">The null curve-shaping result for DAI in the pooled specification, alongside the marginally significant DAI×ICRV interaction (p = .054),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managerial-heterogeneity"/>
    <w:p>
      <w:pPr>
        <w:pStyle w:val="Heading3"/>
      </w:pPr>
      <w:r>
        <w:t xml:space="preserve">5.4 Managerial Heterogeneity</w:t>
      </w:r>
    </w:p>
    <w:p>
      <w:pPr>
        <w:pStyle w:val="FirstParagraph"/>
      </w:pPr>
      <w:r>
        <w:t xml:space="preserve">The consistent and significant performance premium for female top managers (approximately 19–24% across specifications) is notable given the diversity of economies in our sample, from conservative Gulf economies (Bahrain) to progressive innovation hubs (Korea, Singapore).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bookmarkEnd w:id="45"/>
    <w:bookmarkStart w:id="46" w:name="limitations"/>
    <w:p>
      <w:pPr>
        <w:pStyle w:val="Heading3"/>
      </w:pPr>
      <w:r>
        <w:t xml:space="preserve">5.5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absence of data for 14 ICRV-mapped economies — including Israel, Georgia, Jordan, Fiji, Tonga, Saudi Arabia, Kuwait, and Qatar — limits the statistical power of ICRV Group I–II analysis; these economies’ files were not available at the time of dataset assembly.</w:t>
      </w:r>
    </w:p>
    <w:p>
      <w:r>
        <w:pict>
          <v:rect style="width:0;height:1.5pt" o:hralign="center" o:hrstd="t" o:hr="t"/>
        </w:pict>
      </w:r>
    </w:p>
    <w:bookmarkEnd w:id="46"/>
    <w:bookmarkEnd w:id="47"/>
    <w:bookmarkStart w:id="48" w:name="conclusions"/>
    <w:p>
      <w:pPr>
        <w:pStyle w:val="Heading2"/>
      </w:pPr>
      <w:r>
        <w:t xml:space="preserve">6. Conclusions</w:t>
      </w:r>
    </w:p>
    <w:p>
      <w:pPr>
        <w:pStyle w:val="FirstParagraph"/>
      </w:pPr>
      <w:r>
        <w:t xml:space="preserve">We find that the inverted-U I–P relationship holds robustly across a 34-economy, 73-wave WBES sample, with a turning point of approximately 38% foreign sales intensity. Three conclusions are policy-relevant. First, for firms in the ascending phase (FSTS &lt; 38%), intensifying internationalisation is productivity-enhancing; the priority is removing barriers to export expansion. For firms beyond the turning point, the constraint is not market access but coordination capacity. Second, building technological capability reshapes the entire I–P curve, amplifying returns at moderate FSTS while accelerating decline at excessive FSTS; policy should target capability building alongside market-access interventions. Third, digital adoption is a universal performance enhancer but not a curve reshaper in the pooled setting; the regime-contingent digital advantage (DAI×ICRV, p = .054) suggests that digitalisation policies have stronger marginal returns in frontier economies. 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49"/>
    <w:bookmarkStart w:id="50"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68,957</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68,957</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68,957</w:t>
            </w:r>
          </w:p>
        </w:tc>
        <w:tc>
          <w:tcPr/>
          <w:p>
            <w:pPr>
              <w:pStyle w:val="Compact"/>
              <w:jc w:val="left"/>
            </w:pPr>
            <w:r>
              <w:t xml:space="preserve">.002</w:t>
            </w:r>
          </w:p>
        </w:tc>
        <w:tc>
          <w:tcPr/>
          <w:p>
            <w:pPr>
              <w:pStyle w:val="Compact"/>
              <w:jc w:val="left"/>
            </w:pPr>
            <w:r>
              <w:rPr>
                <w:bCs/>
                <w:b/>
              </w:rPr>
              <w:t xml:space="preserve">38.2</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30,458</w:t>
            </w:r>
          </w:p>
        </w:tc>
        <w:tc>
          <w:tcPr/>
          <w:p>
            <w:pPr>
              <w:pStyle w:val="Compact"/>
              <w:jc w:val="left"/>
            </w:pPr>
            <w:r>
              <w:t xml:space="preserve">.011</w:t>
            </w:r>
          </w:p>
        </w:tc>
        <w:tc>
          <w:tcPr/>
          <w:p>
            <w:pPr>
              <w:pStyle w:val="Compact"/>
              <w:jc w:val="left"/>
            </w:pPr>
            <w:r>
              <w:rPr>
                <w:bCs/>
                <w:b/>
              </w:rPr>
              <w:t xml:space="preserve">35.5</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30,458</w:t>
            </w:r>
          </w:p>
        </w:tc>
        <w:tc>
          <w:tcPr/>
          <w:p>
            <w:pPr>
              <w:pStyle w:val="Compact"/>
              <w:jc w:val="left"/>
            </w:pPr>
            <w:r>
              <w:t xml:space="preserve">.650</w:t>
            </w:r>
          </w:p>
        </w:tc>
        <w:tc>
          <w:tcPr/>
          <w:p>
            <w:pPr>
              <w:pStyle w:val="Compact"/>
              <w:jc w:val="left"/>
            </w:pPr>
            <w:r>
              <w:rPr>
                <w:bCs/>
                <w:b/>
              </w:rPr>
              <w:t xml:space="preserve">38.6</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30,225</w:t>
            </w:r>
          </w:p>
        </w:tc>
        <w:tc>
          <w:tcPr/>
          <w:p>
            <w:pPr>
              <w:pStyle w:val="Compact"/>
              <w:jc w:val="left"/>
            </w:pPr>
            <w:r>
              <w:t xml:space="preserve">.020</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30,225</w:t>
            </w:r>
          </w:p>
        </w:tc>
        <w:tc>
          <w:tcPr/>
          <w:p>
            <w:pPr>
              <w:pStyle w:val="Compact"/>
              <w:jc w:val="left"/>
            </w:pPr>
            <w:r>
              <w:t xml:space="preserve">.021</w:t>
            </w:r>
          </w:p>
        </w:tc>
        <w:tc>
          <w:tcPr/>
          <w:p>
            <w:pPr>
              <w:pStyle w:val="Compact"/>
              <w:jc w:val="left"/>
            </w:pPr>
            <w:r>
              <w:rPr>
                <w:bCs/>
                <w:b/>
              </w:rPr>
              <w:t xml:space="preserve">37.8</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30,134</w:t>
            </w:r>
          </w:p>
        </w:tc>
        <w:tc>
          <w:tcPr/>
          <w:p>
            <w:pPr>
              <w:pStyle w:val="Compact"/>
              <w:jc w:val="left"/>
            </w:pPr>
            <w:r>
              <w:t xml:space="preserve">.025</w:t>
            </w:r>
          </w:p>
        </w:tc>
        <w:tc>
          <w:tcPr/>
          <w:p>
            <w:pPr>
              <w:pStyle w:val="Compact"/>
              <w:jc w:val="left"/>
            </w:pPr>
            <w:r>
              <w:rPr>
                <w:bCs/>
                <w:b/>
              </w:rPr>
              <w:t xml:space="preserve">38.8</w:t>
            </w:r>
          </w:p>
        </w:tc>
        <w:tc>
          <w:tcPr/>
          <w:p>
            <w:pPr>
              <w:pStyle w:val="Compact"/>
              <w:jc w:val="left"/>
            </w:pPr>
            <w:r>
              <w:t xml:space="preserve">.001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28,208</w:t>
            </w:r>
          </w:p>
        </w:tc>
        <w:tc>
          <w:tcPr/>
          <w:p>
            <w:pPr>
              <w:pStyle w:val="Compact"/>
              <w:jc w:val="left"/>
            </w:pPr>
            <w:r>
              <w:t xml:space="preserve">.031</w:t>
            </w:r>
          </w:p>
        </w:tc>
        <w:tc>
          <w:tcPr/>
          <w:p>
            <w:pPr>
              <w:pStyle w:val="Compact"/>
              <w:jc w:val="left"/>
            </w:pPr>
            <w:r>
              <w:rPr>
                <w:bCs/>
                <w:b/>
              </w:rPr>
              <w:t xml:space="preserve">30.3</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28,103</w:t>
            </w:r>
          </w:p>
        </w:tc>
        <w:tc>
          <w:tcPr/>
          <w:p>
            <w:pPr>
              <w:pStyle w:val="Compact"/>
              <w:jc w:val="left"/>
            </w:pPr>
            <w:r>
              <w:t xml:space="preserve">.038</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26,317</w:t>
            </w:r>
          </w:p>
        </w:tc>
        <w:tc>
          <w:tcPr/>
          <w:p>
            <w:pPr>
              <w:pStyle w:val="Compact"/>
              <w:jc w:val="left"/>
            </w:pPr>
            <w:r>
              <w:t xml:space="preserve">.052</w:t>
            </w:r>
          </w:p>
        </w:tc>
        <w:tc>
          <w:tcPr/>
          <w:p>
            <w:pPr>
              <w:pStyle w:val="Compact"/>
              <w:jc w:val="left"/>
            </w:pPr>
            <w:r>
              <w:t xml:space="preserve">—</w:t>
            </w:r>
          </w:p>
        </w:tc>
        <w:tc>
          <w:tcPr/>
          <w:p>
            <w:pPr>
              <w:pStyle w:val="Compact"/>
              <w:jc w:val="left"/>
            </w:pPr>
            <w:r>
              <w:t xml:space="preserve">.279</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+1.139***</w:t>
            </w:r>
          </w:p>
        </w:tc>
        <w:tc>
          <w:tcPr/>
          <w:p>
            <w:pPr>
              <w:pStyle w:val="Compact"/>
              <w:jc w:val="left"/>
            </w:pPr>
            <w:r>
              <w:t xml:space="preserve">+0.698***</w:t>
            </w:r>
          </w:p>
        </w:tc>
        <w:tc>
          <w:tcPr/>
          <w:p>
            <w:pPr>
              <w:pStyle w:val="Compact"/>
              <w:jc w:val="left"/>
            </w:pPr>
            <w:r>
              <w:t xml:space="preserve">+0.590***</w:t>
            </w:r>
          </w:p>
        </w:tc>
        <w:tc>
          <w:tcPr/>
          <w:p>
            <w:pPr>
              <w:pStyle w:val="Compact"/>
              <w:jc w:val="left"/>
            </w:pPr>
            <w:r>
              <w:t xml:space="preserve">−6.192***</w:t>
            </w:r>
          </w:p>
        </w:tc>
      </w:tr>
      <w:tr>
        <w:tc>
          <w:tcPr/>
          <w:p>
            <w:pPr>
              <w:pStyle w:val="Compact"/>
              <w:jc w:val="left"/>
            </w:pPr>
            <w:r>
              <w:t xml:space="preserve">FSTS² (β₂)</w:t>
            </w:r>
          </w:p>
        </w:tc>
        <w:tc>
          <w:tcPr/>
          <w:p>
            <w:pPr>
              <w:pStyle w:val="Compact"/>
              <w:jc w:val="left"/>
            </w:pPr>
            <w:r>
              <w:t xml:space="preserve">−1.492***</w:t>
            </w:r>
          </w:p>
        </w:tc>
        <w:tc>
          <w:tcPr/>
          <w:p>
            <w:pPr>
              <w:pStyle w:val="Compact"/>
              <w:jc w:val="left"/>
            </w:pPr>
            <w:r>
              <w:t xml:space="preserve">−0.923***</w:t>
            </w:r>
          </w:p>
        </w:tc>
        <w:tc>
          <w:tcPr/>
          <w:p>
            <w:pPr>
              <w:pStyle w:val="Compact"/>
              <w:jc w:val="left"/>
            </w:pPr>
            <w:r>
              <w:t xml:space="preserve">−0.761**</w:t>
            </w:r>
          </w:p>
        </w:tc>
        <w:tc>
          <w:tcPr/>
          <w:p>
            <w:pPr>
              <w:pStyle w:val="Compact"/>
              <w:jc w:val="left"/>
            </w:pPr>
            <w:r>
              <w:t xml:space="preserve">+9.520***</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+0.414***</w:t>
            </w:r>
          </w:p>
        </w:tc>
        <w:tc>
          <w:tcPr/>
          <w:p>
            <w:pPr>
              <w:pStyle w:val="Compact"/>
              <w:jc w:val="left"/>
            </w:pPr>
            <w:r>
              <w:t xml:space="preserve">+0.365***</w:t>
            </w:r>
          </w:p>
        </w:tc>
        <w:tc>
          <w:tcPr/>
          <w:p>
            <w:pPr>
              <w:pStyle w:val="Compact"/>
              <w:jc w:val="left"/>
            </w:pPr>
            <w:r>
              <w:t xml:space="preserve">+0.255***</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+0.532*</w:t>
            </w:r>
          </w:p>
        </w:tc>
        <w:tc>
          <w:tcPr/>
          <w:p>
            <w:pPr>
              <w:pStyle w:val="Compact"/>
              <w:jc w:val="left"/>
            </w:pPr>
            <w:r>
              <w:t xml:space="preserve">+0.648**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−1.160***</w:t>
            </w:r>
          </w:p>
        </w:tc>
        <w:tc>
          <w:tcPr/>
          <w:p>
            <w:pPr>
              <w:pStyle w:val="Compact"/>
              <w:jc w:val="left"/>
            </w:pPr>
            <w:r>
              <w:t xml:space="preserve">−1.230***</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+0.182***</w:t>
            </w:r>
          </w:p>
        </w:tc>
        <w:tc>
          <w:tcPr/>
          <w:p>
            <w:pPr>
              <w:pStyle w:val="Compact"/>
              <w:jc w:val="left"/>
            </w:pPr>
            <w:r>
              <w:t xml:space="preserve">+0.178***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−0.230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+0.180</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+0.643***</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+1.684***</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−2.589***</w:t>
            </w:r>
          </w:p>
        </w:tc>
      </w:tr>
      <w:tr>
        <w:tc>
          <w:tcPr/>
          <w:p>
            <w:pPr>
              <w:pStyle w:val="Compact"/>
              <w:jc w:val="left"/>
            </w:pPr>
            <w:r>
              <w:t xml:space="preserve">N</w:t>
            </w:r>
          </w:p>
        </w:tc>
        <w:tc>
          <w:tcPr/>
          <w:p>
            <w:pPr>
              <w:pStyle w:val="Compact"/>
              <w:jc w:val="left"/>
            </w:pPr>
            <w:r>
              <w:t xml:space="preserve">68,957</w:t>
            </w:r>
          </w:p>
        </w:tc>
        <w:tc>
          <w:tcPr/>
          <w:p>
            <w:pPr>
              <w:pStyle w:val="Compact"/>
              <w:jc w:val="left"/>
            </w:pPr>
            <w:r>
              <w:t xml:space="preserve">30,225</w:t>
            </w:r>
          </w:p>
        </w:tc>
        <w:tc>
          <w:tcPr/>
          <w:p>
            <w:pPr>
              <w:pStyle w:val="Compact"/>
              <w:jc w:val="left"/>
            </w:pPr>
            <w:r>
              <w:t xml:space="preserve">30,134</w:t>
            </w:r>
          </w:p>
        </w:tc>
        <w:tc>
          <w:tcPr/>
          <w:p>
            <w:pPr>
              <w:pStyle w:val="Compact"/>
              <w:jc w:val="left"/>
            </w:pPr>
            <w:r>
              <w:t xml:space="preserve">28,103</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.038</w:t>
            </w:r>
          </w:p>
        </w:tc>
      </w:tr>
    </w:tbl>
    <w:p>
      <w:pPr>
        <w:pStyle w:val="BodyText"/>
      </w:pPr>
      <w:r>
        <w:rPr>
          <w:iCs/>
          <w:i/>
        </w:rPr>
        <w:t xml:space="preserve">Note.</w:t>
      </w:r>
      <w:r>
        <w:t xml:space="preserve"> </w:t>
      </w:r>
      <w:r>
        <w:t xml:space="preserve">HC1 robust SEs. *** p &lt; .001, ** p &lt; .01, * p &lt; .05. Controls (female_owner, foreign_own_pct, firm_age, ln_size) included in M7–M10 but not reported for space.</w:t>
      </w:r>
    </w:p>
    <w:p>
      <w:r>
        <w:pict>
          <v:rect style="width:0;height:1.5pt" o:hralign="center" o:hrstd="t" o:hr="t"/>
        </w:pict>
      </w:r>
    </w:p>
    <w:bookmarkEnd w:id="50"/>
    <w:bookmarkStart w:id="51"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 patu@ctu.edu.vn, ORCID: 0000-0003-0667-3137</w:t>
      </w:r>
      <w:r>
        <w:br/>
      </w:r>
      <w:r>
        <w:rPr>
          <w:iCs/>
          <w:i/>
        </w:rPr>
        <w:t xml:space="preserve">First author: Do Thuy Huong, Vinh Long University of Technology Education, huongdt@vlute.edu.vn, ORCID: 0000-0002-7711-2487</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2026-05-11T02:46:06Z</dcterms:created>
  <dcterms:modified xsi:type="dcterms:W3CDTF">2026-05-11T02:46:06Z</dcterms:modified>
</cp:coreProperties>
</file>

<file path=docProps/custom.xml><?xml version="1.0" encoding="utf-8"?>
<Properties xmlns="http://schemas.openxmlformats.org/officeDocument/2006/custom-properties" xmlns:vt="http://schemas.openxmlformats.org/officeDocument/2006/docPropsVTypes"/>
</file>