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3"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revealing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Reporting associations rather than effects, the evidence sharpens the distinction between technological capability and foundational digital adoption, suggesting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w:t>
      </w:r>
      <w:r>
        <w:t xml:space="preserve"> </w:t>
      </w:r>
      <m:oMath>
        <m:r>
          <m:t>β</m:t>
        </m:r>
      </m:oMath>
      <w:r>
        <w:t xml:space="preserve">=+3.119,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w:t>
      </w:r>
      <w:r>
        <w:t xml:space="preserve"> </w:t>
      </w:r>
      <m:oMath>
        <m:r>
          <m:rPr>
            <m:nor/>
            <m:sty m:val="p"/>
          </m:rPr>
          <m:t>DAI</m:t>
        </m:r>
        <m:r>
          <m:rPr>
            <m:sty m:val="p"/>
          </m:rPr>
          <m:t>×</m:t>
        </m:r>
        <m:r>
          <m:rPr>
            <m:nor/>
            <m:sty m:val="p"/>
          </m:rPr>
          <m:t>FSTS</m:t>
        </m:r>
      </m:oMath>
      <w:r>
        <w:t xml:space="preserve"> </w:t>
      </w:r>
      <w:r>
        <w:t xml:space="preserve">interaction terms rejects the null of a uniform DAI–productivity association across the full FSTS range.</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r>
        <w:t xml:space="preserve"> </w:t>
      </w:r>
      <w:r>
        <w:t xml:space="preserve">### 2.4 Conceptual model</w:t>
      </w:r>
      <w:r>
        <w:t xml:space="preserve"> </w:t>
      </w: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868873"/>
            <wp:effectExtent b="0" l="0" r="0" t="0"/>
            <wp:docPr descr="Figure 1: Conceptual model. TCI and DAI moderating the I–P relationship" title="" id="21" name="Picture"/>
            <a:graphic>
              <a:graphicData uri="http://schemas.openxmlformats.org/drawingml/2006/picture">
                <pic:pic>
                  <pic:nvPicPr>
                    <pic:cNvPr descr="figures/p4_singapore/figure_1_conceptual_model.png" id="22" name="Picture"/>
                    <pic:cNvPicPr>
                      <a:picLocks noChangeArrowheads="1" noChangeAspect="1"/>
                    </pic:cNvPicPr>
                  </pic:nvPicPr>
                  <pic:blipFill>
                    <a:blip r:embed="rId20"/>
                    <a:stretch>
                      <a:fillRect/>
                    </a:stretch>
                  </pic:blipFill>
                  <pic:spPr bwMode="auto">
                    <a:xfrm>
                      <a:off x="0" y="0"/>
                      <a:ext cx="5753100" cy="3868873"/>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w:t>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t xml:space="preserve"> </w:t>
      </w:r>
      <w:r>
        <w:t xml:space="preserve">## 3 Methods</w:t>
      </w:r>
      <w:r>
        <w:t xml:space="preserve"> </w:t>
      </w:r>
      <w:r>
        <w:t xml:space="preserve">### 3.1 Data</w:t>
      </w:r>
      <w:r>
        <w:t xml:space="preserve"> </w:t>
      </w: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3.3 Estimation strategy and identification scope</w:t>
      </w:r>
      <w:r>
        <w:t xml:space="preserve"> </w:t>
      </w: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23"/>
    <w:bookmarkStart w:id="32" w:name="results"/>
    <w:p>
      <w:pPr>
        <w:pStyle w:val="Heading2"/>
      </w:pPr>
      <w:r>
        <w:t xml:space="preserve">4 Results</w:t>
      </w:r>
    </w:p>
    <w:bookmarkStart w:id="24"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whereas the squared term is negative (p = .056, approaching conventional significance thresholds).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4"/>
    <w:bookmarkStart w:id="31" w:name="tci-results"/>
    <w:p>
      <w:pPr>
        <w:pStyle w:val="Heading3"/>
      </w:pPr>
      <w:r>
        <w:t xml:space="preserve">4.3 TCI results</w:t>
      </w:r>
    </w:p>
    <w:p>
      <w:pPr>
        <w:pStyle w:val="FirstParagraph"/>
      </w:pPr>
      <w:r>
        <w:t xml:space="preserve">The direct-effect model for technological capability (Model M5) shows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and marginal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26" name="Picture"/>
            <a:graphic>
              <a:graphicData uri="http://schemas.openxmlformats.org/drawingml/2006/picture">
                <pic:pic>
                  <pic:nvPicPr>
                    <pic:cNvPr descr="figures/p4_singapore/figure_2_dai_marginal_effect.png" id="27" name="Picture"/>
                    <pic:cNvPicPr>
                      <a:picLocks noChangeArrowheads="1" noChangeAspect="1"/>
                    </pic:cNvPicPr>
                  </pic:nvPicPr>
                  <pic:blipFill>
                    <a:blip r:embed="rId25"/>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29" name="Picture"/>
            <a:graphic>
              <a:graphicData uri="http://schemas.openxmlformats.org/drawingml/2006/picture">
                <pic:pic>
                  <pic:nvPicPr>
                    <pic:cNvPr descr="figures/p4_singapore/figure_3_predicted_ip_curve.png" id="30" name="Picture"/>
                    <pic:cNvPicPr>
                      <a:picLocks noChangeArrowheads="1" noChangeAspect="1"/>
                    </pic:cNvPicPr>
                  </pic:nvPicPr>
                  <pic:blipFill>
                    <a:blip r:embed="rId28"/>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w:t>
      </w:r>
      <w:r>
        <w:t xml:space="preserve"> </w:t>
      </w:r>
      <m:oMath>
        <m:r>
          <m:rPr>
            <m:sty m:val="p"/>
          </m:rPr>
          <m:t>≈</m:t>
        </m:r>
      </m:oMath>
      <w:r>
        <w:t xml:space="preserve"> </w:t>
      </w:r>
      <w:r>
        <w:t xml:space="preserve">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t xml:space="preserve"> </w:t>
      </w:r>
      <w:r>
        <w:t xml:space="preserve">### 4.5 Robustness checks</w:t>
      </w:r>
      <w:r>
        <w:t xml:space="preserve"> </w:t>
      </w: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These effect sizes reinforce a cautious interpretation. A formal power analysis underscores the implication: at</w:t>
      </w:r>
      <w:r>
        <w:t xml:space="preserve"> </w:t>
      </w:r>
      <m:oMath>
        <m:sSup>
          <m:e>
            <m:r>
              <m:t>f</m:t>
            </m:r>
          </m:e>
          <m:sup>
            <m:r>
              <m:t>2</m:t>
            </m:r>
          </m:sup>
        </m:sSup>
      </m:oMath>
      <w:r>
        <w:t xml:space="preserve">=0.018 with</w:t>
      </w:r>
      <w:r>
        <w:t xml:space="preserve"> </w:t>
      </w:r>
      <m:oMath>
        <m:r>
          <m:t>α</m:t>
        </m:r>
      </m:oMath>
      <w:r>
        <w:t xml:space="preserve">=.05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w:t>
      </w:r>
      <w:r>
        <w:t xml:space="preserve"> </w:t>
      </w:r>
      <m:oMath>
        <m:sSup>
          <m:e>
            <m:r>
              <m:t>f</m:t>
            </m:r>
          </m:e>
          <m:sup>
            <m:r>
              <m:t>2</m:t>
            </m:r>
          </m:sup>
        </m:sSup>
      </m:oMath>
      <w:r>
        <w:t xml:space="preserve">=0.018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w:t>
      </w:r>
      <w:r>
        <w:t xml:space="preserve"> </w:t>
      </w:r>
      <m:oMath>
        <m:r>
          <m:t>β</m:t>
        </m:r>
      </m:oMath>
      <w:r>
        <w:t xml:space="preserve">=+2.821,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w:t>
      </w:r>
      <m:oMath>
        <m:r>
          <m:t>β</m:t>
        </m:r>
      </m:oMath>
      <w:r>
        <w:t xml:space="preserve"> </w:t>
      </w:r>
      <w:r>
        <w:t xml:space="preserve">= 0.264, SE = 0.138, t = 1.92, p = .055), indicating mild selection at the extensive margin of export participation. The key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w:t>
      </w:r>
      <m:oMath>
        <m:r>
          <m:t>Δ</m:t>
        </m:r>
      </m:oMath>
      <w:r>
        <w:t xml:space="preserve">|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jc w:val="left"/>
            </w:pPr>
            <w:r>
              <w:t xml:space="preserve">Joint F (p)</w:t>
            </w:r>
          </w:p>
        </w:tc>
        <w:tc>
          <w:tcPr/>
          <w:p>
            <w:pPr>
              <w:pStyle w:val="Compact"/>
              <w:jc w:val="left"/>
            </w:pPr>
            <w:r>
              <w:t xml:space="preserve">Adj.</w:t>
            </w:r>
            <w:r>
              <w:t xml:space="preserve"> </w:t>
            </w:r>
            <m:oMath>
              <m:sSup>
                <m:e>
                  <m:r>
                    <m:t>R</m:t>
                  </m:r>
                </m:e>
                <m:sup>
                  <m:r>
                    <m:t>2</m:t>
                  </m:r>
                </m:sup>
              </m:sSup>
            </m:oMath>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w:t>
      </w:r>
      <m:oMath>
        <m:r>
          <m:t>β</m:t>
        </m:r>
      </m:oMath>
      <w:r>
        <w:t xml:space="preserve">=+3.119,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w:t>
      </w:r>
      <m:oMath>
        <m:r>
          <m:t>β</m:t>
        </m:r>
      </m:oMath>
      <w:r>
        <w:t xml:space="preserve"> </w:t>
      </w:r>
      <w:r>
        <w:t xml:space="preserve">=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r>
        <w:t xml:space="preserve"> </w:t>
      </w:r>
      <w:r>
        <w:t xml:space="preserve">### 5.2 Managerial implications</w:t>
      </w:r>
      <w:r>
        <w:t xml:space="preserve"> </w:t>
      </w: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https://www.enterprisesurveys.org. Analysis scripts to replicate the results are available from the corresponding author on reasonable request.</w:t>
      </w:r>
    </w:p>
    <w:p>
      <w:r>
        <w:pict>
          <v:rect style="width:0;height:1.5pt" o:hralign="center" o:hrstd="t" o:hr="t"/>
        </w:pict>
      </w:r>
    </w:p>
    <w:bookmarkEnd w:id="31"/>
    <w:bookmarkEnd w:id="32"/>
    <w:bookmarkStart w:id="33"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 https://doi.org/10.1111/j.1468-0335.1937.tb00002.x</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 https://www.enterprisesurveys.org</w:t>
      </w:r>
    </w:p>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2026-05-28T17:39:57Z</dcterms:created>
  <dcterms:modified xsi:type="dcterms:W3CDTF">2026-05-28T17:39:57Z</dcterms:modified>
</cp:coreProperties>
</file>

<file path=docProps/custom.xml><?xml version="1.0" encoding="utf-8"?>
<Properties xmlns="http://schemas.openxmlformats.org/officeDocument/2006/custom-properties" xmlns:vt="http://schemas.openxmlformats.org/officeDocument/2006/docPropsVTypes"/>
</file>