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IJOEM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roles of technological capability and foundational digital adoption.</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w:t>
      </w:r>
    </w:p>
    <w:p>
      <w:pPr>
        <w:pStyle w:val="BodyText"/>
      </w:pPr>
      <w:r>
        <w:rPr>
          <w:bCs/>
          <w:b/>
        </w:rPr>
        <w:t xml:space="preserve">Findings.</w:t>
      </w:r>
      <w:r>
        <w:t xml:space="preserve"> </w:t>
      </w:r>
      <w:r>
        <w:t xml:space="preserve">Cross-wave Paternoster (1998) z-tests do not reject equality of the linear and squared export-intensity coefficients (FSTS z = +0.82, p = .412;</w:t>
      </w:r>
      <w:r>
        <w:t xml:space="preserve"> </w:t>
      </w:r>
      <m:oMath>
        <m:sSup>
          <m:e>
            <m:r>
              <m:rPr>
                <m:nor/>
                <m:sty m:val="p"/>
              </m:rPr>
              <m:t>FSTS</m:t>
            </m:r>
          </m:e>
          <m:sup>
            <m:r>
              <m:t>2</m:t>
            </m:r>
          </m:sup>
        </m:sSup>
      </m:oMath>
      <w:r>
        <w:t xml:space="preserve"> </w:t>
      </w:r>
      <w:r>
        <w:t xml:space="preserve">z = −0.61, p = .545), and the pooled joint F-test on wave interactions is non-significant (F(2, 3,558) = 2.24, p = .107). Estimated turning points remain in a tight range, 49.4% of sales in 2012, 47.2% in 2024 and 48.8% pooled, with overlapping confidence intervals. Technological capability is robustly productivity-enhancing in both waves (</w:t>
      </w:r>
      <m:oMath>
        <m:r>
          <m:t>β</m:t>
        </m:r>
      </m:oMath>
      <w:r>
        <w:t xml:space="preserve">_z = +0.28 and +0.43; both p &lt; .001), and a website proxy is positive in 2024 and pooled, but neither construct robustly moderates curvature (capability</w:t>
      </w:r>
      <m:oMath>
        <m:r>
          <m:rPr>
            <m:sty m:val="p"/>
          </m:rPr>
          <m:t>×</m:t>
        </m:r>
      </m:oMath>
      <w:r>
        <w:t xml:space="preserve">curvature F = 3.26, p = .039 marginal; three-way capability</w:t>
      </w:r>
      <m:oMath>
        <m:r>
          <m:rPr>
            <m:sty m:val="p"/>
          </m:rPr>
          <m:t>×</m:t>
        </m:r>
      </m:oMath>
      <w:r>
        <w:t xml:space="preserve">wave</w:t>
      </w:r>
      <m:oMath>
        <m:r>
          <m:rPr>
            <m:sty m:val="p"/>
          </m:rPr>
          <m:t>×</m:t>
        </m:r>
      </m:oMath>
      <w:r>
        <w:t xml:space="preserve">curvature F = 0.27, p = .760).</w:t>
      </w:r>
    </w:p>
    <w:p>
      <w:pPr>
        <w:pStyle w:val="BodyText"/>
      </w:pPr>
      <w:r>
        <w:rPr>
          <w:bCs/>
          <w:b/>
        </w:rPr>
        <w:t xml:space="preserve">Originality/value.</w:t>
      </w:r>
      <w:r>
        <w:t xml:space="preserve"> </w:t>
      </w:r>
      <w:r>
        <w:t xml:space="preserve">Structural durability (H2b) is confirmed over environmental shift (H2a): despite substantial structural change between 2012 and 2024, the Chinese I–P trade-off is durably structural rather than wave-specific, recasting the inverted-U threshold as a survival constant, with global-value-chain over-embeddedness as the candidate mechanism.</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w:t>
      </w:r>
      <m:oMath>
        <m:r>
          <m:t>β</m:t>
        </m:r>
      </m:oMath>
      <w:r>
        <w:t xml:space="preserve">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w:t>
      </w:r>
      <m:oMath>
        <m:r>
          <m:t>β</m:t>
        </m:r>
      </m:oMath>
      <w:r>
        <w:t xml:space="preserve">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 substantial empirical literature, including several meta‑analyses spanning multiple decades and country contexts, now favors a nonlinear inverted U‑shape: performance rises at low to moderate levels of internationalization and declines once foreign exposure becomes excessive (Hitt, Hoskisson, &amp; Kim, 1997; Contractor, Kundu, &amp; Hsu, 2003; Lu &amp; Beamish, 2004; Marano, Arregle, Hitt, Spadafora, &amp; van Essen, 2016; Schwens et al., 2018; Author Citation, 2025, ICBEF). A more demanding question, and the one this study takes up, is whether the implied turning point is a</w:t>
      </w:r>
      <w:r>
        <w:t xml:space="preserve"> </w:t>
      </w:r>
      <w:r>
        <w:rPr>
          <w:iCs/>
          <w:i/>
        </w:rPr>
        <w:t xml:space="preserve">durable structural feature</w:t>
      </w:r>
      <w:r>
        <w:t xml:space="preserve"> </w:t>
      </w:r>
      <w:r>
        <w:t xml:space="preserve">of a setting or simply a sample‑specific regularity that evolves as institutional and competitive conditions change. The</w:t>
      </w:r>
      <w:r>
        <w:t xml:space="preserve"> </w:t>
      </w:r>
      <w:r>
        <w:t xml:space="preserve">“</w:t>
      </w:r>
      <w:r>
        <w:t xml:space="preserve">too‑much‑of‑a‑good‑thing</w:t>
      </w:r>
      <w:r>
        <w:t xml:space="preserve">”</w:t>
      </w:r>
      <w:r>
        <w:t xml:space="preserve"> </w:t>
      </w:r>
      <w:r>
        <w:t xml:space="preserve">pattern is by now well established in management research (Pierce &amp; Aguinis, 2013). Its temporal robustness within a single national context, however, has rarely been examined. For private firms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themselves matured over this period in the WBES sample. Average firm age in the analytic samples rose from 12.6 to 13.9 years, and average labour productivity (log scale) rose from 12.52 to 13.01, a roughly 64 % productivity premium in level terms (exp(0.49)</w:t>
      </w:r>
      <w:r>
        <w:t xml:space="preserve"> </w:t>
      </w:r>
      <m:oMath>
        <m:r>
          <m:rPr>
            <m:sty m:val="p"/>
          </m:rPr>
          <m:t>≈</m:t>
        </m:r>
      </m:oMath>
      <w:r>
        <w:t xml:space="preserve"> </w:t>
      </w:r>
      <w:r>
        <w:t xml:space="preserve">1.64). Under conventional internationalization theory, several of these changes should have shifted the inverted‑U turning point: by raising the productive returns to internationalization at the upper tail (capability strengthening), by softening the post‑threshold downturn (improved trade finance), or both. Whether the predicted shift actually materialises is an empirical question that, for China in the post‑GFC, post‑COVID period, has not been directly tested.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concerns motivate the inquiry.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behaviour is therefore a non‑trivial empirical contribution beyond the standard inverted‑U claim (Haans, Pieters, &amp; He, 2016). The IB literature also increasingly recognises that the post‑threshold downturn may reflect not only generic coordination costs (Hennart, 2007; Contractor, 2007) but also more specific financial frictions (cash‑conversion lengthening, foreign‑receivables exposure, and credit‑constraint binding for trade‑finance access) that intensify as export intensity rises (Manova, 2013; Foley &amp; Manova, 2015; Niepmann &amp; Schmidt-Eisenlohr, 2017; Demir &amp; Javorcik, 2018). The growing role of digital adoption and technological capability in firm productivity, finally,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Yet the available WBES indicators capture lower‑tier digital adoption rather than full dynamic digital capability. Disentangling these three threads, temporal stability, financial mechanism, and capability role, is the analytical agenda of this study.</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this study frames competing H2a (predicted shift) and H2b (structural durability) hypotheses and lets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(FSTS</w:t>
      </w:r>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and (FSTS</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This study makes four contributions. The first is to identify and characterise an optimal export‑intensity threshold for Chinese private firms at approximately 48 % of total sales, with a managerially relevant safe operating zone of 30 % to 60 %. This threshold complements the 47.8 % cubic turning point reported by Author Citation (2026 — JFAR) for Chinese manufacturing SMEs, extending the analysis to the full WBES private-firm frame and to a second wave a decade later. The central contribution is cross‑wave evidence that the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w:t>
      </w:r>
      <m:oMath>
        <m:r>
          <m:rPr>
            <m:sty m:val="p"/>
          </m:rPr>
          <m:t>×</m:t>
        </m:r>
      </m:oMath>
      <w:r>
        <w:t xml:space="preserve">curvature, capability</w:t>
      </w:r>
      <m:oMath>
        <m:r>
          <m:rPr>
            <m:sty m:val="p"/>
          </m:rPr>
          <m:t>×</m:t>
        </m:r>
      </m:oMath>
      <w:r>
        <w:t xml:space="preserve">wave</w:t>
      </w:r>
      <m:oMath>
        <m:r>
          <m:rPr>
            <m:sty m:val="p"/>
          </m:rPr>
          <m:t>×</m:t>
        </m:r>
      </m:oMath>
      <w:r>
        <w:t xml:space="preserve">curvature, working capital</w:t>
      </w:r>
      <m:oMath>
        <m:r>
          <m:rPr>
            <m:sty m:val="p"/>
          </m:rPr>
          <m:t>×</m:t>
        </m:r>
      </m:oMath>
      <w:r>
        <w:t xml:space="preserve">curvature) converge on the same substantive interpretation. A third contribution documents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the study speaks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speaks to the skepticism of Pisani, Garcia-Bernardo, and Heemskerk (2020, SMJ), who show that the inverted-U relationship weakens or disappears under more rigorous identification approaches in cross-national pooled samples. The within-country temporal-stability result suggests that single-country institutional contexts can preserve a functional-form regularity that cross-national samples obscure through aggregation heterogeneity. This study also offers a working‑capital‑trap interpretation of the post‑threshold downturn (Manova, 2013) as theoretically grounded but not directly identified in the present data, and marks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theory-and-hypotheses"/>
    <w:p>
      <w:pPr>
        <w:pStyle w:val="Heading2"/>
      </w:pPr>
      <w:r>
        <w:t xml:space="preserve">2. Theory and Hypotheses</w:t>
      </w:r>
    </w:p>
    <w:bookmarkStart w:id="23" w:name="X4f45e5b70910083c028d4155f6a1fbe1987364b"/>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w:t>
      </w:r>
      <w:r>
        <w:t xml:space="preserve"> </w:t>
      </w:r>
      <w:r>
        <w:t xml:space="preserve">“</w:t>
      </w:r>
      <w:r>
        <w:t xml:space="preserve">too‑much‑of‑a‑good‑thing</w:t>
      </w:r>
      <w:r>
        <w:t xml:space="preserve">”</w:t>
      </w:r>
      <w:r>
        <w:t xml:space="preserve"> </w:t>
      </w:r>
      <w:r>
        <w:t xml:space="preserve">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5f39400f44964cc6ae6baafbeb169e79571dfa6"/>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w:t>
      </w:r>
      <w:r>
        <w:t xml:space="preserve"> </w:t>
      </w:r>
      <m:oMath>
        <m:sSub>
          <m:e>
            <m:r>
              <m:t>β</m:t>
            </m:r>
          </m:e>
          <m:sub>
            <m:r>
              <m:t>2</m:t>
            </m:r>
          </m:sub>
        </m:sSub>
      </m:oMath>
      <w:r>
        <w:t xml:space="preserve"> </w:t>
      </w:r>
      <w:r>
        <w:t xml:space="preserve">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a2221e2440866fb6a42cd32a3216e0b88dd00c3"/>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023349e6b491fb5689e583f990bf7c1da56d077"/>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conceptual-model"/>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CaptionedFigure"/>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ImageCaption"/>
      </w:pPr>
      <w:r>
        <w:t xml:space="preserve">Figure 1: Conceptual model: bounded I–P and temporal shift, Chinese private firms</w:t>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w:t>
      </w:r>
      <m:oMath>
        <m:r>
          <m:rPr>
            <m:sty m:val="p"/>
          </m:rPr>
          <m:t>×</m:t>
        </m:r>
      </m:oMath>
      <w:r>
        <w:t xml:space="preser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38"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2,610; 2024, N = 1,934; pooled, N = 4,544)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 https://www.enterprisesurveys.org/en/data 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 www.enterprisesurveys.org.</w:t>
      </w:r>
    </w:p>
    <w:bookmarkEnd w:id="32"/>
    <w:bookmarkStart w:id="33" w:name="variables"/>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w:t>
      </w:r>
      <w:r>
        <w:t xml:space="preserve"> </w:t>
      </w:r>
      <m:oMath>
        <m:r>
          <m:rPr>
            <m:sty m:val="p"/>
          </m:rPr>
          <m:t>≈</m:t>
        </m:r>
      </m:oMath>
      <w:r>
        <w:t xml:space="preserve"> </w:t>
      </w:r>
      <w:r>
        <w:t xml:space="preserve">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w:t>
      </w:r>
      <w:r>
        <w:t xml:space="preserve"> </w:t>
      </w:r>
      <m:oMath>
        <m:r>
          <m:rPr>
            <m:sty m:val="p"/>
          </m:rPr>
          <m:t>≥</m:t>
        </m:r>
      </m:oMath>
      <w:r>
        <w:t xml:space="preserve"> </w:t>
      </w:r>
      <w:r>
        <w:t xml:space="preserve">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w:t>
      </w:r>
      <w:r>
        <w:t xml:space="preserve"> </w:t>
      </w:r>
      <w:r>
        <w:t xml:space="preserve">“</w:t>
      </w:r>
      <w:r>
        <w:t xml:space="preserve">do not know</w:t>
      </w:r>
      <w:r>
        <w:t xml:space="preserve">”</w:t>
      </w:r>
      <w:r>
        <w:t xml:space="preserve"> </w:t>
      </w:r>
      <w:r>
        <w:t xml:space="preserve">and -7 for refusal in many items; the 2024 release additionally separates -8 for refusal from -9 for</w:t>
      </w:r>
      <w:r>
        <w:t xml:space="preserve"> </w:t>
      </w:r>
      <w:r>
        <w:t xml:space="preserve">“</w:t>
      </w:r>
      <w:r>
        <w:t xml:space="preserve">do not know</w:t>
      </w:r>
      <w:r>
        <w:t xml:space="preserve">”</w:t>
      </w:r>
      <w:r>
        <w:t xml:space="preserve">. These codes are treated as missing in the present analysis, restoring methodological alignment with the WBES codebook guidance.</w:t>
      </w:r>
    </w:p>
    <w:bookmarkEnd w:id="33"/>
    <w:bookmarkStart w:id="34" w:name="estimation"/>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w:t>
      </w:r>
      <m:oMath>
        <m:r>
          <m:t>β</m:t>
        </m:r>
      </m:oMath>
      <w:r>
        <w:t xml:space="preserve">_A −</w:t>
      </w:r>
      <w:r>
        <w:t xml:space="preserve"> </w:t>
      </w:r>
      <m:oMath>
        <m:r>
          <m:t>β</m:t>
        </m:r>
      </m:oMath>
      <w:r>
        <w:t xml:space="preserve">_B) / √(SE_A² + SE_B²), with two‑sided p‑values from the standard normal distribution; the Paternoster z-test on individual coefficients is complemented by joint F-tests on the two-coefficient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4"/>
    <w:bookmarkStart w:id="35" w:name="Xa25e2a2cdd79e96c4e0f09e817d617fe3a5e905"/>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5"/>
    <w:bookmarkStart w:id="36" w:name="three-way-moderation-specification"/>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focal-set pooled sample (N = 4,559 reported in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w:t>
      </w:r>
      <w:r>
        <w:t xml:space="preserve">$3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6"/>
    <w:bookmarkStart w:id="37" w:name="X18a089881b53dc3b64e92824e3f92e158739695"/>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7"/>
    <w:bookmarkEnd w:id="38"/>
    <w:bookmarkStart w:id="56" w:name="results"/>
    <w:p>
      <w:pPr>
        <w:pStyle w:val="Heading2"/>
      </w:pPr>
      <w:r>
        <w:t xml:space="preserve">4. Results</w:t>
      </w:r>
    </w:p>
    <w:bookmarkStart w:id="39" w:name="descriptive-statistics"/>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w:t>
            </w:r>
            <m:oMath>
              <m:r>
                <m:rPr>
                  <m:sty m:val="p"/>
                </m:rPr>
                <m:t>≥</m:t>
              </m:r>
            </m:oMath>
            <w:r>
              <w:t xml:space="preserve"> </w:t>
            </w:r>
            <w:r>
              <w:t xml:space="preserve">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w:t>
      </w:r>
      <w:r>
        <w:t xml:space="preserve"> </w:t>
      </w:r>
      <m:oMath>
        <m:r>
          <m:rPr>
            <m:sty m:val="p"/>
          </m:rPr>
          <m:t>≈</m:t>
        </m:r>
      </m:oMath>
      <w:r>
        <w:t xml:space="preserve"> </w:t>
      </w:r>
      <w:r>
        <w:t xml:space="preserve">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39"/>
    <w:bookmarkStart w:id="43" w:name="Xd85240ff54ae87493049e41d59d8ad29c305dc0"/>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w:t>
      </w:r>
      <m:oMath>
        <m:r>
          <m:t>β</m:t>
        </m:r>
      </m:oMath>
      <w:r>
        <w:t xml:space="preserve"> </w:t>
      </w:r>
      <w:r>
        <w:t xml:space="preserve">= +2.07, p &lt; .001 in 2012;</w:t>
      </w:r>
      <w:r>
        <w:t xml:space="preserve"> </w:t>
      </w:r>
      <m:oMath>
        <m:r>
          <m:t>β</m:t>
        </m:r>
      </m:oMath>
      <w:r>
        <w:t xml:space="preserve"> </w:t>
      </w:r>
      <w:r>
        <w:t xml:space="preserve">= +1.50, p = .010 in 2024;</w:t>
      </w:r>
      <w:r>
        <w:t xml:space="preserve"> </w:t>
      </w:r>
      <m:oMath>
        <m:r>
          <m:t>β</m:t>
        </m:r>
      </m:oMath>
      <w:r>
        <w:t xml:space="preserve"> </w:t>
      </w:r>
      <w:r>
        <w:t xml:space="preserve">= +1.78, p &lt; .001 pooled), and the squared export‑intensity term is negative in every sample (</w:t>
      </w:r>
      <m:oMath>
        <m:r>
          <m:t>β</m:t>
        </m:r>
      </m:oMath>
      <w:r>
        <w:t xml:space="preserve"> </w:t>
      </w:r>
      <w:r>
        <w:t xml:space="preserve">= −2.09, p &lt; .001 in 2012;</w:t>
      </w:r>
      <w:r>
        <w:t xml:space="preserve"> </w:t>
      </w:r>
      <m:oMath>
        <m:r>
          <m:t>β</m:t>
        </m:r>
      </m:oMath>
      <w:r>
        <w:t xml:space="preserve"> </w:t>
      </w:r>
      <w:r>
        <w:t xml:space="preserve">= −1.59, p = .026 in 2024;</w:t>
      </w:r>
      <w:r>
        <w:t xml:space="preserve"> </w:t>
      </w:r>
      <m:oMath>
        <m:r>
          <m:t>β</m:t>
        </m:r>
      </m:oMath>
      <w:r>
        <w:t xml:space="preserve"> </w:t>
      </w:r>
      <w:r>
        <w:t xml:space="preserve">=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CaptionedFigure"/>
      </w:pPr>
      <w:r>
        <w:drawing>
          <wp:inline>
            <wp:extent cx="5753100" cy="3010157"/>
            <wp:effectExtent b="0" l="0" r="0" t="0"/>
            <wp:docPr descr="Figure 2: Turning-point estimates with 95% confidence intervals by wave (China 2012, 2024, pooled)" title="" id="41" name="Picture"/>
            <a:graphic>
              <a:graphicData uri="http://schemas.openxmlformats.org/drawingml/2006/picture">
                <pic:pic>
                  <pic:nvPicPr>
                    <pic:cNvPr descr="figures/p5_china/figure_2_turning_points.png" id="42" name="Picture"/>
                    <pic:cNvPicPr>
                      <a:picLocks noChangeArrowheads="1" noChangeAspect="1"/>
                    </pic:cNvPicPr>
                  </pic:nvPicPr>
                  <pic:blipFill>
                    <a:blip r:embed="rId40"/>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confidence intervals by wave (China 2012, 2024, pooled)</w:t>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3"/>
    <w:bookmarkStart w:id="47" w:name="Xa30c3eb5fcccdf4dab2bafae8ff0597a6b2c6a8"/>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CaptionedFigure"/>
      </w:pPr>
      <w:r>
        <w:drawing>
          <wp:inline>
            <wp:extent cx="5753100" cy="3330862"/>
            <wp:effectExtent b="0" l="0" r="0" t="0"/>
            <wp:docPr descr="Figure 3: Predicted ln(labour productivity) curves by wave (China, OLS-HC1)" title="" id="45" name="Picture"/>
            <a:graphic>
              <a:graphicData uri="http://schemas.openxmlformats.org/drawingml/2006/picture">
                <pic:pic>
                  <pic:nvPicPr>
                    <pic:cNvPr descr="figures/p5_china/figure_3_predicted_curves.png" id="46" name="Picture"/>
                    <pic:cNvPicPr>
                      <a:picLocks noChangeArrowheads="1" noChangeAspect="1"/>
                    </pic:cNvPicPr>
                  </pic:nvPicPr>
                  <pic:blipFill>
                    <a:blip r:embed="rId44"/>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ln(labour productivity) curves by wave (China, OLS-HC1)</w:t>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w:t>
      </w:r>
      <w:r>
        <w:t xml:space="preserve"> </w:t>
      </w:r>
      <w:r>
        <w:t xml:space="preserve">“</w:t>
      </w:r>
      <w:r>
        <w:t xml:space="preserve">safe operating zone</w:t>
      </w:r>
      <w:r>
        <w:t xml:space="preserve">”</w:t>
      </w:r>
      <w:r>
        <w:t xml:space="preserve"> </w:t>
      </w:r>
      <w:r>
        <w:t xml:space="preserve">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7"/>
    <w:bookmarkStart w:id="51" w:name="Xba04248868a42f562151927c8eafdb36e09dd8e"/>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w:t>
      </w:r>
      <w:r>
        <w:t xml:space="preserve"> </w:t>
      </w:r>
      <m:oMath>
        <m:r>
          <m:t>β</m:t>
        </m:r>
      </m:oMath>
      <w:r>
        <w:t xml:space="preserve">_z = +0.260 in 2012 (SE = 0.049, p &lt; .001),</w:t>
      </w:r>
      <w:r>
        <w:t xml:space="preserve"> </w:t>
      </w:r>
      <m:oMath>
        <m:r>
          <m:t>β</m:t>
        </m:r>
      </m:oMath>
      <w:r>
        <w:t xml:space="preserve">_z = +0.426 in 2024 (SE = 0.047, p &lt; .001), and</w:t>
      </w:r>
      <w:r>
        <w:t xml:space="preserve"> </w:t>
      </w:r>
      <m:oMath>
        <m:r>
          <m:t>β</m:t>
        </m:r>
      </m:oMath>
      <w:r>
        <w:t xml:space="preserve">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w:t>
      </w:r>
      <m:oMath>
        <m:r>
          <m:t>β</m:t>
        </m:r>
      </m:oMath>
      <w:r>
        <w:t xml:space="preserve">_z = +0.05 to +0.13, p</w:t>
      </w:r>
      <w:r>
        <w:t xml:space="preserve"> </w:t>
      </w:r>
      <m:oMath>
        <m:r>
          <m:rPr>
            <m:sty m:val="p"/>
          </m:rPr>
          <m:t>≤</m:t>
        </m:r>
      </m:oMath>
      <w:r>
        <w:t xml:space="preserve"> </w:t>
      </w:r>
      <w:r>
        <w:t xml:space="preserve">.03), consistent with its role as a baseline digital-presence control.</w:t>
      </w:r>
    </w:p>
    <w:p>
      <w:pPr>
        <w:pStyle w:val="BodyText"/>
      </w:pPr>
      <w:r>
        <w:t xml:space="preserve">The curvature‑moderation component of H4a is tested by adding</w:t>
      </w:r>
      <w:r>
        <w:t xml:space="preserve"> </w:t>
      </w:r>
      <m:oMath>
        <m:r>
          <m:rPr>
            <m:nor/>
            <m:sty m:val="p"/>
          </m:rPr>
          <m:t>TCI</m:t>
        </m:r>
        <m:r>
          <m:rPr>
            <m:sty m:val="p"/>
          </m:rPr>
          <m:t>×</m:t>
        </m:r>
        <m:r>
          <m:rPr>
            <m:nor/>
            <m:sty m:val="p"/>
          </m:rPr>
          <m:t>FSTS</m:t>
        </m:r>
      </m:oMath>
      <w:r>
        <w:t xml:space="preserve"> </w:t>
      </w:r>
      <w:r>
        <w:t xml:space="preserve">and TCI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w:t>
      </w:r>
      <m:oMath>
        <m:r>
          <m:rPr>
            <m:nor/>
            <m:sty m:val="p"/>
          </m:rPr>
          <m:t>TCI</m:t>
        </m:r>
        <m:r>
          <m:rPr>
            <m:sty m:val="p"/>
          </m:rPr>
          <m:t>×</m:t>
        </m:r>
        <m:r>
          <m:rPr>
            <m:nor/>
            <m:sty m:val="p"/>
          </m:rPr>
          <m:t>FSTS</m:t>
        </m:r>
      </m:oMath>
      <w:r>
        <w:t xml:space="preserve">, TCI</w:t>
      </w:r>
      <m:oMath>
        <m:r>
          <m:rPr>
            <m:sty m:val="p"/>
          </m:rPr>
          <m:t>×</m:t>
        </m:r>
      </m:oMath>
      <m:oMath>
        <m:sSup>
          <m:e>
            <m:r>
              <m:rPr>
                <m:sty m:val="p"/>
              </m:rPr>
              <m:t>F</m:t>
            </m:r>
            <m:r>
              <m:rPr>
                <m:sty m:val="p"/>
              </m:rPr>
              <m:t>S</m:t>
            </m:r>
            <m:r>
              <m:rPr>
                <m:sty m:val="p"/>
              </m:rPr>
              <m:t>T</m:t>
            </m:r>
            <m:r>
              <m:rPr>
                <m:sty m:val="p"/>
              </m:rPr>
              <m:t>S</m:t>
            </m:r>
          </m:e>
          <m:sup>
            <m:r>
              <m:t>2</m:t>
            </m:r>
          </m:sup>
        </m:sSup>
      </m:oMath>
      <w:r>
        <w:t xml:space="preserve">) yields F(2, 3,558) = 3.26, p = .039, but neither individual interaction coefficient is statistically distinguishable from zero (</w:t>
      </w:r>
      <m:oMath>
        <m:r>
          <m:rPr>
            <m:nor/>
            <m:sty m:val="p"/>
          </m:rPr>
          <m:t>TCI</m:t>
        </m:r>
        <m:r>
          <m:rPr>
            <m:sty m:val="p"/>
          </m:rPr>
          <m:t>×</m:t>
        </m:r>
        <m:r>
          <m:rPr>
            <m:nor/>
            <m:sty m:val="p"/>
          </m:rPr>
          <m:t>FSTS</m:t>
        </m:r>
      </m:oMath>
      <w:r>
        <w:t xml:space="preserve"> </w:t>
      </w:r>
      <m:oMath>
        <m:r>
          <m:t>β</m:t>
        </m:r>
      </m:oMath>
      <w:r>
        <w:t xml:space="preserve"> </w:t>
      </w:r>
      <w:r>
        <w:t xml:space="preserve">= −0.41, p = .443; TCI</w:t>
      </w:r>
      <m:oMath>
        <m:r>
          <m:rPr>
            <m:sty m:val="p"/>
          </m:rPr>
          <m:t>×</m:t>
        </m:r>
      </m:oMath>
      <m:oMath>
        <m:sSup>
          <m:e>
            <m:r>
              <m:rPr>
                <m:sty m:val="p"/>
              </m:rPr>
              <m:t>F</m:t>
            </m:r>
            <m:r>
              <m:rPr>
                <m:sty m:val="p"/>
              </m:rPr>
              <m:t>S</m:t>
            </m:r>
            <m:r>
              <m:rPr>
                <m:sty m:val="p"/>
              </m:rPr>
              <m:t>T</m:t>
            </m:r>
            <m:r>
              <m:rPr>
                <m:sty m:val="p"/>
              </m:rPr>
              <m:t>S</m:t>
            </m:r>
          </m:e>
          <m:sup>
            <m:r>
              <m:t>2</m:t>
            </m:r>
          </m:sup>
        </m:sSup>
      </m:oMath>
      <w:r>
        <w:t xml:space="preserve"> </w:t>
      </w:r>
      <m:oMath>
        <m:r>
          <m:t>β</m:t>
        </m:r>
      </m:oMath>
      <w:r>
        <w:t xml:space="preserve"> </w:t>
      </w:r>
      <w:r>
        <w:t xml:space="preserve">= +0.05, p = .934). Wave-by-wave moderator tests (Online Appendix C) show that no individual TCI or DAI interaction coefficient achieves p &lt; .05 in any wave‑specific specification.</w:t>
      </w:r>
      <w:r>
        <w:t xml:space="preserve"> </w:t>
      </w:r>
      <m:oMath>
        <m:r>
          <m:rPr>
            <m:nor/>
            <m:sty m:val="p"/>
          </m:rPr>
          <m:t>DAI</m:t>
        </m:r>
        <m:r>
          <m:rPr>
            <m:sty m:val="p"/>
          </m:rPr>
          <m:t>×</m:t>
        </m:r>
        <m:r>
          <m:rPr>
            <m:nor/>
            <m:sty m:val="p"/>
          </m:rPr>
          <m:t>FSTS</m:t>
        </m:r>
      </m:oMath>
      <w:r>
        <w:t xml:space="preserve"> </w:t>
      </w:r>
      <w:r>
        <w:t xml:space="preserve">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r>
          <m:rPr>
            <m:sty m:val="p"/>
          </m:rPr>
          <m:t>×</m:t>
        </m:r>
      </m:oMath>
      <m:oMath>
        <m:sSub>
          <m:e>
            <m:r>
              <m:t>D</m:t>
            </m:r>
          </m:e>
          <m:sub>
            <m:r>
              <m:t>2024</m:t>
            </m:r>
          </m:sub>
        </m:sSub>
      </m:oMath>
      <m:oMath>
        <m:r>
          <m:rPr>
            <m:sty m:val="p"/>
          </m:rPr>
          <m:t>×</m:t>
        </m:r>
      </m:oMath>
      <w:r>
        <w:t xml:space="preserve">TCI,</w:t>
      </w:r>
      <w:r>
        <w:t xml:space="preserve"> </w:t>
      </w:r>
      <m:oMath>
        <m:sSup>
          <m:e>
            <m:r>
              <m:rPr>
                <m:sty m:val="p"/>
              </m:rPr>
              <m:t>F</m:t>
            </m:r>
            <m:r>
              <m:rPr>
                <m:sty m:val="p"/>
              </m:rPr>
              <m:t>S</m:t>
            </m:r>
            <m:r>
              <m:rPr>
                <m:sty m:val="p"/>
              </m:rPr>
              <m:t>T</m:t>
            </m:r>
            <m:r>
              <m:rPr>
                <m:sty m:val="p"/>
              </m:rPr>
              <m:t>S</m:t>
            </m:r>
          </m:e>
          <m:sup>
            <m:r>
              <m:t>2</m:t>
            </m:r>
          </m:sup>
        </m:sSup>
      </m:oMath>
      <m:oMath>
        <m:r>
          <m:rPr>
            <m:sty m:val="p"/>
          </m:rPr>
          <m:t>×</m:t>
        </m:r>
      </m:oMath>
      <m:oMath>
        <m:sSub>
          <m:e>
            <m:r>
              <m:t>D</m:t>
            </m:r>
          </m:e>
          <m:sub>
            <m:r>
              <m:t>2024</m:t>
            </m:r>
          </m:sub>
        </m:sSub>
      </m:oMath>
      <m:oMath>
        <m:r>
          <m:rPr>
            <m:sty m:val="p"/>
          </m:rPr>
          <m:t>×</m:t>
        </m:r>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9" name="Picture"/>
            <a:graphic>
              <a:graphicData uri="http://schemas.openxmlformats.org/drawingml/2006/picture">
                <pic:pic>
                  <pic:nvPicPr>
                    <pic:cNvPr descr="figures/p5_china/figure_4_level_shifts.png" id="50" name="Picture"/>
                    <pic:cNvPicPr>
                      <a:picLocks noChangeArrowheads="1" noChangeAspect="1"/>
                    </pic:cNvPicPr>
                  </pic:nvPicPr>
                  <pic:blipFill>
                    <a:blip r:embed="rId48"/>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1"/>
    <w:bookmarkStart w:id="52" w:name="X2df9e87f727b7f2aca15aab420bd0832ae8f647"/>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w:t>
      </w:r>
      <w:r>
        <w:t xml:space="preserve"> </w:t>
      </w:r>
      <m:oMath>
        <m:r>
          <m:rPr>
            <m:sty m:val="p"/>
          </m:rPr>
          <m:t>×</m:t>
        </m:r>
      </m:oMath>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w:t>
      </w:r>
      <m:oMath>
        <m:r>
          <m:t>β</m:t>
        </m:r>
      </m:oMath>
      <w:r>
        <w:t xml:space="preserve"> </w:t>
      </w:r>
      <w:r>
        <w:t xml:space="preserve">= +0.27, p = .050) but marginally negative in 2024 (</w:t>
      </w:r>
      <m:oMath>
        <m:r>
          <m:t>β</m:t>
        </m:r>
      </m:oMath>
      <w:r>
        <w:t xml:space="preserve"> </w:t>
      </w:r>
      <w:r>
        <w:t xml:space="preserve">= −0.38, p = .081). In Block C (Financing Structure), the trade-credit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w:t>
      </w:r>
      <m:oMath>
        <m:r>
          <m:t>β</m:t>
        </m:r>
      </m:oMath>
      <w:r>
        <w:t xml:space="preserve"> </w:t>
      </w:r>
      <w:r>
        <w:t xml:space="preserve">= −0.017, p = .009) but null in 2024 (p = .660). In Block D (Access‑to‑Finance Obstacle), the obstacle</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w:t>
      </w:r>
      <m:oMath>
        <m:r>
          <m:t>β</m:t>
        </m:r>
      </m:oMath>
      <w:r>
        <w:t xml:space="preserve"> </w:t>
      </w:r>
      <w:r>
        <w:t xml:space="preserve">=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2"/>
    <w:bookmarkStart w:id="53" w:name="X5bfb6e709f0845ac3884f0bca9773a7e5312178"/>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across waves (Block A:</w:t>
      </w:r>
      <w:r>
        <w:t xml:space="preserve"> </w:t>
      </w:r>
      <m:oMath>
        <m:r>
          <m:t>β</m:t>
        </m:r>
      </m:oMath>
      <w:r>
        <w:t xml:space="preserve"> </w:t>
      </w:r>
      <w:r>
        <w:t xml:space="preserve">= +0.27 in 2012,</w:t>
      </w:r>
      <w:r>
        <w:t xml:space="preserve"> </w:t>
      </w:r>
      <m:oMath>
        <m:r>
          <m:t>β</m:t>
        </m:r>
      </m:oMath>
      <w:r>
        <w:t xml:space="preserve"> </w:t>
      </w:r>
      <w:r>
        <w:t xml:space="preserve">=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w:t>
      </w:r>
      <m:oMath>
        <m:r>
          <m:t>β</m:t>
        </m:r>
      </m:oMath>
      <w:r>
        <w:t xml:space="preserve">_z = +0.05 to +0.13, p</w:t>
      </w:r>
      <w:r>
        <w:t xml:space="preserve"> </w:t>
      </w:r>
      <m:oMath>
        <m:r>
          <m:rPr>
            <m:sty m:val="p"/>
          </m:rPr>
          <m:t>≤</m:t>
        </m:r>
      </m:oMath>
      <w:r>
        <w:t xml:space="preserve"> </w:t>
      </w:r>
      <w:r>
        <w:t xml:space="preserve">.03 across waves and pooled), but the</w:t>
      </w:r>
      <w:r>
        <w:t xml:space="preserve"> </w:t>
      </w:r>
      <m:oMath>
        <m:r>
          <m:rPr>
            <m:nor/>
            <m:sty m:val="p"/>
          </m:rPr>
          <m:t>DAI</m:t>
        </m:r>
        <m:r>
          <m:rPr>
            <m:sty m:val="p"/>
          </m:rPr>
          <m:t>×</m:t>
        </m:r>
        <m:r>
          <m:rPr>
            <m:nor/>
            <m:sty m:val="p"/>
          </m:rPr>
          <m:t>FSTS</m:t>
        </m:r>
      </m:oMath>
      <w:r>
        <w:t xml:space="preserve"> </w:t>
      </w:r>
      <w:r>
        <w:t xml:space="preserve">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w:t>
      </w:r>
      <m:oMath>
        <m:r>
          <m:rPr>
            <m:sty m:val="p"/>
          </m:rPr>
          <m:t>×</m:t>
        </m:r>
      </m:oMath>
      <w:r>
        <w:t xml:space="preserve">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w:t>
      </w:r>
      <w:r>
        <w:t xml:space="preserve"> </w:t>
      </w:r>
      <m:oMath>
        <m:r>
          <m:rPr>
            <m:sty m:val="p"/>
          </m:rPr>
          <m:t>×</m:t>
        </m:r>
      </m:oMath>
      <w:r>
        <w:t xml:space="preserve"> </w:t>
      </w:r>
      <w:r>
        <w:t xml:space="preserve">FSTS</w:t>
      </w:r>
      <w:r>
        <w:t xml:space="preserve"> </w:t>
      </w:r>
      <m:oMath>
        <m:r>
          <m:t>β</m:t>
        </m:r>
      </m:oMath>
      <w:r>
        <w:t xml:space="preserve"> </w:t>
      </w:r>
      <w:r>
        <w:t xml:space="preserve">=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w:t>
      </w:r>
      <m:oMath>
        <m:r>
          <m:t>β</m:t>
        </m:r>
      </m:oMath>
      <w:r>
        <w:t xml:space="preserve"> </w:t>
      </w:r>
      <w:r>
        <w:t xml:space="preserve">=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3"/>
    <w:bookmarkStart w:id="54" w:name="robustness-manufacturing-only-subsample"/>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4"/>
    <w:bookmarkStart w:id="55" w:name="samplesize-and-specification-robustness"/>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w:t>
      </w:r>
      <w:r>
        <w:t xml:space="preserve"> </w:t>
      </w:r>
      <m:oMath>
        <m:r>
          <m:rPr>
            <m:sty m:val="p"/>
          </m:rPr>
          <m:t>≈</m:t>
        </m:r>
      </m:oMath>
      <w:r>
        <w:t xml:space="preserve"> </w:t>
      </w:r>
      <w:r>
        <w:t xml:space="preserve">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5"/>
    <w:bookmarkEnd w:id="56"/>
    <w:bookmarkStart w:id="63" w:name="discussion"/>
    <w:p>
      <w:pPr>
        <w:pStyle w:val="Heading2"/>
      </w:pPr>
      <w:r>
        <w:t xml:space="preserve">5. Discussion</w:t>
      </w:r>
    </w:p>
    <w:bookmarkStart w:id="57" w:name="Xea799fb15e722540b726ae7ef2eaff8ef5f64eb"/>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this study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both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w:t>
      </w:r>
      <m:oMath>
        <m:r>
          <m:t>β</m:t>
        </m:r>
      </m:oMath>
      <w:r>
        <w:t xml:space="preserve">_z = +0.26 to +0.43, p &lt; .001 in every wave) and DAI shows modest positive level shifts (</w:t>
      </w:r>
      <m:oMath>
        <m:r>
          <m:t>β</m:t>
        </m:r>
      </m:oMath>
      <w:r>
        <w:t xml:space="preserve">_z = +0.05 to +0.13, p</w:t>
      </w:r>
      <w:r>
        <w:t xml:space="preserve"> </w:t>
      </w:r>
      <m:oMath>
        <m:r>
          <m:rPr>
            <m:sty m:val="p"/>
          </m:rPr>
          <m:t>≤</m:t>
        </m:r>
      </m:oMath>
      <w:r>
        <w:t xml:space="preserve"> </w:t>
      </w:r>
      <w:r>
        <w:t xml:space="preserve">.03 across waves and pooled). But the curvature-moderation evidence is weak: the joint F-test on</w:t>
      </w:r>
      <w:r>
        <w:t xml:space="preserve"> </w:t>
      </w:r>
      <m:oMath>
        <m:r>
          <m:rPr>
            <m:nor/>
            <m:sty m:val="p"/>
          </m:rPr>
          <m:t>TCI</m:t>
        </m:r>
        <m:r>
          <m:rPr>
            <m:sty m:val="p"/>
          </m:rPr>
          <m:t>×</m:t>
        </m:r>
        <m:r>
          <m:rPr>
            <m:nor/>
            <m:sty m:val="p"/>
          </m:rPr>
          <m:t>FSTS</m:t>
        </m:r>
      </m:oMath>
      <w:r>
        <w:t xml:space="preserve"> </w:t>
      </w:r>
      <w:r>
        <w:t xml:space="preserve">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in 2012 (</w:t>
      </w:r>
      <m:oMath>
        <m:r>
          <m:t>β</m:t>
        </m:r>
      </m:oMath>
      <w:r>
        <w:t xml:space="preserve"> </w:t>
      </w:r>
      <w:r>
        <w:t xml:space="preserve">= −0.017, p = .009), but the broader pattern is too inconsistent across blocks and waves to support a stronger inference. This study therefore retains the working-capital interpretation as a theoretically grounded explanation rather than as a directly established empirical channel, and identifies the integration of richer financial microdata (cash-conversion cycle, days-receivable-outstanding, trade-finance pricing) as a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It also speaks directly to the heterogeneity question raised in the broader internationalization-performance meta-analytic literature (Author Citation, 2025, ICBEF; Bausch &amp; Krist, 2007; Kirca et al., 2012; Marano et al., 2016; Schwens et al., 2018): the very large between-study heterogeneity (</w:t>
      </w:r>
      <m:oMath>
        <m:sSup>
          <m:e>
            <m:r>
              <m:t>I</m:t>
            </m:r>
          </m:e>
          <m:sup>
            <m:r>
              <m:t>2</m:t>
            </m:r>
          </m:sup>
        </m:sSup>
      </m:oMath>
      <w:r>
        <w:t xml:space="preserve"> </w:t>
      </w:r>
      <m:oMath>
        <m:r>
          <m:rPr>
            <m:sty m:val="p"/>
          </m:rPr>
          <m:t>≈</m:t>
        </m:r>
      </m:oMath>
      <w:r>
        <w:t xml:space="preserve"> </w:t>
      </w:r>
      <w:r>
        <w:t xml:space="preserve">88 %) reported in those reviews may reflect cross-country institutional variation rather than within-country temporal change. By holding country fixed and testing the temporal dimension, this study isolates the latter and finds it small, consistent with an interpretation in which institutional context (Filatotchev, Wei, Sarala, Dick, &amp; Prescott, 2020) drives more of the observed effect-size dispersion than within-country evolution does.</w:t>
      </w:r>
    </w:p>
    <w:bookmarkEnd w:id="57"/>
    <w:bookmarkStart w:id="58" w:name="alternative-mechanisms-explored"/>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58"/>
    <w:bookmarkStart w:id="59" w:name="managerial-implications"/>
    <w:p>
      <w:pPr>
        <w:pStyle w:val="Heading3"/>
      </w:pPr>
      <w:r>
        <w:t xml:space="preserve">5.3 Managerial implications</w:t>
      </w:r>
    </w:p>
    <w:p>
      <w:pPr>
        <w:pStyle w:val="FirstParagraph"/>
      </w:pPr>
      <w:r>
        <w:t xml:space="preserve">For Chinese private firms, the findings carry four managerial implications.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t xml:space="preserve">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t xml:space="preserve">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t xml:space="preserve">More generally,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59"/>
    <w:bookmarkStart w:id="60" w:name="tentative-policy-considerations"/>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SME credit-market reforms targeting working-capital lines, factoring, export credit insurance, and trade-finance access (Manova, 2013; Niepmann &amp; Schmidt-Eisenlohr, 2017; Demir &amp; Javorcik, 2018) may in turn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Finally,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0"/>
    <w:bookmarkStart w:id="61" w:name="theoretical-contributions"/>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t xml:space="preserve">The first contribution extends the scope of the</w:t>
      </w:r>
      <w:r>
        <w:t xml:space="preserve"> </w:t>
      </w:r>
      <w:r>
        <w:rPr>
          <w:iCs/>
          <w:i/>
        </w:rPr>
        <w:t xml:space="preserve">internationalization–performance</w:t>
      </w:r>
      <w:r>
        <w:t xml:space="preserve"> </w:t>
      </w:r>
      <w:r>
        <w:t xml:space="preserve">literature from the question of</w:t>
      </w:r>
      <w:r>
        <w:t xml:space="preserve"> </w:t>
      </w:r>
      <w:r>
        <w:t xml:space="preserve">“</w:t>
      </w:r>
      <w:r>
        <w:t xml:space="preserve">what shape</w:t>
      </w:r>
      <w:r>
        <w:t xml:space="preserve">”</w:t>
      </w:r>
      <w:r>
        <w:t xml:space="preserve"> </w:t>
      </w:r>
      <w:r>
        <w:t xml:space="preserve">to the question of</w:t>
      </w:r>
      <w:r>
        <w:t xml:space="preserve"> </w:t>
      </w:r>
      <w:r>
        <w:t xml:space="preserve">“</w:t>
      </w:r>
      <w:r>
        <w:t xml:space="preserve">does the shape endure.</w:t>
      </w:r>
      <w:r>
        <w:t xml:space="preserve">”</w:t>
      </w:r>
      <w:r>
        <w:t xml:space="preserve"> </w:t>
      </w:r>
      <w:r>
        <w:t xml:space="preserve">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It has rarely tested its temporal stability within a single national context. The durability finding reported here establishes that, at least in China and over the 2012-2024 window, the inverted-U is more than a sample-specific regularity. It is an enduring structural feature of the trade-off. This evidence complements the cross-country heterogeneity emphasis of the meta-analytic tradition with within-country temporal evidence, and it provides a benchmark for future replication studies in other emerging-economy contexts.</w:t>
      </w:r>
    </w:p>
    <w:p>
      <w:pPr>
        <w:pStyle w:val="BodyText"/>
      </w:pPr>
      <w:r>
        <w:t xml:space="preserve">A second contribution speaks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t xml:space="preserve">The paper also contributes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t xml:space="preserve">A fourth contribution is methodological. This study demonstrates, for the IB literature on</w:t>
      </w:r>
      <w:r>
        <w:t xml:space="preserve"> </w:t>
      </w:r>
      <w:r>
        <w:rPr>
          <w:iCs/>
          <w:i/>
        </w:rPr>
        <w:t xml:space="preserve">threshold-stability testing</w:t>
      </w:r>
      <w:r>
        <w:t xml:space="preserve">, the value of combining (a) wave-by-wave separate estimates with (b) Paternoster z-tests on individual coefficients and (c) joint F-tests in pooled three-way specifications. The triangulation provides a more robust verdict than any single test alone, which matters particularly when the substantive claim hinges on a</w:t>
      </w:r>
      <w:r>
        <w:t xml:space="preserve"> </w:t>
      </w:r>
      <w:r>
        <w:rPr>
          <w:iCs/>
          <w:i/>
        </w:rPr>
        <w:t xml:space="preserve">failure to reject</w:t>
      </w:r>
      <w:r>
        <w:t xml:space="preserve"> </w:t>
      </w:r>
      <w:r>
        <w:t xml:space="preserve">a null. The reporting protocol set out here can be adopted by future studies testing the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1"/>
    <w:bookmarkStart w:id="62" w:name="boundary-conditions"/>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2"/>
    <w:bookmarkEnd w:id="63"/>
    <w:bookmarkStart w:id="64" w:name="limitations-and-future-research"/>
    <w:p>
      <w:pPr>
        <w:pStyle w:val="Heading2"/>
      </w:pPr>
      <w:r>
        <w:t xml:space="preserve">6. Limitations and Future Research</w:t>
      </w:r>
    </w:p>
    <w:p>
      <w:pPr>
        <w:pStyle w:val="FirstParagraph"/>
      </w:pPr>
      <w:r>
        <w:t xml:space="preserve">This paper has six principal limitations.</w:t>
      </w:r>
    </w:p>
    <w:p>
      <w:pPr>
        <w:pStyle w:val="BodyText"/>
      </w:pPr>
      <w:r>
        <w:t xml:space="preserve">Most fundamentally, the WBES microdata are repeated cross‑sections rather than a true firm panel. This study cannot identify within‑firm change over time and cannot control for time‑invariant unobserved heterogeneity (Antonakis et al., 2010; Eden &amp; Nielsen, 2020; Shaver, 2020). The associational language adopted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here; combining them with a future 2032 wave, should WBES China continue its decennial pattern, would yield a 3-wave subset that supports within-firm fixed-effects estimation. This study identifies that extension as a high priority once the data become available.</w:t>
      </w:r>
    </w:p>
    <w:p>
      <w:pPr>
        <w:pStyle w:val="BodyText"/>
      </w:pPr>
      <w:r>
        <w:t xml:space="preserve">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t xml:space="preserve">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t xml:space="preserve">The WBES sample frame, in addition,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t xml:space="preserve">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t xml:space="preserve">Finally,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https://doi.org/10.1016/j.jwb.2010.10.022</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https://doi.org/10.1007/s11575-007-0023-3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 https://doi.org/10.1080/1540496X.2018.1547270</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 https://doi.org/10.1146/annurev-economics-080614-115453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66"/>
    <w:bookmarkEnd w:id="6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2026-05-28T17:39:58Z</dcterms:created>
  <dcterms:modified xsi:type="dcterms:W3CDTF">2026-05-28T17:39:58Z</dcterms:modified>
</cp:coreProperties>
</file>

<file path=docProps/custom.xml><?xml version="1.0" encoding="utf-8"?>
<Properties xmlns="http://schemas.openxmlformats.org/officeDocument/2006/custom-properties" xmlns:vt="http://schemas.openxmlformats.org/officeDocument/2006/docPropsVTypes"/>
</file>