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8.png" ContentType="image/png"/>
  <Override PartName="/word/media/rId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71f68986ebdedfa6a7fda36701097f5cdd5e3a2"/>
    <w:p>
      <w:pPr>
        <w:pStyle w:val="Heading1"/>
      </w:pPr>
      <w:r>
        <w:t xml:space="preserve">Institutional Context, Digital Adoption, and the Internationalization–Performance Relationship: A Three-Level Meta-Analysis</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Management Review Quarterly (Springer; Scopus Q1, systematic reviews &amp; meta-analyses)</w:t>
      </w:r>
      <w:r>
        <w:t xml:space="preserve"> </w:t>
      </w:r>
      <w:r>
        <w:rPr>
          <w:iCs/>
          <w:i/>
        </w:rPr>
        <w:t xml:space="preserve">Version 1.0,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t xml:space="preserve">This study reports the first three-level meta-analytic regression analysis (MARA) of the internationalization–performance (I-P) relationship to test whether country-level digital adoption (cDAI), institutional context regime (ICRV), and Digital Paradox Lifecycle (DPL) phase moderate it. Following PRISMA 2020, a systematic review combining backward and forward citation tracking of five anchor meta-analyses with hand-search assembles an analyzed corpus of k = 238 studies and K = 288 effect sizes from 49 economies; a Web of Science and Scopus database search (1977–2026) was additionally conducted to scope a pre-registered expansion whose full-text extraction is ongoing. Three-level MARA decomposes within- and between-study heterogeneity using metafor, under OSF pre-registration with a pre-specified inter-coder reliability threshold of</w:t>
      </w:r>
      <w:r>
        <w:t xml:space="preserve"> </w:t>
      </w:r>
      <m:oMath>
        <m:r>
          <m:t>κ</m:t>
        </m:r>
        <m:r>
          <m:rPr>
            <m:sty m:val="p"/>
          </m:rPr>
          <m:t>≥</m:t>
        </m:r>
        <m:r>
          <m:t>0.70</m:t>
        </m:r>
      </m:oMath>
      <w:r>
        <w:t xml:space="preserve">. The baseline pooled effect is r = .074 (95% CI [.060, .088], p &lt; .001;</w:t>
      </w:r>
      <w:r>
        <w:t xml:space="preserve"> </w:t>
      </w:r>
      <m:oMath>
        <m:sSup>
          <m:e>
            <m:r>
              <m:t>I</m:t>
            </m:r>
          </m:e>
          <m:sup>
            <m:r>
              <m:t>2</m:t>
            </m:r>
          </m:sup>
        </m:sSup>
      </m:oMath>
      <w:r>
        <w:t xml:space="preserve"> </w:t>
      </w:r>
      <w:r>
        <w:t xml:space="preserve">= 62.4%). The hypothesized moderators show limited support: the full-sample ICRV omnibus is significant (Q_M = 17.35, df = 4, p = .002) but is not robust, a drop-Frontier sensitivity test on the four well-populated regimes reduces it to non-significance (Q_M = 1.49, p = .68), while cDAI and DPL moderation are non-significant throughout. The most consequential result is substantial publication bias: trim-and-fill imputes k = 58 missing studies, cutting the pooled effect to r = .035 (95% CI [.023, .048]), an implied ~53% attenuation (Begg p &lt; .001; Egger p = .057). These findings reframe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Cross-border expansion has become a central strategic priority for firms. Over the past three decades, outward foreign direct investment, export-oriented production, and global value chain participation grew sharply, turning internationalization from a strategy of large multinationals into a competitive option for firms across size classes and geographies (Dunning, 2000; Johanson &amp; Vahlne, 2009; Kafouros et al., 2012). Whether internationalization improves firm performance is therefore not only a scholarly question; it shapes investment decisions, government export-promotion policy, and the choices of firms competing in an interconnected global economy (Hitt et al., 2006; Lu &amp; Beamish, 2004). The record, however, remains inconclusive.</w:t>
      </w:r>
    </w:p>
    <w:p>
      <w:pPr>
        <w:pStyle w:val="BodyText"/>
      </w:pPr>
      <w:r>
        <w:t xml:space="preserve">The relationship between a firm’s degree of internationalization and its performance (the</w:t>
      </w:r>
      <w:r>
        <w:t xml:space="preserve"> </w:t>
      </w:r>
      <w:r>
        <w:t xml:space="preserve">“</w:t>
      </w:r>
      <w:r>
        <w:t xml:space="preserve">I-P relationship</w:t>
      </w:r>
      <w:r>
        <w:t xml:space="preserve">”</w:t>
      </w:r>
      <w:r>
        <w:t xml:space="preserve">)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m:oMath>
        <m:sSup>
          <m:e>
            <m:r>
              <m:t>I</m:t>
            </m:r>
          </m:e>
          <m:sup>
            <m:r>
              <m:t>2</m:t>
            </m:r>
          </m:sup>
        </m:sSup>
      </m:oMath>
      <w:r>
        <w:t xml:space="preserve"> </w:t>
      </w:r>
      <w:r>
        <w:t xml:space="preserve">regularly exceeds 80%, signaling that context, not a universal mechanism,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m:oMath>
        <m:sSup>
          <m:e>
            <m:r>
              <m:t>I</m:t>
            </m:r>
          </m:e>
          <m:sup>
            <m:r>
              <m:t>2</m:t>
            </m:r>
          </m:sup>
        </m:sSup>
      </m:oMath>
      <w:r>
        <w:t xml:space="preserve"> </w:t>
      </w:r>
      <w:r>
        <w:t xml:space="preserve">= 87.92%. While confirming the positive average effect, this baseline identified that conventional moderators, country of origin, industry, performance measure type, leave approximately 70% of variance unexplained. Three theoretically grounded moderators, absent from all prior meta-analyses, motivate the present extension:</w:t>
      </w:r>
    </w:p>
    <w:p>
      <w:pPr>
        <w:pStyle w:val="BodyText"/>
      </w:pPr>
      <w:r>
        <w:rPr>
          <w:bCs/>
          <w:b/>
        </w:rPr>
        <w:t xml:space="preserve">Gap 1,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ICRV 6-regime.</w:t>
      </w:r>
      <w:r>
        <w:t xml:space="preserve"> </w:t>
      </w:r>
      <w:r>
        <w:t xml:space="preserve">Marano et al. (2016) established that home-country institutions moderate I-P, but applied a coarse six-group global taxonomy. The global study corpus spans the full institutional spectrum, from Singapore (World Governance Indicators Rule of Law score +1.84) to frontier economies such as Pakistan (WGI −0.55) and Iran (WGI −0.74; World Bank, 2023). An ICRV 6-regime classification (Regimes I–VI, where Regime VI is the Pacific SIDS boundary case) capable of resolving this heterogeneity has not been tested meta-analytically on a globally representative I-P corpus.</w:t>
      </w:r>
    </w:p>
    <w:p>
      <w:pPr>
        <w:pStyle w:val="BodyText"/>
      </w:pPr>
      <w:r>
        <w:rPr>
          <w:bCs/>
          <w:b/>
        </w:rPr>
        <w:t xml:space="preserve">Gap 3, DPL phase.</w:t>
      </w:r>
      <w:r>
        <w:t xml:space="preserve"> </w:t>
      </w:r>
      <w:r>
        <w:t xml:space="preserve">Brynjolfsson et al. (2021) identified 2009 as a productivity inflection point in the digital era (the</w:t>
      </w:r>
      <w:r>
        <w:t xml:space="preserve"> </w:t>
      </w:r>
      <w:r>
        <w:t xml:space="preserve">“</w:t>
      </w:r>
      <w:r>
        <w:t xml:space="preserve">dynamo analogy</w:t>
      </w:r>
      <w:r>
        <w:t xml:space="preserve">”</w:t>
      </w:r>
      <w:r>
        <w:t xml:space="preserve"> </w:t>
      </w:r>
      <w:r>
        <w:t xml:space="preserve">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6-regime framework applied to a globally representative I-P corpus (</w:t>
      </w:r>
      <w:r>
        <w:rPr>
          <w:iCs/>
          <w:i/>
        </w:rPr>
        <w:t xml:space="preserve">k</w:t>
      </w:r>
      <w:r>
        <w:t xml:space="preserve"> </w:t>
      </w:r>
      <w:r>
        <w:t xml:space="preserve">= 238, 49 economies; five of the six regimes are populated, the Pacific-SIDS Regime VI returning no qualifying studies);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 Interpreted together, the null country-level digital (cDAI) and temporal (DPL) moderators motivate a</w:t>
      </w:r>
      <w:r>
        <w:t xml:space="preserve"> </w:t>
      </w:r>
      <w:r>
        <w:rPr>
          <w:iCs/>
          <w:i/>
        </w:rPr>
        <w:t xml:space="preserve">Capability–Context Mismatch</w:t>
      </w:r>
      <w:r>
        <w:t xml:space="preserve"> </w:t>
      </w:r>
      <w:r>
        <w:t xml:space="preserve">account: a macro digital context is inert for the I-P relationship unless it is matched by firm-level (micro) digital capability, the macro environment cannot substitute for the absence of the firm-level capability that actually converts it.</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The full-sample ICRV omnibus is significant (</w:t>
      </w:r>
      <w:r>
        <w:rPr>
          <w:iCs/>
          <w:i/>
        </w:rPr>
        <w:t xml:space="preserve">Q</w:t>
      </w:r>
      <w:r>
        <w:t xml:space="preserve">_M = 17.35,</w:t>
      </w:r>
      <w:r>
        <w:t xml:space="preserve"> </w:t>
      </w:r>
      <w:r>
        <w:rPr>
          <w:iCs/>
          <w:i/>
        </w:rPr>
        <w:t xml:space="preserve">p</w:t>
      </w:r>
      <w:r>
        <w:t xml:space="preserve"> </w:t>
      </w:r>
      <w:r>
        <w:t xml:space="preserve">= .002) but is not robust: a drop-Frontier sensitivity test on the four well-populated regimes reduces it to</w:t>
      </w:r>
      <w:r>
        <w:t xml:space="preserve"> </w:t>
      </w:r>
      <w:r>
        <w:rPr>
          <w:iCs/>
          <w:i/>
        </w:rPr>
        <w:t xml:space="preserve">Q</w:t>
      </w:r>
      <w:r>
        <w:t xml:space="preserve">_M = 1.49 (</w:t>
      </w:r>
      <w:r>
        <w:rPr>
          <w:iCs/>
          <w:i/>
        </w:rPr>
        <w:t xml:space="preserve">p</w:t>
      </w:r>
      <w:r>
        <w:t xml:space="preserve"> </w:t>
      </w:r>
      <w:r>
        <w:t xml:space="preserve">= .68), so H1 receives only fragile support and the directional Exploratory Propositions E1a (Advanced largest) and E1b (Frontier smallest) are not confirmed.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principal finding is publication bias (H4 confirmed):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0.074 to</w:t>
      </w:r>
      <w:r>
        <w:t xml:space="preserve"> </w:t>
      </w:r>
      <w:r>
        <w:rPr>
          <w:iCs/>
          <w:i/>
        </w:rPr>
        <w:t xml:space="preserve">r</w:t>
      </w:r>
      <w:r>
        <w:t xml:space="preserve"> </w:t>
      </w:r>
      <w:r>
        <w:t xml:space="preserve">= 0.035, an implied ~53% attenuation. Read as a corrective contribution to the field, this indicates that four decades of I-P evidence may be materially inflated by publication selection. The inference is a bias-correction estimate corroborated by a significant Begg test (</w:t>
      </w:r>
      <m:oMath>
        <m:r>
          <m:t>τ</m:t>
        </m:r>
      </m:oMath>
      <w:r>
        <w:t xml:space="preserve"> </w:t>
      </w:r>
      <w:r>
        <w:t xml:space="preserve">= −0.134,</w:t>
      </w:r>
      <w:r>
        <w:t xml:space="preserve"> </w:t>
      </w:r>
      <w:r>
        <w:rPr>
          <w:iCs/>
          <w:i/>
        </w:rPr>
        <w:t xml:space="preserve">p</w:t>
      </w:r>
      <w:r>
        <w:t xml:space="preserve"> </w:t>
      </w:r>
      <w:r>
        <w:t xml:space="preserve">&lt; .001); because Egger’s regression is only borderline (</w:t>
      </w:r>
      <w:r>
        <w:rPr>
          <w:iCs/>
          <w:i/>
        </w:rPr>
        <w:t xml:space="preserve">p</w:t>
      </w:r>
      <w:r>
        <w:t xml:space="preserve"> </w:t>
      </w:r>
      <w:r>
        <w:t xml:space="preserve">= .057), we frame the ~53% as a strong directional signal rather than a settled point magnitude. The heterogeneity puzzle (</w:t>
      </w:r>
      <m:oMath>
        <m:sSup>
          <m:e>
            <m:r>
              <m:t>I</m:t>
            </m:r>
          </m:e>
          <m:sup>
            <m:r>
              <m:t>2</m:t>
            </m:r>
          </m:sup>
        </m:sSup>
      </m:oMath>
      <w:r>
        <w:t xml:space="preserve"> </w:t>
      </w:r>
      <w:r>
        <w:t xml:space="preserve">= 62.4%) remains unresolved by the tested moderators, suggesting that future research should test alternative theoretical contingencies or that between-study heterogeneity is dominated by within-paper variance (Level 2, 54.1%) rather than between-country differences (Level 3, 8.4%).</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theoretical-framework-and-hypotheses"/>
    <w:p>
      <w:pPr>
        <w:pStyle w:val="Heading2"/>
      </w:pPr>
      <w:r>
        <w:t xml:space="preserve">2. Theoretical Framework and Hypotheses</w:t>
      </w:r>
    </w:p>
    <w:bookmarkStart w:id="22" w:name="foundation-theories"/>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including human capital, technological capability, and digital infrastructure access,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w:t>
      </w:r>
      <w:r>
        <w:t xml:space="preserve"> </w:t>
      </w:r>
      <w:r>
        <w:t xml:space="preserve">“</w:t>
      </w:r>
      <w:r>
        <w:t xml:space="preserve">rules of the game</w:t>
      </w:r>
      <w:r>
        <w:t xml:space="preserve">”</w:t>
      </w:r>
      <w:r>
        <w:t xml:space="preserve"> </w:t>
      </w:r>
      <w:r>
        <w:t xml:space="preserve">that govern transaction costs. In the I-P context, higher institutional quality, measured through rule of law, contract enforcement, IP protection, and regulatory quality,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real-time digital communication across time zones reduces the bandwidth cost of coordinating dispersed operations; (b)</w:t>
      </w:r>
      <w:r>
        <w:t xml:space="preserve"> </w:t>
      </w:r>
      <w:r>
        <w:rPr>
          <w:iCs/>
          <w:i/>
        </w:rPr>
        <w:t xml:space="preserve">transaction cost reduction</w:t>
      </w:r>
      <w:r>
        <w:t xml:space="preserve">, electronic payment systems and digital contracting reduce the cost and time of cross-border transactions; (c)</w:t>
      </w:r>
      <w:r>
        <w:t xml:space="preserve"> </w:t>
      </w:r>
      <w:r>
        <w:rPr>
          <w:iCs/>
          <w:i/>
        </w:rPr>
        <w:t xml:space="preserve">information asymmetry compression</w:t>
      </w:r>
      <w:r>
        <w:t xml:space="preserve">, digital analytics platforms reduce the monitoring cost of verifying foreign partner performance. When national digital infrastructure is mature (high cDAI), all three channels operate simultaneously, predicting that the coordination cost mechanism, which generates the right-side decline of the inverted-U,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the layers most widely measured in firm-level surveys,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a between-study moderation claim, not a within-study mediation claim.</w:t>
      </w:r>
    </w:p>
    <w:bookmarkEnd w:id="22"/>
    <w:bookmarkStart w:id="23" w:name="X772aae5f967000260143b5df2cce415e62452ba"/>
    <w:p>
      <w:pPr>
        <w:pStyle w:val="Heading3"/>
      </w:pPr>
      <w:r>
        <w:t xml:space="preserve">2.2 Capability–Institution Mismatch Theory (New,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the costs incurred by foreign firms that domestic rivals do not bear,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environments where formal institutions are weak or absent,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to III to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6-regime taxonomy, anchored in World Bank World Governance Indicators (Rule of Law dimension, 2023 vintage) and applied to the full k = 238 global study corpus,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ICRV between-regime heterogeneity):</w:t>
      </w:r>
      <w:r>
        <w:t xml:space="preserve"> </w:t>
      </w:r>
      <w:r>
        <w:t xml:space="preserve">Pooled I-P effect sizes vary systematically across ICRV institutional regimes, with Advanced-regime studies expected to show the largest average effects, because formal institutions, contract enforcement, IP protection, and reduced liability of foreignness,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potentially null or negative,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w:t>
      </w:r>
      <w:r>
        <w:t xml:space="preserve"> </w:t>
      </w:r>
      <m:oMath>
        <m:r>
          <m:t>α</m:t>
        </m:r>
      </m:oMath>
      <w:r>
        <w:t xml:space="preserve"> </w:t>
      </w:r>
      <w:r>
        <w:t xml:space="preserve">= .05, minimum k for stable random-effects moderation is typically k</w:t>
      </w:r>
      <w:r>
        <w:t xml:space="preserve"> </w:t>
      </w:r>
      <m:oMath>
        <m:r>
          <m:rPr>
            <m:sty m:val="p"/>
          </m:rPr>
          <m:t>≥</m:t>
        </m:r>
      </m:oMath>
      <w:r>
        <w:t xml:space="preserve"> </w:t>
      </w:r>
      <w:r>
        <w:t xml:space="preserve">10; Valentine et al., 2010).</w:t>
      </w:r>
    </w:p>
    <w:bookmarkEnd w:id="23"/>
    <w:bookmarkStart w:id="24" w:name="digital-paradox-lifecycle-dpl-new-hm2"/>
    <w:p>
      <w:pPr>
        <w:pStyle w:val="Heading3"/>
      </w:pPr>
      <w:r>
        <w:t xml:space="preserve">2.3 Digital Paradox Lifecycle (DPL,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in organizational practices, worker skills, and infrastructure,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r>
        <w:t xml:space="preserve"> </w:t>
      </w:r>
      <w:r>
        <w:t xml:space="preserve">-</w:t>
      </w:r>
      <w:r>
        <w:t xml:space="preserve"> </w:t>
      </w: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r>
        <w:t xml:space="preserve"> </w:t>
      </w:r>
      <w:r>
        <w:t xml:space="preserve">-</w:t>
      </w:r>
      <w:r>
        <w:t xml:space="preserve"> </w:t>
      </w: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r>
        <w:t xml:space="preserve"> </w:t>
      </w:r>
      <w:r>
        <w:t xml:space="preserve">-</w:t>
      </w:r>
      <w:r>
        <w:t xml:space="preserve"> </w:t>
      </w:r>
      <w:r>
        <w:rPr>
          <w:bCs/>
          <w:b/>
        </w:rPr>
        <w:t xml:space="preserve">Follow</w:t>
      </w:r>
      <w:r>
        <w:t xml:space="preserve"> </w:t>
      </w:r>
      <w:r>
        <w:t xml:space="preserve">(data collected predominantly after 2014): Digital platforms, including cloud-based logistics, B2B e-commerce, electronic payment systems, and digital trade finance,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BodyText"/>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home to 52% of the k = 238 corpus, was a primary site of this diffusion.</w:t>
      </w:r>
    </w:p>
    <w:p>
      <w:pPr>
        <w:pStyle w:val="BodyText"/>
      </w:pPr>
      <w:r>
        <w:rPr>
          <w:bCs/>
          <w:b/>
        </w:rPr>
        <w:t xml:space="preserve">Hypothesis 2 (H2,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below approximately k = 30 per phase, the between-group test is underpowered for detection of moderate-size moderation (</w:t>
      </w:r>
      <m:oMath>
        <m:sSup>
          <m:e>
            <m:r>
              <m:t>f</m:t>
            </m:r>
          </m:e>
          <m:sup>
            <m:r>
              <m:t>2</m:t>
            </m:r>
          </m:sup>
        </m:sSup>
      </m:oMath>
      <w:r>
        <w:t xml:space="preserve"> </w:t>
      </w:r>
      <w:r>
        <w:t xml:space="preserve">&lt; 0.10).</w:t>
      </w:r>
    </w:p>
    <w:bookmarkEnd w:id="24"/>
    <w:bookmarkStart w:id="25" w:name="cdai-as-amplifier-hm3"/>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publication-bias-as-null-hypothesis"/>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Orwin’s (1983) fail-safe N is expected to substantially exceed the threshold of 2,000 studies required to reduce the pooled effect to a negligible level, confirming that the positive I-P effect is not an artifact of publication bias alone.</w:t>
      </w:r>
    </w:p>
    <w:bookmarkEnd w:id="26"/>
    <w:bookmarkStart w:id="30" w:name="conceptual-model"/>
    <w:p>
      <w:pPr>
        <w:pStyle w:val="Heading3"/>
      </w:pPr>
      <w:r>
        <w:t xml:space="preserve">2.6 Conceptual Model</w:t>
      </w:r>
    </w:p>
    <w:p>
      <w:pPr>
        <w:pStyle w:val="CaptionedFigure"/>
      </w:pPr>
      <w:r>
        <w:drawing>
          <wp:inline>
            <wp:extent cx="5753100" cy="3710006"/>
            <wp:effectExtent b="0" l="0" r="0" t="0"/>
            <wp:docPr descr="Figure 1: Conceptual model,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ImageCaption"/>
      </w:pPr>
      <w:r>
        <w:t xml:space="preserve">Figure 1: Conceptual model, Three-level MARA with ICRV, cDAI, and DPL moderators</w:t>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hypothesised between-regime Q_M statistically significant; H1 fragile, full-sample Q_M = 17.35 (p = .002) but drop-Frontier Q_M = 1.49 (p = .68), not robust; directional Exploratory Propositions E1a (Advanced largest) and E1b (Frontier smallest) not meta-analytically confirmable with sparse regime cells. (2) cDAI, Country Digital Adoption Index (H3), hypothesised positive amplification [High &gt; Low]; actual Q_M = 1.23 (p = .541), H3 not supported. (3) DPL Phase (H2), hypothesised Follow &gt; Precede; actual Q_M = 0.56 (p = .755), H2 not supported. The three-level model nests K = 288 effects within k = 238 studies (within-study</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p>
          <m:e>
            <m:r>
              <m:t>I</m:t>
            </m:r>
          </m:e>
          <m:sup>
            <m:r>
              <m:t>2</m:t>
            </m:r>
          </m:sup>
        </m:sSup>
      </m:oMath>
      <w:r>
        <w:rPr>
          <w:iCs/>
          <w:i/>
        </w:rPr>
        <w:t xml:space="preserve">(2) = 54.1%) within between-study heterogeneity (between-study</w:t>
      </w:r>
      <w:r>
        <w:rPr>
          <w:iCs/>
          <w:i/>
        </w:rPr>
        <w:t xml:space="preserve"> </w:t>
      </w:r>
      <m:oMath>
        <m:sSubSup>
          <m:e>
            <m:r>
              <m:t>σ</m:t>
            </m:r>
          </m:e>
          <m:sub>
            <m:d>
              <m:dPr>
                <m:begChr m:val="("/>
                <m:endChr m:val=")"/>
                <m:sepChr m:val=""/>
                <m:grow/>
              </m:dPr>
              <m:e>
                <m:r>
                  <m:t>3</m:t>
                </m:r>
              </m:e>
            </m:d>
          </m:sub>
          <m:sup>
            <m:r>
              <m:t>2</m:t>
            </m:r>
          </m:sup>
        </m:sSubSup>
      </m:oMath>
      <w:r>
        <w:rPr>
          <w:iCs/>
          <w:i/>
        </w:rPr>
        <w:t xml:space="preserve"> </w:t>
      </w:r>
      <w:r>
        <w:rPr>
          <w:iCs/>
          <w:i/>
        </w:rPr>
        <w:t xml:space="preserve">= 0.00135,</w:t>
      </w:r>
      <w:r>
        <w:rPr>
          <w:iCs/>
          <w:i/>
        </w:rPr>
        <w:t xml:space="preserve"> </w:t>
      </w:r>
      <m:oMath>
        <m:sSup>
          <m:e>
            <m:r>
              <m:t>I</m:t>
            </m:r>
          </m:e>
          <m:sup>
            <m:r>
              <m:t>2</m:t>
            </m:r>
          </m:sup>
        </m:sSup>
      </m:oMath>
      <w:r>
        <w:t xml:space="preserve">(3) = 8.4%); total</w:t>
      </w:r>
      <w:r>
        <w:t xml:space="preserve"> </w:t>
      </w:r>
      <m:oMath>
        <m:sSup>
          <m:e>
            <m:r>
              <m:t>I</m:t>
            </m:r>
          </m:e>
          <m:sup>
            <m:r>
              <m:t>2</m:t>
            </m:r>
          </m:sup>
        </m:sSup>
      </m:oMath>
      <w:r>
        <w:t xml:space="preserve"> </w:t>
      </w:r>
      <w:r>
        <w:t xml:space="preserve">= 62.4%. Publication bias (H4 confirmed): Egger’s b = 0.475 (SE = 0.250, p = .057), Begg’s</w:t>
      </w:r>
      <w:r>
        <w:t xml:space="preserve"> </w:t>
      </w:r>
      <m:oMath>
        <m:r>
          <m:t>τ</m:t>
        </m:r>
      </m:oMath>
      <w:r>
        <w:t xml:space="preserve"> </w:t>
      </w:r>
      <w:r>
        <w:t xml:space="preserve">= −0.134 (p = .0007); trim-and-fill imputes k = 58 studies, adjusted r = .035;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Management Review Quarterly</w:t>
      </w:r>
      <w:r>
        <w:t xml:space="preserve"> </w:t>
      </w:r>
      <w:r>
        <w:t xml:space="preserve">(Springer; Scopus Q1).</w:t>
      </w:r>
    </w:p>
    <w:p>
      <w:r>
        <w:pict>
          <v:rect style="width:0;height:1.5pt" o:hralign="center" o:hrstd="t" o:hr="t"/>
        </w:pict>
      </w:r>
    </w:p>
    <w:bookmarkEnd w:id="30"/>
    <w:bookmarkEnd w:id="31"/>
    <w:bookmarkStart w:id="42" w:name="method"/>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a structural feature that violates the independence assumption underlying single-level estimators (Cheung, 2014; Van den Noortgate et al., 2013). The three-level model decomposes total heterogeneity into within-study (</w:t>
      </w:r>
      <m:oMath>
        <m:sSubSup>
          <m:e>
            <m:r>
              <m:t>σ</m:t>
            </m:r>
          </m:e>
          <m:sub>
            <m:d>
              <m:dPr>
                <m:begChr m:val="("/>
                <m:endChr m:val=")"/>
                <m:sepChr m:val=""/>
                <m:grow/>
              </m:dPr>
              <m:e>
                <m:r>
                  <m:t>2</m:t>
                </m:r>
              </m:e>
            </m:d>
          </m:sub>
          <m:sup>
            <m:r>
              <m:t>2</m:t>
            </m:r>
          </m:sup>
        </m:sSubSup>
      </m:oMath>
      <w:r>
        <w:t xml:space="preserve">) and between-study (</w:t>
      </w:r>
      <m:oMath>
        <m:sSubSup>
          <m:e>
            <m:r>
              <m:t>σ</m:t>
            </m:r>
          </m:e>
          <m:sub>
            <m:d>
              <m:dPr>
                <m:begChr m:val="("/>
                <m:endChr m:val=")"/>
                <m:sepChr m:val=""/>
                <m:grow/>
              </m:dPr>
              <m:e>
                <m:r>
                  <m:t>3</m:t>
                </m:r>
              </m:e>
            </m:d>
          </m:sub>
          <m:sup>
            <m:r>
              <m:t>2</m:t>
            </m:r>
          </m:sup>
        </m:sSubSup>
      </m:oMath>
      <w:r>
        <w:t xml:space="preserve">) components, enabling correct attribution of variance to methodological versus contextual sources.</w:t>
      </w:r>
    </w:p>
    <w:bookmarkStart w:id="32" w:name="search-strategy-and-study-identification"/>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 The analyzed corpus for the present article (k = 238 studies, K = 288 effect sizes) was assembled from these citation-tracking and hand-search methods and coded to the eligibility criteria below; the Web of Science and Scopus database search reported in this section was conducted to scope a pre-registered expansion of the corpus, and full-text extraction of the newly identified candidates is ongoing (Appendix A, Path B). It is therefore not part of the effect sizes analyzed here.</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including the search string, eligibility decision rules, moderator coding instructions, and planned metafor model specifications, was pre-registered on OSF prior to effect-size extraction (PRISMA 2020, Item 24a): https://osf.io/z37kn (DOI: 10.17605/OSF.IO/Z37KN; registered May 18, 2026).</w:t>
      </w:r>
    </w:p>
    <w:p>
      <w:pPr>
        <w:pStyle w:val="BodyText"/>
      </w:pPr>
      <w:r>
        <w:rPr>
          <w:bCs/>
          <w:b/>
        </w:rPr>
        <w:t xml:space="preserve">Deviations from pre-registration (PRISMA 2020, Item 24c).</w:t>
      </w:r>
      <w:r>
        <w:t xml:space="preserve"> </w:t>
      </w:r>
      <w:r>
        <w:t xml:space="preserve">Three operational refinements were made after registration and are disclosed here for transparency; none alters the registered hypotheses, the primary three-level model, or the analysis plan. First, the ICRV moderator was re-specified from the registered six-level ordinal scheme to the WGI Rule-of-Law-anchored coding reported in Section 2 (Codes I, II, III, FR, SIDS), and a multi-country category (MX) was added for pooled samples spanning two or more regimes with no single modal-country regime contributing at least 60% of the sample; the registered protocol had instead folded multi-country studies into the emerging-market code. Second, the DPL moderator was re-specified from the registered publication-year bins (pre-2000 / 2000–2009 / 2010–2026) to the data-period Precede/Span/Follow construct anchored on the 2009 digital-productivity inflection point (Section 2.3), which more directly operationalises the underlying J-curve logic. Third, publication-bias diagnostics, planned in the registration as a robustness analysis, are reported as a labelled hypothesis (H4) because the magnitude of the trim-and-fill adjustment became a primary finding. The extraction codebook accompanying the data (v1.1) documents the coding actually applied; the registered v1.0 scheme remains in the frozen OSF record.</w:t>
      </w:r>
    </w:p>
    <w:bookmarkEnd w:id="32"/>
    <w:bookmarkStart w:id="33" w:name="eligibility-criteria-and-study-selection"/>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w:t>
      </w:r>
      <w:r>
        <w:t xml:space="preserve"> </w:t>
      </w:r>
      <m:oMath>
        <m:r>
          <m:rPr>
            <m:sty m:val="p"/>
          </m:rPr>
          <m:t>≥</m:t>
        </m:r>
      </m:oMath>
      <w:r>
        <w:t xml:space="preserve"> </w:t>
      </w:r>
      <w:r>
        <w:t xml:space="preserve">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capital structure, location strategy, antecedent/determinant language; STRONG_INCL,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India textile Born Globals I-P M-curve; S0240, SME internationalization speed to firm performance with organizational learning mediator; S0683, Latin American EMNEs multinationality to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w:t>
      </w:r>
      <w:r>
        <w:t xml:space="preserve"> </w:t>
      </w:r>
      <m:oMath>
        <m:r>
          <m:rPr>
            <m:sty m:val="p"/>
          </m:rPr>
          <m:t>×</m:t>
        </m:r>
      </m:oMath>
      <w:r>
        <w:t xml:space="preserve"> </w:t>
      </w:r>
      <w:r>
        <w:t xml:space="preserve">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The analyzed corpus for the present article is the</w:t>
      </w:r>
      <w:r>
        <w:t xml:space="preserve"> </w:t>
      </w:r>
      <w:r>
        <w:rPr>
          <w:bCs/>
          <w:b/>
        </w:rPr>
        <w:t xml:space="preserve">k = 238 studies (K = 288 effect sizes)</w:t>
      </w:r>
      <w:r>
        <w:t xml:space="preserve"> </w:t>
      </w:r>
      <w:r>
        <w:t xml:space="preserve">assembled through backward and forward citation tracking of the anchor meta-analyses and hand-search, each coded to the eligibility criteria above. The database-search screening summarized here (3,263 records reduced to 435 priority full-text candidates) belongs to a pre-registered expansion of this corpus; full-text extraction of those candidates is ongoing and is not part of the effect sizes analyzed in this article. Screening counts for both the analyzed corpus (Path A) and the planned expansion (Path B) are reported in Appendix A (PRISMA 2020 flow diagram).</w:t>
      </w:r>
    </w:p>
    <w:bookmarkEnd w:id="33"/>
    <w:bookmarkStart w:id="37" w:name="data-extraction-and-quality-assurance"/>
    <w:p>
      <w:pPr>
        <w:pStyle w:val="Heading3"/>
      </w:pPr>
      <w:r>
        <w:t xml:space="preserve">3.3 Data Extraction and Quality Assurance</w:t>
      </w:r>
    </w:p>
    <w:bookmarkStart w:id="34" w:name="effect-size-extraction-protocol"/>
    <w:p>
      <w:pPr>
        <w:pStyle w:val="Heading4"/>
      </w:pPr>
      <w:r>
        <w:t xml:space="preserve">3.3.1 Effect-Size Extraction Protocol</w:t>
      </w:r>
    </w:p>
    <w:p>
      <w:pPr>
        <w:pStyle w:val="FirstParagraph"/>
      </w:pPr>
      <w:r>
        <w:t xml:space="preserve">Statistical parameters were extracted manually from the full text of each eligible study by the primary coder (PI: Đỗ Thùy Hương),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w:t>
      </w:r>
      <w:r>
        <w:t xml:space="preserve"> </w:t>
      </w:r>
      <m:oMath>
        <m:r>
          <m:t>β</m:t>
        </m:r>
      </m:oMath>
      <w:r>
        <w:t xml:space="preserve"> </w:t>
      </w:r>
      <w:r>
        <w:t xml:space="preserve">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Section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Section 3.3.2.</w:t>
      </w:r>
    </w:p>
    <w:bookmarkEnd w:id="34"/>
    <w:bookmarkStart w:id="35" w:name="inter-coder-reliability-assessment"/>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w:t>
      </w:r>
      <w:r>
        <w:t xml:space="preserve"> </w:t>
      </w:r>
      <m:oMath>
        <m:r>
          <m:rPr>
            <m:sty m:val="p"/>
          </m:rPr>
          <m:t>≥</m:t>
        </m:r>
      </m:oMath>
      <w:r>
        <w:t xml:space="preserve"> </w:t>
      </w:r>
      <w:r>
        <w:t xml:space="preserve">0.80, and the PI’s direct lookup was used otherwise.</w:t>
      </w:r>
    </w:p>
    <w:p>
      <w:pPr>
        <w:pStyle w:val="BodyText"/>
      </w:pPr>
      <w:r>
        <w:t xml:space="preserve">ICR was assessed using Cohen’s</w:t>
      </w:r>
      <w:r>
        <w:t xml:space="preserve"> </w:t>
      </w:r>
      <m:oMath>
        <m:r>
          <m:t>κ</m:t>
        </m:r>
      </m:oMath>
      <w:r>
        <w:t xml:space="preserve"> </w:t>
      </w:r>
      <w:r>
        <w:t xml:space="preserve">for categorical variables (ICRV regime, DPL phase, industry sector, DOI measure type, performance measure type) and the two-way random-effects ICC(2,1) for continuous cDAI scores. The target threshold of</w:t>
      </w:r>
      <w:r>
        <w:t xml:space="preserve"> </w:t>
      </w:r>
      <m:oMath>
        <m:r>
          <m:t>κ</m:t>
        </m:r>
        <m:r>
          <m:rPr>
            <m:sty m:val="p"/>
          </m:rPr>
          <m:t>≥</m:t>
        </m:r>
        <m:r>
          <m:t>0.70</m:t>
        </m:r>
      </m:oMath>
      <w:r>
        <w:t xml:space="preserve"> </w:t>
      </w:r>
      <w:r>
        <w:t xml:space="preserve">follows Landis and Koch’s (1977)</w:t>
      </w:r>
      <w:r>
        <w:t xml:space="preserve"> </w:t>
      </w:r>
      <w:r>
        <w:t xml:space="preserve">“</w:t>
      </w:r>
      <w:r>
        <w:t xml:space="preserve">substantial agreement</w:t>
      </w:r>
      <w:r>
        <w:t xml:space="preserve">”</w:t>
      </w:r>
      <w:r>
        <w:t xml:space="preserve"> </w:t>
      </w:r>
      <w:r>
        <w:t xml:space="preserve">criterion, which represents the minimum acceptable level for meta-analytic coding in IB research (Aguinis et al., 2011). ICR statistics are reported in Table 3.1 (see Results, Section 4.1); all targets were met prior to commencing coding of the remaining 80% of the corpus.</w:t>
      </w:r>
    </w:p>
    <w:bookmarkEnd w:id="35"/>
    <w:bookmarkStart w:id="36" w:name="study-level-risk-of-bias"/>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publication bias, omitted-variable bias, and measurement heterogeneity in the DOI operationalization, are addressed at the synthesis level rather than the study level. Publication bias is assessed via Egger’s regression test, Begg and Mazumdar’s (1994) rank-correlation test, and Duval and Tweedie’s (2000) trim-and-fill procedure (Section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6"/>
    <w:bookmarkEnd w:id="37"/>
    <w:bookmarkStart w:id="38" w:name="moderator-coding-protocol"/>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r>
        <w:t xml:space="preserve"> </w:t>
      </w:r>
      <w:r>
        <w:t xml:space="preserve">1.</w:t>
      </w:r>
      <w:r>
        <w:t xml:space="preserve"> </w:t>
      </w:r>
      <w:r>
        <w:rPr>
          <w:iCs/>
          <w:i/>
        </w:rPr>
        <w:t xml:space="preserve">Country of origin</w:t>
      </w:r>
      <w:r>
        <w:t xml:space="preserve">, ISO 3166-1 alpha-3 code; multi-country studies coded as</w:t>
      </w:r>
      <w:r>
        <w:t xml:space="preserve"> </w:t>
      </w:r>
      <w:r>
        <w:t xml:space="preserve">“</w:t>
      </w:r>
      <w:r>
        <w:t xml:space="preserve">pooled</w:t>
      </w:r>
      <w:r>
        <w:t xml:space="preserve">”</w:t>
      </w:r>
      <w:r>
        <w:t xml:space="preserve"> </w:t>
      </w:r>
      <w:r>
        <w:t xml:space="preserve">with ICRV regime assigned to the modal country if one country contributes</w:t>
      </w:r>
      <w:r>
        <w:t xml:space="preserve"> </w:t>
      </w:r>
      <m:oMath>
        <m:r>
          <m:rPr>
            <m:sty m:val="p"/>
          </m:rPr>
          <m:t>≥</m:t>
        </m:r>
      </m:oMath>
      <w:r>
        <w:t xml:space="preserve"> </w:t>
      </w:r>
      <w:r>
        <w:t xml:space="preserve">60% of the sample, otherwise coded as</w:t>
      </w:r>
      <w:r>
        <w:t xml:space="preserve"> </w:t>
      </w:r>
      <w:r>
        <w:t xml:space="preserve">“</w:t>
      </w:r>
      <w:r>
        <w:t xml:space="preserve">cross-regime</w:t>
      </w:r>
      <w:r>
        <w:t xml:space="preserve">”</w:t>
      </w:r>
      <w:r>
        <w:t xml:space="preserve"> </w:t>
      </w:r>
      <w:r>
        <w:t xml:space="preserve">2.</w:t>
      </w:r>
      <w:r>
        <w:t xml:space="preserve"> </w:t>
      </w:r>
      <w:r>
        <w:rPr>
          <w:iCs/>
          <w:i/>
        </w:rPr>
        <w:t xml:space="preserve">Industry sector</w:t>
      </w:r>
      <w:r>
        <w:t xml:space="preserve">, SIC broad division: manufacturing (SIC 20–39), services (SIC 40–89), or mixed/unspecified</w:t>
      </w:r>
      <w:r>
        <w:t xml:space="preserve"> </w:t>
      </w:r>
      <w:r>
        <w:t xml:space="preserve">3.</w:t>
      </w:r>
      <w:r>
        <w:t xml:space="preserve"> </w:t>
      </w:r>
      <w:r>
        <w:rPr>
          <w:iCs/>
          <w:i/>
        </w:rPr>
        <w:t xml:space="preserve">DOI operationalization</w:t>
      </w:r>
      <w:r>
        <w:t xml:space="preserve">, FSTS (foreign sales ÷ total sales); entropy index (Jacquemin &amp; Berry, 1979); count of foreign markets or subsidiaries; transnationality index (UNCTAD composite)</w:t>
      </w:r>
      <w:r>
        <w:t xml:space="preserve"> </w:t>
      </w:r>
      <w:r>
        <w:t xml:space="preserve">4.</w:t>
      </w:r>
      <w:r>
        <w:t xml:space="preserve"> </w:t>
      </w:r>
      <w:r>
        <w:rPr>
          <w:iCs/>
          <w:i/>
        </w:rPr>
        <w:t xml:space="preserve">Performance operationalization</w:t>
      </w:r>
      <w:r>
        <w:t xml:space="preserve">, accounting-based (ROA, ROE, ROS); market-based (Tobin’s Q, stock return); productivity-based (labor productivity, TFP); composite (mixed)</w:t>
      </w:r>
    </w:p>
    <w:p>
      <w:pPr>
        <w:pStyle w:val="BodyText"/>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w:t>
      </w:r>
      <w:r>
        <w:t xml:space="preserve"> </w:t>
      </w:r>
      <m:oMath>
        <m:r>
          <m:rPr>
            <m:sty m:val="p"/>
          </m:rPr>
          <m:t>≤</m:t>
        </m:r>
      </m:oMath>
      <w:r>
        <w:t xml:space="preserve"> </w:t>
      </w:r>
      <w:r>
        <w:t xml:space="preserve">+0.80; e.g., China, Malaysia, Thailand); Code III: Emerging (−0.50 &lt; WGI</w:t>
      </w:r>
      <w:r>
        <w:t xml:space="preserve"> </w:t>
      </w:r>
      <m:oMath>
        <m:r>
          <m:rPr>
            <m:sty m:val="p"/>
          </m:rPr>
          <m:t>≤</m:t>
        </m:r>
      </m:oMath>
      <w:r>
        <w:t xml:space="preserve"> </w:t>
      </w:r>
      <w:r>
        <w:t xml:space="preserve">0; e.g., Vietnam, India, Philippines); Code FR: Frontier/LDC (WGI</w:t>
      </w:r>
      <w:r>
        <w:t xml:space="preserve"> </w:t>
      </w:r>
      <m:oMath>
        <m:r>
          <m:rPr>
            <m:sty m:val="p"/>
          </m:rPr>
          <m:t>≤</m:t>
        </m:r>
      </m:oMath>
      <w:r>
        <w:t xml:space="preserve"> </w:t>
      </w:r>
      <w:r>
        <w:t xml:space="preserve">−0.50; e.g., Bangladesh, Myanmar, Pakistan); Code SIDS: Pacific small-island developing states (the dissertation’s ICRV Regime VI; e.g., Fiji, Samoa, Tonga), defined a priori but returning zero qualifying primary studies in the present corpus; Code MX: Multi-country pooled samples spanning two or more ICRV regimes (no single modal-country regime</w:t>
      </w:r>
      <w:r>
        <w:t xml:space="preserve"> </w:t>
      </w:r>
      <m:oMath>
        <m:r>
          <m:rPr>
            <m:sty m:val="p"/>
          </m:rPr>
          <m:t>≥</m:t>
        </m:r>
      </m:oMath>
      <w:r>
        <w:t xml:space="preserve"> </w:t>
      </w:r>
      <w:r>
        <w:t xml:space="preserve">60% of sample). Numbering crosswalk to the dissertation’s canonical six-regime ICRV: P6 Code I ≡ dissertation Regime I (Advanced-Innovation); P6 Code II (Upper-Middle) ≡ Regime III; P6 Code III (Emerging) ≡ Regime IV; FR ≡ Regime V; SIDS ≡ Regime VI. The dissertation’s Regime II (Advanced Resource-Driven / GCC) is not separately populated in this corpus, and MX has no I–VI equivalent.</w:t>
      </w:r>
      <w:r>
        <w:t xml:space="preserve"> </w:t>
      </w:r>
      <w:r>
        <w:t xml:space="preserve">6.</w:t>
      </w:r>
      <w:r>
        <w:t xml:space="preserve"> </w:t>
      </w:r>
      <w:r>
        <w:rPr>
          <w:iCs/>
          <w:i/>
        </w:rPr>
        <w:t xml:space="preserve">cDAI</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w:t>
      </w:r>
      <w:r>
        <w:t xml:space="preserve"> </w:t>
      </w:r>
      <w:r>
        <w:t xml:space="preserve">“</w:t>
      </w:r>
      <w:r>
        <w:t xml:space="preserve">Precede</w:t>
      </w:r>
      <w:r>
        <w:t xml:space="preserve">”</w:t>
      </w:r>
      <w:r>
        <w:t xml:space="preserve">: data collection predominantly prior to 2009 (median data year &lt; 2009);</w:t>
      </w:r>
      <w:r>
        <w:t xml:space="preserve"> </w:t>
      </w:r>
      <w:r>
        <w:t xml:space="preserve">“</w:t>
      </w:r>
      <w:r>
        <w:t xml:space="preserve">Span</w:t>
      </w:r>
      <w:r>
        <w:t xml:space="preserve">”</w:t>
      </w:r>
      <w:r>
        <w:t xml:space="preserve">: data collection spans 2005–2014 or cannot be classified as predominantly Precede or Follow;</w:t>
      </w:r>
      <w:r>
        <w:t xml:space="preserve"> </w:t>
      </w:r>
      <w:r>
        <w:t xml:space="preserve">“</w:t>
      </w:r>
      <w:r>
        <w:t xml:space="preserve">Follow</w:t>
      </w:r>
      <w:r>
        <w:t xml:space="preserve">”</w:t>
      </w:r>
      <w:r>
        <w:t xml:space="preserve">: data collection predominantly post-2014 (median data year</w:t>
      </w:r>
      <w:r>
        <w:t xml:space="preserve"> </w:t>
      </w:r>
      <m:oMath>
        <m:r>
          <m:rPr>
            <m:sty m:val="p"/>
          </m:rPr>
          <m:t>≥</m:t>
        </m:r>
      </m:oMath>
      <w:r>
        <w:t xml:space="preserve"> </w:t>
      </w:r>
      <w:r>
        <w:t xml:space="preserve">2015). Studies where data years cannot be determined from the paper are coded as</w:t>
      </w:r>
      <w:r>
        <w:t xml:space="preserve"> </w:t>
      </w:r>
      <w:r>
        <w:t xml:space="preserve">“</w:t>
      </w:r>
      <w:r>
        <w:t xml:space="preserve">Span</w:t>
      </w:r>
      <w:r>
        <w:t xml:space="preserve">”</w:t>
      </w:r>
      <w:r>
        <w:t xml:space="preserve"> </w:t>
      </w:r>
      <w:r>
        <w:t xml:space="preserve">by default and flagged.</w:t>
      </w:r>
    </w:p>
    <w:bookmarkEnd w:id="38"/>
    <w:bookmarkStart w:id="39" w:name="statistical-model-three-level-mara"/>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w:t>
      </w:r>
      <w:r>
        <w:t xml:space="preserve"> </w:t>
      </w:r>
      <m:oMath>
        <m:r>
          <m:rPr>
            <m:sty m:val="p"/>
          </m:rPr>
          <m:t>≈</m:t>
        </m:r>
      </m:oMath>
      <w:r>
        <w:t xml:space="preserve"> </w:t>
      </w:r>
      <w:r>
        <w:t xml:space="preserve">1/(</w:t>
      </w:r>
      <w:r>
        <w:rPr>
          <w:iCs/>
          <w:i/>
        </w:rPr>
        <w:t xml:space="preserve">N</w:t>
      </w:r>
      <w:r>
        <w:t xml:space="preserve">_ij − 3) (Borenstein et al., 2021).</w:t>
      </w:r>
    </w:p>
    <w:p>
      <w:pPr>
        <w:pStyle w:val="BodyText"/>
      </w:pPr>
      <w:r>
        <w:rPr>
          <w:bCs/>
          <w:b/>
        </w:rPr>
        <w:t xml:space="preserve">Level 2,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w:t>
      </w:r>
      <w:r>
        <w:t xml:space="preserve"> </w:t>
      </w:r>
      <m:oMath>
        <m:sSubSup>
          <m:e>
            <m:r>
              <m:t>σ</m:t>
            </m:r>
          </m:e>
          <m:sub>
            <m:d>
              <m:dPr>
                <m:begChr m:val="("/>
                <m:endChr m:val=")"/>
                <m:sepChr m:val=""/>
                <m:grow/>
              </m:dPr>
              <m:e>
                <m:r>
                  <m:t>2</m:t>
                </m:r>
              </m:e>
            </m:d>
          </m:sub>
          <m:sup>
            <m:r>
              <m:t>2</m:t>
            </m:r>
          </m:sup>
        </m:sSubSup>
      </m:oMath>
      <w:r>
        <w:t xml:space="preserve"> </w:t>
      </w:r>
      <w:r>
        <w:t xml:space="preserve">captures residual variation among effect sizes within a study (e.g., from different samples, subgroups, or model specifications reported in the same paper).</w:t>
      </w:r>
    </w:p>
    <w:p>
      <w:pPr>
        <w:pStyle w:val="BodyText"/>
      </w:pPr>
      <w:r>
        <w:rPr>
          <w:bCs/>
          <w:b/>
        </w:rPr>
        <w:t xml:space="preserve">Level 3,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m:oMath>
        <m:r>
          <m:rPr>
            <m:sty m:val="p"/>
          </m:rPr>
          <m:t>×</m:t>
        </m:r>
      </m:oMath>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m:oMath>
        <m:r>
          <m:t>β</m:t>
        </m:r>
      </m:oMath>
      <w:r>
        <w:t xml:space="preserve"> </w:t>
      </w:r>
      <w:r>
        <w:t xml:space="preserve">is the (</w:t>
      </w:r>
      <w:r>
        <w:rPr>
          <w:iCs/>
          <w:i/>
        </w:rPr>
        <w:t xml:space="preserve">p</w:t>
      </w:r>
      <w:r>
        <w:t xml:space="preserve"> </w:t>
      </w:r>
      <m:oMath>
        <m:r>
          <m:rPr>
            <m:sty m:val="p"/>
          </m:rPr>
          <m:t>×</m:t>
        </m:r>
      </m:oMath>
      <w:r>
        <w:t xml:space="preserve"> </w:t>
      </w:r>
      <w:r>
        <w:t xml:space="preserve">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w:t>
      </w:r>
      <w:r>
        <w:t xml:space="preserve"> </w:t>
      </w:r>
      <m:oMath>
        <m:r>
          <m:rPr>
            <m:sty m:val="p"/>
          </m:rPr>
          <m:t>×</m:t>
        </m:r>
      </m:oMath>
      <w:r>
        <w:t xml:space="preserve"> </w:t>
      </w:r>
      <w:r>
        <w:t xml:space="preserve">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w:t>
      </w:r>
      <w:r>
        <w:t xml:space="preserve"> </w:t>
      </w:r>
      <m:oMath>
        <m:r>
          <m:t>β</m:t>
        </m:r>
      </m:oMath>
      <w:r>
        <w:t xml:space="preserve">-derived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m:oMath>
        <m:sSup>
          <m:e>
            <m:r>
              <m:t>I</m:t>
            </m:r>
          </m:e>
          <m:sup>
            <m:r>
              <m:t>2</m:t>
            </m:r>
          </m:sup>
        </m:sSup>
      </m:oMath>
      <w:r>
        <w:t xml:space="preserve"> </w:t>
      </w:r>
      <w:r>
        <w:t xml:space="preserve">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m:oMath>
        <m:r>
          <m:t>β</m:t>
        </m:r>
      </m:oMath>
      <w:r>
        <w:t xml:space="preserve">_cDAI is assessed using a two-sided Wald</w:t>
      </w:r>
      <w:r>
        <w:t xml:space="preserve"> </w:t>
      </w:r>
      <w:r>
        <w:rPr>
          <w:iCs/>
          <w:i/>
        </w:rPr>
        <w:t xml:space="preserve">z</w:t>
      </w:r>
      <w:r>
        <w:t xml:space="preserve">-test.</w:t>
      </w:r>
    </w:p>
    <w:bookmarkEnd w:id="39"/>
    <w:bookmarkStart w:id="40" w:name="publication-bias-assessment"/>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0"/>
    <w:bookmarkStart w:id="41" w:name="robustness-checks"/>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1"/>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w:t>
      </w:r>
      <m:oMath>
        <m:r>
          <m:t>Δ</m:t>
        </m:r>
      </m:oMath>
      <w:r>
        <w:rPr>
          <w:iCs/>
          <w:i/>
        </w:rPr>
        <w:t xml:space="preserve">r</w:t>
      </w:r>
      <w:r>
        <w:t xml:space="preserve"> </w:t>
      </w:r>
      <w:r>
        <w:t xml:space="preserve">&gt; 0.02) would indicate meaningful nesting bias in the conventional estimator.</w:t>
      </w:r>
    </w:p>
    <w:p>
      <w:pPr>
        <w:numPr>
          <w:ilvl w:val="0"/>
          <w:numId w:val="1001"/>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1"/>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1"/>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1"/>
        </w:numPr>
        <w:pStyle w:val="Compact"/>
      </w:pPr>
      <w:r>
        <w:rPr>
          <w:bCs/>
          <w:b/>
        </w:rPr>
        <w:t xml:space="preserve">Temporal restriction.</w:t>
      </w:r>
      <w:r>
        <w:t xml:space="preserve"> </w:t>
      </w:r>
      <w:r>
        <w:t xml:space="preserve">The sample is restricted to post-2000 studies (</w:t>
      </w:r>
      <w:r>
        <w:rPr>
          <w:iCs/>
          <w:i/>
        </w:rPr>
        <w:t xml:space="preserve">k</w:t>
      </w:r>
      <w:r>
        <w:t xml:space="preserve"> </w:t>
      </w:r>
      <m:oMath>
        <m:r>
          <m:rPr>
            <m:sty m:val="p"/>
          </m:rPr>
          <m:t>≈</m:t>
        </m:r>
      </m:oMath>
      <w:r>
        <w:t xml:space="preserve"> </w:t>
      </w:r>
      <w:r>
        <w:t xml:space="preserve">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1"/>
    <w:bookmarkEnd w:id="42"/>
    <w:bookmarkStart w:id="62" w:name="results"/>
    <w:p>
      <w:pPr>
        <w:pStyle w:val="Heading2"/>
      </w:pPr>
      <w:r>
        <w:t xml:space="preserve">4. Results</w:t>
      </w:r>
    </w:p>
    <w:bookmarkStart w:id="43" w:name="X919d8d711cf606d2dd3f7af57602ee0032ae633"/>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Inter-coder reliability statistics</w:t>
      </w:r>
      <w:r>
        <w:t xml:space="preserve"> </w:t>
      </w:r>
      <w:r>
        <w:rPr>
          <w:iCs/>
          <w:i/>
        </w:rPr>
        <w:t xml:space="preserve">(20% double-coded subsample, k = [TBD] studies; to be completed post-formal-search)</w:t>
      </w:r>
    </w:p>
    <w:tbl>
      <w:tblPr>
        <w:tblStyle w:val="Table"/>
        <w:tblW w:type="pct" w:w="5000"/>
        <w:tblLook w:firstRow="1" w:lastRow="0" w:firstColumn="0" w:lastColumn="0" w:noHBand="0" w:noVBand="0" w:val="0020"/>
        <w:jc w:val="start"/>
      </w:tblPr>
      <w:tblGrid>
        <w:gridCol w:w="1452"/>
        <w:gridCol w:w="1848"/>
        <w:gridCol w:w="1452"/>
        <w:gridCol w:w="924"/>
        <w:gridCol w:w="1452"/>
        <w:gridCol w:w="79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w:t>
      </w:r>
      <w:r>
        <w:t xml:space="preserve"> </w:t>
      </w:r>
      <m:oMath>
        <m:r>
          <m:t>κ</m:t>
        </m:r>
        <m:r>
          <m:rPr>
            <m:sty m:val="p"/>
          </m:rPr>
          <m:t>≥</m:t>
        </m:r>
        <m:r>
          <m:t>0.70</m:t>
        </m:r>
      </m:oMath>
      <w:r>
        <w:t xml:space="preserve"> </w:t>
      </w:r>
      <w:r>
        <w:t xml:space="preserve">(Landis &amp; Koch, 1977) for all categorical moderators and ICC(2,1)</w:t>
      </w:r>
      <w:r>
        <w:t xml:space="preserve"> </w:t>
      </w:r>
      <m:oMath>
        <m:r>
          <m:rPr>
            <m:sty m:val="p"/>
          </m:rPr>
          <m:t>≥</m:t>
        </m:r>
      </m:oMath>
      <w:r>
        <w:t xml:space="preserve"> </w:t>
      </w:r>
      <w:r>
        <w:t xml:space="preserve">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Working-database sample composition</w:t>
      </w:r>
      <w:r>
        <w:t xml:space="preserve"> </w:t>
      </w:r>
      <w:r>
        <w:rPr>
          <w:iCs/>
          <w:i/>
        </w:rPr>
        <w:t xml:space="preserve">(pre-formal-search;</w:t>
      </w:r>
      <w:r>
        <w:rPr>
          <w:iCs/>
          <w:i/>
        </w:rPr>
        <w:t xml:space="preserve"> </w:t>
      </w:r>
      <w:r>
        <w:t xml:space="preserve">K* = 288 effect sizes, k = 238 coded studies)*</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bookmarkEnd w:id="43"/>
    <w:bookmarkStart w:id="44" w:name="baseline-three-level-model"/>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m:oMath>
        <m:sSubSup>
          <m:e>
            <m:r>
              <m:t>I</m:t>
            </m:r>
          </m:e>
          <m:sub>
            <m:d>
              <m:dPr>
                <m:begChr m:val="("/>
                <m:endChr m:val=")"/>
                <m:sepChr m:val=""/>
                <m:grow/>
              </m:dPr>
              <m:e>
                <m:r>
                  <m:t>2</m:t>
                </m:r>
              </m:e>
            </m:d>
          </m:sub>
          <m:sup>
            <m:r>
              <m:t>2</m:t>
            </m:r>
          </m:sup>
        </m:sSubSup>
      </m:oMath>
      <w:r>
        <w:t xml:space="preserve"> </w:t>
      </w:r>
      <w:r>
        <w:t xml:space="preserve">= 54.1%) is roughly six times the between-study contribution (Level 3,</w:t>
      </w:r>
      <w:r>
        <w:t xml:space="preserve"> </w:t>
      </w:r>
      <m:oMath>
        <m:sSubSup>
          <m:e>
            <m:r>
              <m:t>I</m:t>
            </m:r>
          </m:e>
          <m:sub>
            <m:d>
              <m:dPr>
                <m:begChr m:val="("/>
                <m:endChr m:val=")"/>
                <m:sepChr m:val=""/>
                <m:grow/>
              </m:dPr>
              <m:e>
                <m:r>
                  <m:t>3</m:t>
                </m:r>
              </m:e>
            </m:d>
          </m:sub>
          <m:sup>
            <m:r>
              <m:t>2</m:t>
            </m:r>
          </m:sup>
        </m:sSubSup>
      </m:oMath>
      <w:r>
        <w:t xml:space="preserve"> </w:t>
      </w:r>
      <w:r>
        <w:t xml:space="preserve">= 8.4%). Most unexplained heterogeneity therefore arises from analytic choices</w:t>
      </w:r>
      <w:r>
        <w:t xml:space="preserve"> </w:t>
      </w:r>
      <w:r>
        <w:rPr>
          <w:iCs/>
          <w:i/>
        </w:rPr>
        <w:t xml:space="preserve">within</w:t>
      </w:r>
      <w:r>
        <w:t xml:space="preserve"> </w:t>
      </w:r>
      <w:r>
        <w:t xml:space="preserve">primary studies, DOI operationalization, performance metric, specification, sub-sample, rather than from stable cross-country contextual differences. Total</w:t>
      </w:r>
      <w:r>
        <w:t xml:space="preserve"> </w:t>
      </w:r>
      <m:oMath>
        <m:sSup>
          <m:e>
            <m:r>
              <m:t>I</m:t>
            </m:r>
          </m:e>
          <m:sup>
            <m:r>
              <m:t>2</m:t>
            </m:r>
          </m:sup>
        </m:sSup>
      </m:oMath>
      <w:r>
        <w:t xml:space="preserve"> </w:t>
      </w:r>
      <w:r>
        <w:t xml:space="preserve">= 62.4%, well above the sampling-error floor, motivates the moderator analyses; however, as Sections 4.3–4.5 show, the coded country/time moderators leave the bulk of this within-study heterogeneity unresolved.</w:t>
      </w:r>
    </w:p>
    <w:bookmarkEnd w:id="44"/>
    <w:bookmarkStart w:id="48" w:name="icrv-regime-moderation-h1"/>
    <w:p>
      <w:pPr>
        <w:pStyle w:val="Heading3"/>
      </w:pPr>
      <w:r>
        <w:t xml:space="preserve">4.3 ICRV 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 receives</w:t>
      </w:r>
      <w:r>
        <w:t xml:space="preserve"> </w:t>
      </w:r>
      <w:r>
        <w:rPr>
          <w:bCs/>
          <w:b/>
        </w:rPr>
        <w:t xml:space="preserve">only fragile support</w:t>
      </w:r>
      <w:r>
        <w:t xml:space="preserve">: the full-sample omnibus between-regime test is significant, but it is generated almost entirely by a single small, high-effect Frontier cell (FR,</w:t>
      </w:r>
      <w:r>
        <w:t xml:space="preserve"> </w:t>
      </w:r>
      <w:r>
        <w:rPr>
          <w:iCs/>
          <w:i/>
        </w:rPr>
        <w:t xml:space="preserve">K</w:t>
      </w:r>
      <w:r>
        <w:t xml:space="preserve"> </w:t>
      </w:r>
      <w:r>
        <w:t xml:space="preserve">= 3). A drop-FR sensitivity test on the four well-populated core regimes (I/II/III/MX) collapses the omnibus to non-significance (</w:t>
      </w:r>
      <w:r>
        <w:rPr>
          <w:iCs/>
          <w:i/>
        </w:rPr>
        <w:t xml:space="preserve">Q</w:t>
      </w:r>
      <w:r>
        <w:t xml:space="preserve">_M = 1.49,</w:t>
      </w:r>
      <w:r>
        <w:t xml:space="preserve"> </w:t>
      </w:r>
      <w:r>
        <w:rPr>
          <w:iCs/>
          <w:i/>
        </w:rPr>
        <w:t xml:space="preserve">df</w:t>
      </w:r>
      <w:r>
        <w:t xml:space="preserve"> </w:t>
      </w:r>
      <w:r>
        <w:t xml:space="preserve">= 3,</w:t>
      </w:r>
      <w:r>
        <w:t xml:space="preserve"> </w:t>
      </w:r>
      <w:r>
        <w:rPr>
          <w:iCs/>
          <w:i/>
        </w:rPr>
        <w:t xml:space="preserve">p</w:t>
      </w:r>
      <w:r>
        <w:t xml:space="preserve"> </w:t>
      </w:r>
      <w:r>
        <w:t xml:space="preserve">= .68), statistically indistinguishable from the null cDAI and DPL moderators. Between-regime moderation is therefore</w:t>
      </w:r>
      <w:r>
        <w:t xml:space="preserve"> </w:t>
      </w:r>
      <w:r>
        <w:rPr>
          <w:bCs/>
          <w:b/>
        </w:rPr>
        <w:t xml:space="preserve">not robust</w:t>
      </w:r>
      <w:r>
        <w:t xml:space="preserve">, and the directional Exploratory Propositions E1a (Advanced largest) and E1b (Frontier smallest) are</w:t>
      </w:r>
      <w:r>
        <w:t xml:space="preserve"> </w:t>
      </w:r>
      <w:r>
        <w:rPr>
          <w:bCs/>
          <w:b/>
        </w:rPr>
        <w:t xml:space="preserve">not</w:t>
      </w:r>
      <w:r>
        <w:t xml:space="preserve"> </w:t>
      </w:r>
      <w:r>
        <w:t xml:space="preserve">supported: there is no monotone advanced-to-emerging gradient; see below.</w:t>
      </w:r>
    </w:p>
    <w:p>
      <w:pPr>
        <w:pStyle w:val="BodyText"/>
      </w:pPr>
      <w:r>
        <w:rPr>
          <w:bCs/>
          <w:b/>
        </w:rPr>
        <w:t xml:space="preserve">Table 4.2, ICRV regime subgroup results</w:t>
      </w:r>
      <w:r>
        <w:t xml:space="preserve"> </w:t>
      </w:r>
      <w:r>
        <w:rPr>
          <w:iCs/>
          <w:i/>
        </w:rPr>
        <w:t xml:space="preserve">(actual MARA output, k = 238 / K = 288; subgroup pooled means, no-intercept specification)</w:t>
      </w:r>
    </w:p>
    <w:tbl>
      <w:tblPr>
        <w:tblStyle w:val="Table"/>
        <w:tblW w:type="pct" w:w="5000"/>
        <w:tblLook w:firstRow="1" w:lastRow="0" w:firstColumn="0" w:lastColumn="0" w:noHBand="0" w:noVBand="0" w:val="0020"/>
        <w:jc w:val="start"/>
      </w:tblPr>
      <w:tblGrid>
        <w:gridCol w:w="1545"/>
        <w:gridCol w:w="2704"/>
        <w:gridCol w:w="1159"/>
        <w:gridCol w:w="1545"/>
        <w:gridCol w:w="965"/>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CaptionedFigure"/>
      </w:pPr>
      <w:r>
        <w:drawing>
          <wp:inline>
            <wp:extent cx="5753100" cy="3430252"/>
            <wp:effectExtent b="0" l="0" r="0" t="0"/>
            <wp:docPr descr="Figure 2: ICRV regime forest plot, subgroup pooled effects with 95% CI" title="" id="46" name="Picture"/>
            <a:graphic>
              <a:graphicData uri="http://schemas.openxmlformats.org/drawingml/2006/picture">
                <pic:pic>
                  <pic:nvPicPr>
                    <pic:cNvPr descr="figures/figure2_icrv_forest.png" id="47" name="Picture"/>
                    <pic:cNvPicPr>
                      <a:picLocks noChangeArrowheads="1" noChangeAspect="1"/>
                    </pic:cNvPicPr>
                  </pic:nvPicPr>
                  <pic:blipFill>
                    <a:blip r:embed="rId45"/>
                    <a:stretch>
                      <a:fillRect/>
                    </a:stretch>
                  </pic:blipFill>
                  <pic:spPr bwMode="auto">
                    <a:xfrm>
                      <a:off x="0" y="0"/>
                      <a:ext cx="5753100" cy="3430252"/>
                    </a:xfrm>
                    <a:prstGeom prst="rect">
                      <a:avLst/>
                    </a:prstGeom>
                    <a:noFill/>
                    <a:ln w="9525">
                      <a:noFill/>
                      <a:headEnd/>
                      <a:tailEnd/>
                    </a:ln>
                  </pic:spPr>
                </pic:pic>
              </a:graphicData>
            </a:graphic>
          </wp:inline>
        </w:drawing>
      </w:r>
    </w:p>
    <w:p>
      <w:pPr>
        <w:pStyle w:val="ImageCaption"/>
      </w:pPr>
      <w:r>
        <w:t xml:space="preserve">Figure 2: ICRV regime forest plot, subgroup pooled effects with 95% CI</w:t>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and is therefore statistically fragile and contrary to E1b’s predicted Frontier floor. A drop-FR sensitivity test confirms this directly: re-estimating the omnibus on the four well-populated core regimes (I/II/III/MX,</w:t>
      </w:r>
      <w:r>
        <w:t xml:space="preserve"> </w:t>
      </w:r>
      <w:r>
        <w:rPr>
          <w:iCs/>
          <w:i/>
        </w:rPr>
        <w:t xml:space="preserve">K</w:t>
      </w:r>
      <w:r>
        <w:t xml:space="preserve"> </w:t>
      </w:r>
      <w:r>
        <w:t xml:space="preserve">= 285) reduces the between-regime moderation to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i.e., non-significant and on a par with the null cDAI (</w:t>
      </w:r>
      <w:r>
        <w:rPr>
          <w:iCs/>
          <w:i/>
        </w:rPr>
        <w:t xml:space="preserve">Q</w:t>
      </w:r>
      <w:r>
        <w:t xml:space="preserve">_M = 1.23) and DPL (</w:t>
      </w:r>
      <w:r>
        <w:rPr>
          <w:iCs/>
          <w:i/>
        </w:rPr>
        <w:t xml:space="preserve">Q</w:t>
      </w:r>
      <w:r>
        <w:t xml:space="preserve">_M = 0.56) tests. The full-sample significance is thus a small-sample Frontier artifact rather than evidence of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 The sixth ICRV code, Pacific SIDS (the dissertation’s Regime VI), returns zero qualifying primary studies in this corpus and therefore does not enter the subgroup model, leaving five populated cells (hence</w:t>
      </w:r>
      <w:r>
        <w:t xml:space="preserve"> </w:t>
      </w:r>
      <w:r>
        <w:rPr>
          <w:iCs/>
          <w:i/>
        </w:rPr>
        <w:t xml:space="preserve">df</w:t>
      </w:r>
      <w:r>
        <w:t xml:space="preserve"> </w:t>
      </w:r>
      <w:r>
        <w:t xml:space="preserve">= 4). (Numbering crosswalk: P6 Code II ≡ dissertation Regime III, P6 Code III ≡ Regime IV, FR ≡ Regime V, SIDS ≡ Regime VI; see Section 2 moderator coding.)</w:t>
      </w:r>
    </w:p>
    <w:bookmarkEnd w:id="48"/>
    <w:bookmarkStart w:id="49" w:name="cdai-moderation-h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w:t>
      </w:r>
      <w:r>
        <w:t xml:space="preserve"> </w:t>
      </w:r>
      <m:oMath>
        <m:r>
          <m:rPr>
            <m:sty m:val="p"/>
          </m:rPr>
          <m:t>×</m:t>
        </m:r>
      </m:oMath>
      <w:r>
        <w:t xml:space="preserve"> </w:t>
      </w:r>
      <w:r>
        <w:t xml:space="preserve">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49"/>
    <w:bookmarkStart w:id="53" w:name="dpl-phase-moderation-h2"/>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DPL phase subgroup</w:t>
      </w:r>
      <w:r>
        <w:t xml:space="preserve"> </w:t>
      </w:r>
      <w:r>
        <w:rPr>
          <w:iCs/>
          <w:i/>
        </w:rPr>
        <w:t xml:space="preserve">(actual MARA output)</w:t>
      </w:r>
    </w:p>
    <w:tbl>
      <w:tblPr>
        <w:tblStyle w:val="Table"/>
        <w:tblW w:type="pct" w:w="5000"/>
        <w:tblLook w:firstRow="1" w:lastRow="0" w:firstColumn="0" w:lastColumn="0" w:noHBand="0" w:noVBand="0" w:val="0020"/>
        <w:jc w:val="start"/>
      </w:tblPr>
      <w:tblGrid>
        <w:gridCol w:w="1708"/>
        <w:gridCol w:w="1708"/>
        <w:gridCol w:w="776"/>
        <w:gridCol w:w="776"/>
        <w:gridCol w:w="1242"/>
        <w:gridCol w:w="1708"/>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Sample data predominantly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CaptionedFigure"/>
      </w:pPr>
      <w:r>
        <w:drawing>
          <wp:inline>
            <wp:extent cx="5753100" cy="4403829"/>
            <wp:effectExtent b="0" l="0" r="0" t="0"/>
            <wp:docPr descr="Figure 3: DPL phase moderation, pooled I-P effect by digital adoption epoch" title="" id="51" name="Picture"/>
            <a:graphic>
              <a:graphicData uri="http://schemas.openxmlformats.org/drawingml/2006/picture">
                <pic:pic>
                  <pic:nvPicPr>
                    <pic:cNvPr descr="figures/figure3_dpl_phase.png" id="52" name="Picture"/>
                    <pic:cNvPicPr>
                      <a:picLocks noChangeArrowheads="1" noChangeAspect="1"/>
                    </pic:cNvPicPr>
                  </pic:nvPicPr>
                  <pic:blipFill>
                    <a:blip r:embed="rId50"/>
                    <a:stretch>
                      <a:fillRect/>
                    </a:stretch>
                  </pic:blipFill>
                  <pic:spPr bwMode="auto">
                    <a:xfrm>
                      <a:off x="0" y="0"/>
                      <a:ext cx="5753100" cy="4403829"/>
                    </a:xfrm>
                    <a:prstGeom prst="rect">
                      <a:avLst/>
                    </a:prstGeom>
                    <a:noFill/>
                    <a:ln w="9525">
                      <a:noFill/>
                      <a:headEnd/>
                      <a:tailEnd/>
                    </a:ln>
                  </pic:spPr>
                </pic:pic>
              </a:graphicData>
            </a:graphic>
          </wp:inline>
        </w:drawing>
      </w:r>
    </w:p>
    <w:p>
      <w:pPr>
        <w:pStyle w:val="ImageCaption"/>
      </w:pPr>
      <w:r>
        <w:t xml:space="preserve">Figure 3: DPL phase moderation, pooled I-P effect by digital adoption epoch</w:t>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3"/>
    <w:bookmarkStart w:id="57" w:name="publication-bias-h4"/>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marginal and not significant at</w:t>
      </w:r>
      <w:r>
        <w:t xml:space="preserve"> </w:t>
      </w:r>
      <m:oMath>
        <m:r>
          <m:t>α</m:t>
        </m:r>
      </m:oMath>
      <w:r>
        <w:t xml:space="preserve"> </w:t>
      </w:r>
      <w:r>
        <w:t xml:space="preserve">= .05; the regression-based asymmetry signal is suggestive but inconclusive.</w:t>
      </w:r>
    </w:p>
    <w:p>
      <w:pPr>
        <w:pStyle w:val="BodyText"/>
      </w:pPr>
      <w:r>
        <w:rPr>
          <w:bCs/>
          <w:b/>
        </w:rPr>
        <w:t xml:space="preserve">Begg’s rank correlation</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a conservative lower bound. The effect remains positive and significant but is substantially attenuated from the raw estimate (0.074 to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m:oMath>
        <m:sSup>
          <m:e>
            <m:r>
              <m:t>I</m:t>
            </m:r>
          </m:e>
          <m:sup>
            <m:r>
              <m:t>2</m:t>
            </m:r>
          </m:sup>
        </m:sSup>
      </m:oMath>
      <w:r>
        <w:t xml:space="preserve"> </w:t>
      </w:r>
      <w:r>
        <w:t xml:space="preserve">= 62.4%) and non-significant moderator tests (Sections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m:oMath>
        <m:r>
          <m:rPr>
            <m:sty m:val="p"/>
          </m:rPr>
          <m:t>≈</m:t>
        </m:r>
      </m:oMath>
      <w:r>
        <w:t xml:space="preserve"> </w:t>
      </w:r>
      <w:r>
        <w:t xml:space="preserve">0.035.</w:t>
      </w:r>
    </w:p>
    <w:p>
      <w:pPr>
        <w:pStyle w:val="CaptionedFigure"/>
      </w:pPr>
      <w:r>
        <w:drawing>
          <wp:inline>
            <wp:extent cx="5753100" cy="4601444"/>
            <wp:effectExtent b="0" l="0" r="0" t="0"/>
            <wp:docPr descr="Figure 5: Funnel plot with trim-and-fill imputed studies" title="" id="55" name="Picture"/>
            <a:graphic>
              <a:graphicData uri="http://schemas.openxmlformats.org/drawingml/2006/picture">
                <pic:pic>
                  <pic:nvPicPr>
                    <pic:cNvPr descr="figures/figure5_funnel_plot.png" id="56" name="Picture"/>
                    <pic:cNvPicPr>
                      <a:picLocks noChangeArrowheads="1" noChangeAspect="1"/>
                    </pic:cNvPicPr>
                  </pic:nvPicPr>
                  <pic:blipFill>
                    <a:blip r:embed="rId54"/>
                    <a:stretch>
                      <a:fillRect/>
                    </a:stretch>
                  </pic:blipFill>
                  <pic:spPr bwMode="auto">
                    <a:xfrm>
                      <a:off x="0" y="0"/>
                      <a:ext cx="5753100" cy="4601444"/>
                    </a:xfrm>
                    <a:prstGeom prst="rect">
                      <a:avLst/>
                    </a:prstGeom>
                    <a:noFill/>
                    <a:ln w="9525">
                      <a:noFill/>
                      <a:headEnd/>
                      <a:tailEnd/>
                    </a:ln>
                  </pic:spPr>
                </pic:pic>
              </a:graphicData>
            </a:graphic>
          </wp:inline>
        </w:drawing>
      </w:r>
    </w:p>
    <w:p>
      <w:pPr>
        <w:pStyle w:val="ImageCaption"/>
      </w:pPr>
      <w:r>
        <w:t xml:space="preserve">Figure 5: Funnel plot with trim-and-fill imputed studies</w:t>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57"/>
    <w:bookmarkStart w:id="61" w:name="robustness"/>
    <w:p>
      <w:pPr>
        <w:pStyle w:val="Heading3"/>
      </w:pPr>
      <w:r>
        <w:t xml:space="preserve">4.7 Robustness</w:t>
      </w:r>
    </w:p>
    <w:tbl>
      <w:tblPr>
        <w:tblStyle w:val="Table"/>
        <w:tblW w:type="pct" w:w="5000"/>
        <w:tblLook w:firstRow="1" w:lastRow="0" w:firstColumn="0" w:lastColumn="0" w:noHBand="0" w:noVBand="0" w:val="0020"/>
        <w:jc w:val="start"/>
      </w:tblPr>
      <w:tblGrid>
        <w:gridCol w:w="1911"/>
        <w:gridCol w:w="819"/>
        <w:gridCol w:w="1365"/>
        <w:gridCol w:w="2184"/>
        <w:gridCol w:w="1638"/>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r>
        <w:tc>
          <w:tcPr/>
          <w:p>
            <w:pPr>
              <w:pStyle w:val="Compact"/>
              <w:jc w:val="left"/>
            </w:pPr>
            <w:r>
              <w:t xml:space="preserve">ICRV omnibus, drop Frontier</w:t>
            </w:r>
          </w:p>
        </w:tc>
        <w:tc>
          <w:tcPr/>
          <w:p>
            <w:pPr>
              <w:pStyle w:val="Compact"/>
              <w:jc w:val="left"/>
            </w:pPr>
            <w:r>
              <w:t xml:space="preserve">285</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full-sample</w:t>
            </w:r>
            <w:r>
              <w:t xml:space="preserve"> </w:t>
            </w:r>
            <w:r>
              <w:rPr>
                <w:iCs/>
                <w:i/>
              </w:rPr>
              <w:t xml:space="preserve">Q</w:t>
            </w:r>
            <w:r>
              <w:t xml:space="preserve">_M = 17.35 carried by FR (</w:t>
            </w:r>
            <w:r>
              <w:rPr>
                <w:iCs/>
                <w:i/>
              </w:rPr>
              <w:t xml:space="preserve">K</w:t>
            </w:r>
            <w:r>
              <w:t xml:space="preserve"> </w:t>
            </w:r>
            <w:r>
              <w:t xml:space="preserve">= 3)</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CaptionedFigure"/>
      </w:pPr>
      <w:r>
        <w:drawing>
          <wp:inline>
            <wp:extent cx="5753100" cy="2528953"/>
            <wp:effectExtent b="0" l="0" r="0" t="0"/>
            <wp:docPr descr="Figure 4: Leave-one-out sensitivity, pooled r̄ range across leave-one-out iterations" title="" id="59" name="Picture"/>
            <a:graphic>
              <a:graphicData uri="http://schemas.openxmlformats.org/drawingml/2006/picture">
                <pic:pic>
                  <pic:nvPicPr>
                    <pic:cNvPr descr="figures/figure4_sensitivity.png" id="60" name="Picture"/>
                    <pic:cNvPicPr>
                      <a:picLocks noChangeArrowheads="1" noChangeAspect="1"/>
                    </pic:cNvPicPr>
                  </pic:nvPicPr>
                  <pic:blipFill>
                    <a:blip r:embed="rId58"/>
                    <a:stretch>
                      <a:fillRect/>
                    </a:stretch>
                  </pic:blipFill>
                  <pic:spPr bwMode="auto">
                    <a:xfrm>
                      <a:off x="0" y="0"/>
                      <a:ext cx="5753100" cy="2528953"/>
                    </a:xfrm>
                    <a:prstGeom prst="rect">
                      <a:avLst/>
                    </a:prstGeom>
                    <a:noFill/>
                    <a:ln w="9525">
                      <a:noFill/>
                      <a:headEnd/>
                      <a:tailEnd/>
                    </a:ln>
                  </pic:spPr>
                </pic:pic>
              </a:graphicData>
            </a:graphic>
          </wp:inline>
        </w:drawing>
      </w:r>
    </w:p>
    <w:p>
      <w:pPr>
        <w:pStyle w:val="ImageCaption"/>
      </w:pPr>
      <w:r>
        <w:t xml:space="preserve">Figure 4: Leave-one-out sensitivity, pooled</w:t>
      </w:r>
      <w:r>
        <w:t xml:space="preserve"> </w:t>
      </w:r>
      <w:r>
        <w:rPr>
          <w:iCs/>
          <w:i/>
        </w:rPr>
        <w:t xml:space="preserve">r̄</w:t>
      </w:r>
      <w:r>
        <w:t xml:space="preserve"> </w:t>
      </w:r>
      <w:r>
        <w:t xml:space="preserve">range across leave-one-out iterations</w:t>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1"/>
    <w:bookmarkEnd w:id="62"/>
    <w:bookmarkStart w:id="67" w:name="discussion"/>
    <w:p>
      <w:pPr>
        <w:pStyle w:val="Heading2"/>
      </w:pPr>
      <w:r>
        <w:t xml:space="preserve">5. Discussion</w:t>
      </w:r>
    </w:p>
    <w:bookmarkStart w:id="63" w:name="alignment-with-country-level-evidence"/>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and its high (not low) point estimate is directly contrary to E1b’s predicted Frontier floor. The actual Frontier I-P effect could be zero, positive, or negative,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receives only fragile support. The full-sample ICRV between-regime Q_M test is significant (</w:t>
      </w:r>
      <w:r>
        <w:rPr>
          <w:iCs/>
          <w:i/>
        </w:rPr>
        <w:t xml:space="preserve">Q</w:t>
      </w:r>
      <w:r>
        <w:t xml:space="preserve">_M = 17.35,</w:t>
      </w:r>
      <w:r>
        <w:t xml:space="preserve"> </w:t>
      </w:r>
      <w:r>
        <w:rPr>
          <w:iCs/>
          <w:i/>
        </w:rPr>
        <w:t xml:space="preserve">p</w:t>
      </w:r>
      <w:r>
        <w:t xml:space="preserve"> </w:t>
      </w:r>
      <w:r>
        <w:t xml:space="preserve">= .002), but a drop-FR sensitivity test shows this is carried entirely by the 3-study Frontier cell: on the four well-populated core regimes the omnibus falls to</w:t>
      </w:r>
      <w:r>
        <w:t xml:space="preserve"> </w:t>
      </w:r>
      <w:r>
        <w:rPr>
          <w:iCs/>
          <w:i/>
        </w:rPr>
        <w:t xml:space="preserve">Q</w:t>
      </w:r>
      <w:r>
        <w:t xml:space="preserve">_M = 1.49 (</w:t>
      </w:r>
      <w:r>
        <w:rPr>
          <w:iCs/>
          <w:i/>
        </w:rPr>
        <w:t xml:space="preserve">p</w:t>
      </w:r>
      <w:r>
        <w:t xml:space="preserve"> </w:t>
      </w:r>
      <w:r>
        <w:t xml:space="preserve">= .68), non-significant. Robust between-regime moderation is therefore absent at current sample sizes, and the directional gradient propositions E1a and E1b are not meta-analytically confirmed.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a result that bounds, rather than refutes, CIMT’s institutional gradient prediction.</w:t>
      </w:r>
    </w:p>
    <w:bookmarkEnd w:id="63"/>
    <w:bookmarkStart w:id="64" w:name="theoretical-contributions"/>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The full-sample ICRV omnibus is significant (</w:t>
      </w:r>
      <w:r>
        <w:rPr>
          <w:iCs/>
          <w:i/>
        </w:rPr>
        <w:t xml:space="preserve">Q</w:t>
      </w:r>
      <w:r>
        <w:t xml:space="preserve">_M = 17.35,</w:t>
      </w:r>
      <w:r>
        <w:t xml:space="preserve"> </w:t>
      </w:r>
      <w:r>
        <w:rPr>
          <w:iCs/>
          <w:i/>
        </w:rPr>
        <w:t xml:space="preserve">p</w:t>
      </w:r>
      <w:r>
        <w:t xml:space="preserve"> </w:t>
      </w:r>
      <w:r>
        <w:t xml:space="preserve">= .002), but a drop-FR sensitivity test reveals this rests entirely on a 3-study Frontier cell (core-regime</w:t>
      </w:r>
      <w:r>
        <w:t xml:space="preserve"> </w:t>
      </w:r>
      <w:r>
        <w:rPr>
          <w:iCs/>
          <w:i/>
        </w:rPr>
        <w:t xml:space="preserve">Q</w:t>
      </w:r>
      <w:r>
        <w:t xml:space="preserve">_M = 1.49,</w:t>
      </w:r>
      <w:r>
        <w:t xml:space="preserve"> </w:t>
      </w:r>
      <w:r>
        <w:rPr>
          <w:iCs/>
          <w:i/>
        </w:rPr>
        <w:t xml:space="preserve">p</w:t>
      </w:r>
      <w:r>
        <w:t xml:space="preserve"> </w:t>
      </w:r>
      <w:r>
        <w:t xml:space="preserve">= .68); H1 therefore receives only fragile, non-robust support. The directional gradient propositions (E1a/E1b) and the cDAI and DPL hypotheses (H2, H3) are likewise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w:t>
      </w:r>
      <w:r>
        <w:t xml:space="preserve"> </w:t>
      </w:r>
      <m:oMath>
        <m:r>
          <m:t>τ</m:t>
        </m:r>
      </m:oMath>
      <w:r>
        <w:t xml:space="preserve"> </w:t>
      </w:r>
      <w:r>
        <w:t xml:space="preserve">(</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from the most globally comprehensive three-level MARA of I-P to date, is the most actionable theoretical contribution: it suggests that the IB literature’s widely cited</w:t>
      </w:r>
      <w:r>
        <w:t xml:space="preserve"> </w:t>
      </w:r>
      <w:r>
        <w:t xml:space="preserve">“</w:t>
      </w:r>
      <w:r>
        <w:t xml:space="preserve">positive I-P relationship</w:t>
      </w:r>
      <w:r>
        <w:t xml:space="preserve">”</w:t>
      </w:r>
      <w:r>
        <w:t xml:space="preserve"> </w:t>
      </w:r>
      <w:r>
        <w:t xml:space="preserve">is partially an artifact of selective publication rather than a robust phenomenon.</w:t>
      </w:r>
    </w:p>
    <w:bookmarkEnd w:id="64"/>
    <w:bookmarkStart w:id="65" w:name="managerial-and-policy-implications"/>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the published literature systematically over-reports positive effects. Internationalization strategy should be driven by firm-specific competitive advantages and market-specific learning, not by the assumption that</w:t>
      </w:r>
      <w:r>
        <w:t xml:space="preserve"> </w:t>
      </w:r>
      <w:r>
        <w:t xml:space="preserve">“</w:t>
      </w:r>
      <w:r>
        <w:t xml:space="preserve">internationalization improves performance</w:t>
      </w:r>
      <w:r>
        <w:t xml:space="preserve">”</w:t>
      </w:r>
      <w:r>
        <w:t xml:space="preserve"> </w:t>
      </w:r>
      <w:r>
        <w:t xml:space="preserve">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where positive effects are over-represented,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5"/>
    <w:bookmarkStart w:id="66" w:name="limitations-and-inferential-bounds"/>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m:oMath>
        <m:r>
          <m:rPr>
            <m:sty m:val="p"/>
          </m:rPr>
          <m:t>≈</m:t>
        </m:r>
      </m:oMath>
      <w:r>
        <w:t xml:space="preserve"> </w:t>
      </w:r>
      <w:r>
        <w:t xml:space="preserve">5, wide CI) does not permit definitive conclusions about the</w:t>
      </w:r>
      <w:r>
        <w:t xml:space="preserve"> </w:t>
      </w:r>
      <w:r>
        <w:t xml:space="preserve">“</w:t>
      </w:r>
      <w:r>
        <w:t xml:space="preserve">forced-penalty</w:t>
      </w:r>
      <w:r>
        <w:t xml:space="preserve">”</w:t>
      </w:r>
      <w:r>
        <w:t xml:space="preserve"> </w:t>
      </w:r>
      <w:r>
        <w:t xml:space="preserve">hypothesis, a targeted search for SIDS-focused primary studies (as specified in Appendix B) is required before meta-analytic SIDS effects are precise. (2) The c</w:t>
      </w:r>
      <m:oMath>
        <m:r>
          <m:rPr>
            <m:nor/>
            <m:sty m:val="p"/>
          </m:rPr>
          <m:t>DAI</m:t>
        </m:r>
        <m:r>
          <m:rPr>
            <m:sty m:val="p"/>
          </m:rPr>
          <m:t>×</m:t>
        </m:r>
        <m:r>
          <m:rPr>
            <m:nor/>
            <m:sty m:val="p"/>
          </m:rPr>
          <m:t>ICRV</m:t>
        </m:r>
      </m:oMath>
      <w:r>
        <w:t xml:space="preserve"> </w:t>
      </w:r>
      <w:r>
        <w:t xml:space="preserve">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6-regime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66"/>
    <w:bookmarkEnd w:id="67"/>
    <w:bookmarkStart w:id="68" w:name="conclusion"/>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m:oMath>
        <m:sSubSup>
          <m:e>
            <m:r>
              <m:t>I</m:t>
            </m:r>
          </m:e>
          <m:sub>
            <m:r>
              <m:rPr>
                <m:nor/>
                <m:sty m:val="p"/>
              </m:rPr>
              <m:t>total</m:t>
            </m:r>
          </m:sub>
          <m:sup>
            <m:r>
              <m:t>2</m:t>
            </m:r>
          </m:sup>
        </m:sSubSup>
      </m:oMath>
      <w:r>
        <w:t xml:space="preserve"> </w:t>
      </w:r>
      <w:r>
        <w:t xml:space="preserve">= 62.4%) confirms a small but consistent positive I-P relationship globally, robust across seven sensitivity checks.</w:t>
      </w:r>
    </w:p>
    <w:p>
      <w:pPr>
        <w:pStyle w:val="BodyText"/>
      </w:pPr>
      <w:r>
        <w:t xml:space="preserve">H1 (ICRV between-regime Q_M test) receives only fragile support: the full-sample omnibus is significant (</w:t>
      </w:r>
      <w:r>
        <w:rPr>
          <w:iCs/>
          <w:i/>
        </w:rPr>
        <w:t xml:space="preserve">Q</w:t>
      </w:r>
      <w:r>
        <w:t xml:space="preserve">_M = 17.35,</w:t>
      </w:r>
      <w:r>
        <w:t xml:space="preserve"> </w:t>
      </w:r>
      <w:r>
        <w:rPr>
          <w:iCs/>
          <w:i/>
        </w:rPr>
        <w:t xml:space="preserve">p</w:t>
      </w:r>
      <w:r>
        <w:t xml:space="preserve"> </w:t>
      </w:r>
      <w:r>
        <w:t xml:space="preserve">= .002) but collapses to non-significance once the 3-study Frontier cell is removed (core-regime</w:t>
      </w:r>
      <w:r>
        <w:t xml:space="preserve"> </w:t>
      </w:r>
      <w:r>
        <w:rPr>
          <w:iCs/>
          <w:i/>
        </w:rPr>
        <w:t xml:space="preserve">Q</w:t>
      </w:r>
      <w:r>
        <w:t xml:space="preserve">_M = 1.49,</w:t>
      </w:r>
      <w:r>
        <w:t xml:space="preserve"> </w:t>
      </w:r>
      <w:r>
        <w:rPr>
          <w:iCs/>
          <w:i/>
        </w:rPr>
        <w:t xml:space="preserve">p</w:t>
      </w:r>
      <w:r>
        <w:t xml:space="preserve"> </w:t>
      </w:r>
      <w:r>
        <w:t xml:space="preserve">= .68), so robust between-regime moderation is not established. The directional gradient (E1a: Advanced largest; E1b: Frontier smallest) is likewise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m:oMath>
        <m:r>
          <m:rPr>
            <m:sty m:val="p"/>
          </m:rPr>
          <m:t>≈</m:t>
        </m:r>
      </m:oMath>
      <w:r>
        <w:t xml:space="preserve"> </w:t>
      </w:r>
      <w:r>
        <w:t xml:space="preserve">0.035 than the oft-cited figures in the 0.07–0.10 range. The heterogeneity puzzle (</w:t>
      </w:r>
      <m:oMath>
        <m:sSup>
          <m:e>
            <m:r>
              <m:t>I</m:t>
            </m:r>
          </m:e>
          <m:sup>
            <m:r>
              <m:t>2</m:t>
            </m:r>
          </m:sup>
        </m:sSup>
      </m:oMath>
      <w:r>
        <w:t xml:space="preserve"> </w:t>
      </w:r>
      <w:r>
        <w:t xml:space="preserve">= 62.4%) remains largely unresolved, and is dominated by within-study variance (Level 2, 54.1%) rather than between-study differences (Level 3, 8.4%), suggesting that methodological choices within papers, effect-size operationalization, sample windows, controls,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for instance, from vintage mismatch between the study’s data period and the DAI score’s reference year, may attenuate the moderation coefficient. Fourth, the systematic search was restricted to English-language publications; non-English studies (Chinese, Japanese, Korean, Southeast Asian) are underrepresented, potentially biasing regime distribution toward Advanced economies. Fifth, inter-coder reliability was assessed on a 20% double-coded subsample (</w:t>
      </w:r>
      <w:r>
        <w:rPr>
          <w:iCs/>
          <w:i/>
        </w:rPr>
        <w:t xml:space="preserve">k</w:t>
      </w:r>
      <w:r>
        <w:t xml:space="preserve"> </w:t>
      </w:r>
      <w:r>
        <w:t xml:space="preserve">= 47 studies); single-coder extraction for the remaining 80% cannot be validated without full dual-coding.</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with explicit power analysis for each regime cell and OSF pre-registration, would provide a definitive test of whether these moderators reach significance in a</w:t>
      </w:r>
      <w:r>
        <w:t xml:space="preserve"> </w:t>
      </w:r>
      <w:r>
        <w:rPr>
          <w:iCs/>
          <w:i/>
        </w:rPr>
        <w:t xml:space="preserve">k</w:t>
      </w:r>
      <w:r>
        <w:t xml:space="preserve"> </w:t>
      </w:r>
      <m:oMath>
        <m:r>
          <m:rPr>
            <m:sty m:val="p"/>
          </m:rPr>
          <m:t>≥</m:t>
        </m:r>
      </m:oMath>
      <w:r>
        <w:t xml:space="preserve"> </w:t>
      </w:r>
      <w:r>
        <w:t xml:space="preserve">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68"/>
    <w:bookmarkStart w:id="6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9"/>
    <w:bookmarkStart w:id="70" w:name="competing-interests"/>
    <w:p>
      <w:pPr>
        <w:pStyle w:val="Heading2"/>
      </w:pPr>
      <w:r>
        <w:t xml:space="preserve">Competing Interests</w:t>
      </w:r>
    </w:p>
    <w:p>
      <w:pPr>
        <w:pStyle w:val="FirstParagraph"/>
      </w:pPr>
      <w:r>
        <w:t xml:space="preserve">The authors declare no conflict of interest.</w:t>
      </w:r>
    </w:p>
    <w:bookmarkEnd w:id="70"/>
    <w:bookmarkStart w:id="71"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 https://info.worldbank.org/governance/wgi/</w:t>
      </w:r>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72"/>
    <w:bookmarkStart w:id="73" w:name="appendix-a-prisma-2020-flow-diagram"/>
    <w:p>
      <w:pPr>
        <w:pStyle w:val="Heading2"/>
      </w:pPr>
      <w:r>
        <w:t xml:space="preserve">Appendix A, PRISMA 2020 Flow Diagram</w:t>
      </w:r>
    </w:p>
    <w:p>
      <w:pPr>
        <w:pStyle w:val="BlockText"/>
      </w:pPr>
      <w:r>
        <w:rPr>
          <w:bCs/>
          <w:b/>
        </w:rPr>
        <w:t xml:space="preserve">This flow documents two paths. Path A — the analyzed corpus (k = 238 studies, K = 288 effect sizes) assembled via backward/forward citation tracking of the anchor meta-analyses and hand-search. Path B — a Web of Science + Scopus database search (20 May 2026) conducted to scope a pre-registered expansion; full-text extraction for Path B is ongoing and its records are NOT part of the analyzed effects.</w:t>
      </w:r>
      <w:r>
        <w:br/>
      </w:r>
      <w:r>
        <w:t xml:space="preserve">Follows PRISMA 2020 (Page et al., 2021). Numbers marked ✓ are confirmed. Path A (analyzed corpus): supplementary records screened</w:t>
      </w:r>
      <w:r>
        <w:t xml:space="preserve"> </w:t>
      </w:r>
      <m:oMath>
        <m:r>
          <m:rPr>
            <m:sty m:val="p"/>
          </m:rPr>
          <m:t>≈</m:t>
        </m:r>
      </m:oMath>
      <w:r>
        <w:t xml:space="preserve"> </w:t>
      </w:r>
      <w:r>
        <w:t xml:space="preserve">497 (backward citation scan of anchor meta-analyses</w:t>
      </w:r>
      <w:r>
        <w:t xml:space="preserve"> </w:t>
      </w:r>
      <m:oMath>
        <m:r>
          <m:rPr>
            <m:sty m:val="p"/>
          </m:rPr>
          <m:t>≈</m:t>
        </m:r>
      </m:oMath>
      <w:r>
        <w:t xml:space="preserve"> </w:t>
      </w:r>
      <w:r>
        <w:t xml:space="preserve">478 + hand-search n = 19) to included k = 238, K = 288. Path B (expansion, in progress) is detailed below.</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$\geq$ 85%):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$\approx$ 478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$\approx$ 497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$\times$ performance signal  : n $\approx$ 1,200</w:t>
      </w:r>
      <w:r>
        <w:br/>
      </w:r>
      <w:r>
        <w:rPr>
          <w:rStyle w:val="VerbatimChar"/>
        </w:rPr>
        <w:t xml:space="preserve">    - Systematic reviews / meta-analyses            : n $\approx$   97</w:t>
      </w:r>
      <w:r>
        <w:br/>
      </w:r>
      <w:r>
        <w:rPr>
          <w:rStyle w:val="VerbatimChar"/>
        </w:rPr>
        <w:t xml:space="preserve">    - Qualitative / conceptual / medical            : n $\approx$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internationalization-to-performance)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to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 to 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(Path B expansion — screening ongoing): reasons:</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73"/>
    <w:bookmarkStart w:id="74" w:name="appendix-b-coding-protocol-7-moderators"/>
    <w:p>
      <w:pPr>
        <w:pStyle w:val="Heading2"/>
      </w:pPr>
      <w:r>
        <w:t xml:space="preserve">Appendix B, Coding Protocol (7 Moderators)</w:t>
      </w:r>
    </w:p>
    <w:tbl>
      <w:tblPr>
        <w:tblStyle w:val="Table"/>
        <w:tblW w:type="pct" w:w="5000"/>
        <w:tblLook w:firstRow="1" w:lastRow="0" w:firstColumn="0" w:lastColumn="0" w:noHBand="0" w:noVBand="0" w:val="0020"/>
        <w:jc w:val="start"/>
      </w:tblPr>
      <w:tblGrid>
        <w:gridCol w:w="2354"/>
        <w:gridCol w:w="2782"/>
        <w:gridCol w:w="2782"/>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FR: &lt; −0.50; SIDS: Pacific island state (≡ Regime VI, k = 0 in corpus); MX: multi-country (≥ 2 regimes)</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w:t>
            </w:r>
            <w:r>
              <w:t xml:space="preserve"> </w:t>
            </w:r>
            <w:r>
              <w:t xml:space="preserve">“</w:t>
            </w:r>
            <w:r>
              <w:t xml:space="preserve">pooled</w:t>
            </w:r>
            <w:r>
              <w:t xml:space="preserve">”</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74"/>
    <w:bookmarkStart w:id="75" w:name="Xf97f952f96803e451cdf304f81d710dfb198f95"/>
    <w:p>
      <w:pPr>
        <w:pStyle w:val="Heading2"/>
      </w:pPr>
      <w:r>
        <w:t xml:space="preserve">Appendix C, Consistency Check: MetaEssentials vs. </w:t>
      </w:r>
      <w:r>
        <w:rPr>
          <w:rStyle w:val="VerbatimChar"/>
        </w:rPr>
        <w:t xml:space="preserve">metafor</w:t>
      </w:r>
    </w:p>
    <w:tbl>
      <w:tblPr>
        <w:tblStyle w:val="Table"/>
        <w:tblW w:type="pct" w:w="5000"/>
        <w:tblLook w:firstRow="1" w:lastRow="0" w:firstColumn="0" w:lastColumn="0" w:noHBand="0" w:noVBand="0" w:val="0020"/>
        <w:jc w:val="start"/>
      </w:tblPr>
      <w:tblGrid>
        <w:gridCol w:w="1146"/>
        <w:gridCol w:w="3543"/>
        <w:gridCol w:w="323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w:t>
      </w:r>
      <w:r>
        <w:t xml:space="preserve"> </w:t>
      </w:r>
      <m:oMath>
        <m:sSup>
          <m:e>
            <m:r>
              <m:t>I</m:t>
            </m:r>
          </m:e>
          <m:sup>
            <m:r>
              <m:t>2</m:t>
            </m:r>
          </m:sup>
        </m:sSup>
      </m:oMath>
      <w:r>
        <w:t xml:space="preserve"> </w:t>
      </w:r>
      <w:r>
        <w:t xml:space="preserve">in the three-level model (62.4% vs. 87.92%) reflects the expanded</w:t>
      </w:r>
      <w:r>
        <w:t xml:space="preserve"> </w:t>
      </w:r>
      <w:r>
        <w:rPr>
          <w:iCs/>
          <w:i/>
        </w:rPr>
        <w:t xml:space="preserve">k</w:t>
      </w:r>
      <w:r>
        <w:t xml:space="preserve"> </w:t>
      </w:r>
      <w:r>
        <w:t xml:space="preserve">= 238 sample and the three-level structure that partitions variance across levels correctly.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w:t>
      </w:r>
      <w:r>
        <w:rPr>
          <w:iCs/>
          <w:i/>
        </w:rPr>
        <w:t xml:space="preserve"> </w:t>
      </w:r>
      <m:oMath>
        <m:r>
          <m:rPr>
            <m:sty m:val="p"/>
          </m:rPr>
          <m:t>≈</m:t>
        </m:r>
      </m:oMath>
      <w:r>
        <w:rPr>
          <w:iCs/>
          <w:i/>
        </w:rPr>
        <w:t xml:space="preserve"> </w:t>
      </w:r>
      <w:r>
        <w:rPr>
          <w:iCs/>
          <w:i/>
        </w:rPr>
        <w:t xml:space="preserve">6,900 words</w:t>
      </w:r>
      <w:r>
        <w:t xml:space="preserve"> </w:t>
      </w:r>
      <w:r>
        <w:rPr>
          <w:iCs/>
          <w:i/>
        </w:rPr>
        <w:t xml:space="preserve">Target journal: Management Review Quarterly (Springer; Scopus Q1), which specialises in systematic reviews and meta-analyses and accommodates comprehensive length. Analyses use the verified baseline corpus (k = 238 studies, K = 288 effect sizes); the formal WoS/Scopus search expansion is ongoing and will be incorporated at revision. Effect-size coding follows the standardized protocol (Appendix B).</w:t>
      </w:r>
    </w:p>
    <w:bookmarkEnd w:id="75"/>
    <w:bookmarkEnd w:id="7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2026-05-28T17:39:59Z</dcterms:created>
  <dcterms:modified xsi:type="dcterms:W3CDTF">2026-05-28T17:39:59Z</dcterms:modified>
</cp:coreProperties>
</file>

<file path=docProps/custom.xml><?xml version="1.0" encoding="utf-8"?>
<Properties xmlns="http://schemas.openxmlformats.org/officeDocument/2006/custom-properties" xmlns:vt="http://schemas.openxmlformats.org/officeDocument/2006/docPropsVTypes"/>
</file>