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64e4a3246bc11b3462ce47e63ec5f91058e1a53"/>
    <w:p>
      <w:pPr>
        <w:pStyle w:val="Heading1"/>
      </w:pPr>
      <w:r>
        <w:t xml:space="preserve">CHUYÊN ĐỀ TIẾN SĨ SỐ 1 — BẢN NHÁP ĐẦY ĐỦ (PHẦN 1: BÌA, TÓM TẮT, CHƯƠNG 1–3)</w:t>
      </w:r>
    </w:p>
    <w:p>
      <w:pPr>
        <w:pStyle w:val="BlockText"/>
      </w:pPr>
      <w:r>
        <w:t xml:space="preserve">Căn cứ Quyết định số 4768/QĐ-ĐHCT ngày 15/10/2024 (giao chuyên đề); Quyết định số 4769/QĐ-ĐHCT ngày 15/10/2024 (tên luận án — "Châu Á").</w:t>
      </w:r>
      <w:r>
        <w:t xml:space="preserve"> </w:t>
      </w:r>
      <w:r>
        <w:t xml:space="preserve">Outline tham chiếu:</w:t>
      </w:r>
      <w:r>
        <w:t xml:space="preserve"> </w:t>
      </w:r>
      <w:r>
        <w:rPr>
          <w:rStyle w:val="VerbatimChar"/>
        </w:rPr>
        <w:t xml:space="preserve">thesis/12_chuyen_de_1_outline_vi.md</w:t>
      </w:r>
      <w:r>
        <w:t xml:space="preserve">.</w:t>
      </w:r>
      <w:r>
        <w:t xml:space="preserve"> </w:t>
      </w:r>
      <w:r>
        <w:t xml:space="preserve">Phần 2:</w:t>
      </w:r>
      <w:r>
        <w:t xml:space="preserve"> </w:t>
      </w:r>
      <w:r>
        <w:rPr>
          <w:rStyle w:val="VerbatimChar"/>
        </w:rPr>
        <w:t xml:space="preserve">thesis/15_cd1_part2_findings_vi.md</w:t>
      </w:r>
      <w:r>
        <w:t xml:space="preserve"> </w:t>
      </w:r>
      <w:r>
        <w:t xml:space="preserve">· Phần 3:</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 </w:t>
      </w:r>
      <w:r>
        <w:t xml:space="preserve">· Chuẩn văn phong:</w:t>
      </w:r>
      <w:r>
        <w:t xml:space="preserve"> </w:t>
      </w:r>
      <w:r>
        <w:rPr>
          <w:rStyle w:val="VerbatimChar"/>
        </w:rPr>
        <w:t xml:space="preserve">thesis/09_academic_writing_standards_vi.md</w:t>
      </w:r>
      <w:r>
        <w:t xml:space="preserve">.</w:t>
      </w:r>
      <w:r>
        <w:t xml:space="preserve"> </w:t>
      </w:r>
      <w:r>
        <w:t xml:space="preserve">Hình minh họa:</w:t>
      </w:r>
      <w:r>
        <w:t xml:space="preserve"> </w:t>
      </w:r>
      <w:r>
        <w:rPr>
          <w:rStyle w:val="VerbatimChar"/>
        </w:rPr>
        <w:t xml:space="preserve">thesis/figures/</w:t>
      </w:r>
      <w:r>
        <w:t xml:space="preserve"> </w:t>
      </w:r>
      <w:r>
        <w:t xml:space="preserve">(11 hình).</w:t>
      </w:r>
    </w:p>
    <w:p>
      <w:r>
        <w:pict>
          <v:rect style="width:0;height:1.5pt" o:hralign="center" o:hrstd="t" o:hr="t"/>
        </w:pict>
      </w:r>
    </w:p>
    <w:bookmarkStart w:id="20" w:name="trang-bìa"/>
    <w:p>
      <w:pPr>
        <w:pStyle w:val="Heading2"/>
      </w:pPr>
      <w:r>
        <w:t xml:space="preserve">TRANG BÌA</w:t>
      </w:r>
    </w:p>
    <w:p>
      <w:pPr>
        <w:pStyle w:val="SourceCode"/>
      </w:pPr>
      <w:r>
        <w:rPr>
          <w:rStyle w:val="VerbatimChar"/>
        </w:rPr>
        <w:t xml:space="preserve">BỘ GIÁO DỤC VÀ ĐÀO TẠO</w:t>
      </w:r>
      <w:r>
        <w:br/>
      </w:r>
      <w:r>
        <w:rPr>
          <w:rStyle w:val="VerbatimChar"/>
        </w:rPr>
        <w:t xml:space="preserve">TRƯỜNG ĐẠI HỌC CẦN THƠ</w:t>
      </w:r>
      <w:r>
        <w:br/>
      </w:r>
      <w:r>
        <w:rPr>
          <w:rStyle w:val="VerbatimChar"/>
        </w:rPr>
        <w:t xml:space="preserve">TRƯỜNG KINH TẾ</w:t>
      </w:r>
      <w:r>
        <w:br/>
      </w:r>
      <w:r>
        <w:br/>
      </w:r>
      <w:r>
        <w:rPr>
          <w:rStyle w:val="VerbatimChar"/>
        </w:rPr>
        <w:t xml:space="preserve">─────────────</w:t>
      </w:r>
      <w:r>
        <w:br/>
      </w:r>
      <w:r>
        <w:br/>
      </w:r>
      <w:r>
        <w:rPr>
          <w:rStyle w:val="VerbatimChar"/>
        </w:rPr>
        <w:t xml:space="preserve">ĐỖ THÙY HƯƠNG</w:t>
      </w:r>
      <w:r>
        <w:br/>
      </w:r>
      <w:r>
        <w:br/>
      </w:r>
      <w:r>
        <w:rPr>
          <w:rStyle w:val="VerbatimChar"/>
        </w:rPr>
        <w:t xml:space="preserve">CHUYÊN ĐỀ TIẾN SĨ SỐ 1</w:t>
      </w:r>
      <w:r>
        <w:br/>
      </w:r>
      <w:r>
        <w:br/>
      </w:r>
      <w:r>
        <w:rPr>
          <w:rStyle w:val="VerbatimChar"/>
        </w:rPr>
        <w:t xml:space="preserve">THỰC TRẠNG VỀ HIỆU QUẢ HOẠT ĐỘNG KINH DOANH</w:t>
      </w:r>
      <w:r>
        <w:br/>
      </w:r>
      <w:r>
        <w:rPr>
          <w:rStyle w:val="VerbatimChar"/>
        </w:rPr>
        <w:t xml:space="preserve">CỦA CÁC DOANH NGHIỆP Ở CHÂU Á</w:t>
      </w:r>
      <w:r>
        <w:br/>
      </w:r>
      <w:r>
        <w:br/>
      </w:r>
      <w:r>
        <w:rPr>
          <w:rStyle w:val="VerbatimChar"/>
        </w:rPr>
        <w:t xml:space="preserve">Ngành: Quản trị kinh doanh</w:t>
      </w:r>
      <w:r>
        <w:br/>
      </w:r>
      <w:r>
        <w:rPr>
          <w:rStyle w:val="VerbatimChar"/>
        </w:rPr>
        <w:t xml:space="preserve">Mã ngành: 9340101</w:t>
      </w:r>
      <w:r>
        <w:br/>
      </w:r>
      <w:r>
        <w:rPr>
          <w:rStyle w:val="VerbatimChar"/>
        </w:rPr>
        <w:t xml:space="preserve">Mã nghiên cứu sinh: P1323001</w:t>
      </w:r>
      <w:r>
        <w:br/>
      </w:r>
      <w:r>
        <w:br/>
      </w:r>
      <w:r>
        <w:rPr>
          <w:rStyle w:val="VerbatimChar"/>
        </w:rPr>
        <w:t xml:space="preserve">NGƯỜI HƯỚNG DẪN KHOA HỌC</w:t>
      </w:r>
      <w:r>
        <w:br/>
      </w:r>
      <w:r>
        <w:rPr>
          <w:rStyle w:val="VerbatimChar"/>
        </w:rPr>
        <w:t xml:space="preserve">TS. NGUYỄN MINH CẢNH</w:t>
      </w:r>
      <w:r>
        <w:br/>
      </w:r>
      <w:r>
        <w:br/>
      </w:r>
      <w:r>
        <w:rPr>
          <w:rStyle w:val="VerbatimChar"/>
        </w:rPr>
        <w:t xml:space="preserve">Cần Thơ, năm 2026</w:t>
      </w:r>
    </w:p>
    <w:p>
      <w:r>
        <w:pict>
          <v:rect style="width:0;height:1.5pt" o:hralign="center" o:hrstd="t" o:hr="t"/>
        </w:pict>
      </w:r>
    </w:p>
    <w:bookmarkEnd w:id="20"/>
    <w:bookmarkStart w:id="21" w:name="lời-cam-đoan"/>
    <w:p>
      <w:pPr>
        <w:pStyle w:val="Heading2"/>
      </w:pPr>
      <w:r>
        <w:t xml:space="preserve">LỜI CAM ĐOAN</w:t>
      </w:r>
    </w:p>
    <w:p>
      <w:pPr>
        <w:pStyle w:val="FirstParagraph"/>
      </w:pPr>
      <w:r>
        <w:t xml:space="preserve">Tôi xin cam đoan chuyên đề tiến sĩ số 1 với tiêu đề "Thực trạng về hiệu quả hoạt động kinh doanh của các doanh nghiệp ở Châu Á" 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1"/>
    <w:bookmarkStart w:id="22" w:name="tóm-tắt"/>
    <w:p>
      <w:pPr>
        <w:pStyle w:val="Heading2"/>
      </w:pPr>
      <w:r>
        <w:t xml:space="preserve">TÓM TẮT</w:t>
      </w:r>
    </w:p>
    <w:p>
      <w:pPr>
        <w:pStyle w:val="FirstParagraph"/>
      </w:pPr>
      <w:r>
        <w:t xml:space="preserve">Chuyên đề này thực hiện phân tích mô tả – chẩn đoán (descriptive-diagnostic) thực trạng hiệu quả hoạt động kinh doanh của doanh nghiệp ở</w:t>
      </w:r>
      <w:r>
        <w:t xml:space="preserve"> </w:t>
      </w:r>
      <w:r>
        <w:rPr>
          <w:bCs/>
          <w:b/>
        </w:rPr>
        <w:t xml:space="preserve">các nền kinh tế châu Á (scope chính)</w:t>
      </w:r>
      <w:r>
        <w:t xml:space="preserve"> </w:t>
      </w:r>
      <w:r>
        <w:t xml:space="preserve">trong giai đoạn</w:t>
      </w:r>
      <w:r>
        <w:t xml:space="preserve"> </w:t>
      </w:r>
      <w:r>
        <w:rPr>
          <w:bCs/>
          <w:b/>
        </w:rPr>
        <w:t xml:space="preserve">2009–2025</w:t>
      </w:r>
      <w:r>
        <w:t xml:space="preserve">, mở rộng so sánh với SIDS Thái Bình Dương như trường hợp biên (boundary case extension). Cơ sở dữ liệu là</w:t>
      </w:r>
      <w:r>
        <w:t xml:space="preserve"> </w:t>
      </w:r>
      <w:r>
        <w:rPr>
          <w:bCs/>
          <w:b/>
        </w:rPr>
        <w:t xml:space="preserve">tổng hợp dữ liệu vi mô (pool) gồm 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 VEFR), bao trùm</w:t>
      </w:r>
      <w:r>
        <w:t xml:space="preserve"> </w:t>
      </w:r>
      <w:r>
        <w:rPr>
          <w:bCs/>
          <w:b/>
        </w:rPr>
        <w:t xml:space="preserve">47 nền kinh tế</w:t>
      </w:r>
      <w:r>
        <w:t xml:space="preserve"> </w:t>
      </w:r>
      <w:r>
        <w:t xml:space="preserve">với 6 phân nhóm con (sub-regime) theo khung Biến thiên chế độ bối cảnh thể chế (Institutional Context Regime Variation — ICRV): Advanced đổi mới sáng tạo dẫn dắt (innovation-driven, 5 nước), Advanced tài nguyên dẫn dắt (resource-driven, 5 nước), Upper-middle (6 nước), Emerging (7 nước), Frontier (17 nước), và Quốc đảo nhỏ Thái Bình Dương (Small Island Developing States — SIDS, 7 nước,</w:t>
      </w:r>
      <w:r>
        <w:t xml:space="preserve"> </w:t>
      </w:r>
      <w:r>
        <w:rPr>
          <w:bCs/>
          <w:b/>
        </w:rPr>
        <w:t xml:space="preserve">boundary case extension</w:t>
      </w:r>
      <w:r>
        <w:t xml:space="preserve">).</w:t>
      </w:r>
    </w:p>
    <w:p>
      <w:pPr>
        <w:pStyle w:val="BlockText"/>
      </w:pPr>
      <w:r>
        <w:rPr>
          <w:bCs/>
          <w:b/>
        </w:rPr>
        <w:t xml:space="preserve">Lưu ý phạm vi (scope clarification, v3.3)</w:t>
      </w:r>
      <w:r>
        <w:t xml:space="preserve">: Tiêu đề luận án theo Quyết định 4769/QĐ-ĐHCT (15/10/2024) tập trung</w:t>
      </w:r>
      <w:r>
        <w:t xml:space="preserve"> </w:t>
      </w:r>
      <w:r>
        <w:rPr>
          <w:bCs/>
          <w:b/>
        </w:rPr>
        <w:t xml:space="preserve">"Châu Á"</w:t>
      </w:r>
      <w:r>
        <w:t xml:space="preserve"> </w:t>
      </w:r>
      <w:r>
        <w:t xml:space="preserve">thuần. Pool 47 nền kinh tế bao gồm</w:t>
      </w:r>
      <w:r>
        <w:t xml:space="preserve"> </w:t>
      </w:r>
      <w:r>
        <w:rPr>
          <w:bCs/>
          <w:b/>
        </w:rPr>
        <w:t xml:space="preserve">41 nước châu Á (scope chính)</w:t>
      </w:r>
      <w:r>
        <w:t xml:space="preserve"> </w:t>
      </w:r>
      <w:r>
        <w:t xml:space="preserve">cộng</w:t>
      </w:r>
      <w:r>
        <w:t xml:space="preserve"> </w:t>
      </w:r>
      <w:r>
        <w:rPr>
          <w:bCs/>
          <w:b/>
        </w:rPr>
        <w:t xml:space="preserve">7 SIDS Thái Bình Dương (Fiji, Papua New Guinea, Solomon Islands, Tonga, Vanuatu, Samoa, Kiribati) như trường hợp biên mở rộng (boundary case extension)</w:t>
      </w:r>
      <w:r>
        <w:t xml:space="preserve"> </w:t>
      </w:r>
      <w:r>
        <w:t xml:space="preserve">theo khung phân loại "Asia and Pacific" của Asian Development Bank Regional Classification và World Bank East Asia and Pacific (EAP) Region. SIDS Pacific (n=1.371,</w:t>
      </w:r>
      <w:r>
        <w:t xml:space="preserve"> </w:t>
      </w:r>
      <w:r>
        <w:rPr>
          <w:bCs/>
          <w:b/>
        </w:rPr>
        <w:t xml:space="preserve">1,4% pool</w:t>
      </w:r>
      <w:r>
        <w:t xml:space="preserve">)</w:t>
      </w:r>
      <w:r>
        <w:t xml:space="preserve"> </w:t>
      </w:r>
      <w:r>
        <w:rPr>
          <w:bCs/>
          <w:b/>
        </w:rPr>
        <w:t xml:space="preserve">không thuộc scope chính</w:t>
      </w:r>
      <w:r>
        <w:t xml:space="preserve"> </w:t>
      </w:r>
      <w:r>
        <w:t xml:space="preserve">của tiêu đề mà được đưa vào để minh họa các pattern châu Á qua tương phản — đặc biệt H6 (forced internationalization penalty) trong CĐ2. Chi tiết phân tích firm-level cho SIDS Pacific được tách thành bản thảo P8 riêng (Đỗ &amp; Phan, đang chuẩn bị) để bảo đảm scope coherence cho luận án.</w:t>
      </w:r>
    </w:p>
    <w:p>
      <w:pPr>
        <w:pStyle w:val="FirstParagraph"/>
      </w:pPr>
      <w:r>
        <w:t xml:space="preserve">Phương pháp chủ đạo là thống kê mô tả đa chiều, kết hợp đồ thị, bảng so sánh xuyên quốc gia – xuyên ngành và phân tích hai biến (bivariate).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(dispersion)</w:t>
      </w:r>
      <w:r>
        <w:t xml:space="preserve"> </w:t>
      </w:r>
      <w:r>
        <w:t xml:space="preserve">lớn và không hội tụ. Bảy tiểu cảnh điển hình tồn tại đồng thời (Singapore – Vùng Vịnh Saudi/Qatar/Kuwait – Việt Nam – Trung Quốc – Emerging Asia – Mongolia — sáu tiểu cảnh trong scope chính; SIDS Thái Bình Dương — tiểu cảnh boundary case) với điểm mạnh hiệu quả khác nhau. Tương quan giữa các yếu tố giải thích sơ bộ với hiệu quả thay đổi dấu và cường độ giữa các nhóm thể chế, gợi ý sự cần thiết của các mô hình phi tuyến và điều tiết trong các nghiên cứu tiếp theo. Chuyên đề phát hiện</w:t>
      </w:r>
      <w:r>
        <w:t xml:space="preserve"> </w:t>
      </w:r>
      <w:r>
        <w:rPr>
          <w:bCs/>
          <w:b/>
        </w:rPr>
        <w:t xml:space="preserve">phân nhóm con Advanced</w:t>
      </w:r>
      <w:r>
        <w:t xml:space="preserve"> </w:t>
      </w:r>
      <w:r>
        <w:t xml:space="preserve">(innovation- so với resource-driven) trong scope chính và xác nhận pattern</w:t>
      </w:r>
      <w:r>
        <w:t xml:space="preserve"> </w:t>
      </w:r>
      <w:r>
        <w:rPr>
          <w:bCs/>
          <w:b/>
        </w:rPr>
        <w:t xml:space="preserve">gánh nặng quốc tế hóa bắt buộc (forced internationalization penalty)</w:t>
      </w:r>
      <w:r>
        <w:t xml:space="preserve"> </w:t>
      </w:r>
      <w:r>
        <w:t xml:space="preserve">ở 7 SIDS Thái Bình Dương boundary case —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trường hợp biên SIDS Thái Bình Dương.</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SIDS as a boundary case. The microdata pool contains</w:t>
      </w:r>
      <w:r>
        <w:t xml:space="preserve"> </w:t>
      </w:r>
      <w:r>
        <w:rPr>
          <w:bCs/>
          <w:b/>
        </w:rPr>
        <w:t xml:space="preserve">101,185 firms · 108 country-year pairs · 14 survey waves</w:t>
      </w:r>
      <w:r>
        <w:t xml:space="preserve"> </w:t>
      </w:r>
      <w:r>
        <w:t xml:space="preserve">from the World Bank Enterprise Surveys (WBES). Building on and extending the 17-economy pool of emerging Asia (~40,633 firms) previously published by the author (Do &amp; Phan, 2026 —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SIDS (7,</w:t>
      </w:r>
      <w:r>
        <w:t xml:space="preserve"> </w:t>
      </w:r>
      <w:r>
        <w:rPr>
          <w:bCs/>
          <w:b/>
        </w:rPr>
        <w:t xml:space="preserve">boundary case extension</w:t>
      </w:r>
      <w:r>
        <w:t xml:space="preserve">).</w:t>
      </w:r>
    </w:p>
    <w:p>
      <w:pPr>
        <w:pStyle w:val="BlockText"/>
      </w:pPr>
      <w:r>
        <w:rPr>
          <w:bCs/>
          <w:b/>
        </w:rPr>
        <w:t xml:space="preserve">Scope clarification (v3.3)</w:t>
      </w:r>
      <w:r>
        <w:t xml:space="preserve">: The dissertation title under Decision 4769/QĐ-ĐHCT (October 15, 2024) focuses on</w:t>
      </w:r>
      <w:r>
        <w:t xml:space="preserve"> </w:t>
      </w:r>
      <w:r>
        <w:rPr>
          <w:bCs/>
          <w:b/>
        </w:rPr>
        <w:t xml:space="preserve">"Asia"</w:t>
      </w:r>
      <w:r>
        <w:t xml:space="preserve"> </w:t>
      </w:r>
      <w:r>
        <w:t xml:space="preserve">proper. The 47-economy pool comprises</w:t>
      </w:r>
      <w:r>
        <w:t xml:space="preserve"> </w:t>
      </w:r>
      <w:r>
        <w:rPr>
          <w:bCs/>
          <w:b/>
        </w:rPr>
        <w:t xml:space="preserve">41 Asian economies (primary scope)</w:t>
      </w:r>
      <w:r>
        <w:t xml:space="preserve"> </w:t>
      </w:r>
      <w:r>
        <w:t xml:space="preserve">and</w:t>
      </w:r>
      <w:r>
        <w:t xml:space="preserve"> </w:t>
      </w:r>
      <w:r>
        <w:rPr>
          <w:bCs/>
          <w:b/>
        </w:rPr>
        <w:t xml:space="preserve">7 Pacific SIDS (Fiji, Papua New Guinea, Solomon Islands, Tonga, Vanuatu, Samoa, Kiribati) as a boundary case extension</w:t>
      </w:r>
      <w:r>
        <w:t xml:space="preserve"> </w:t>
      </w:r>
      <w:r>
        <w:t xml:space="preserve">under the Asian Development Bank's "Asia and Pacific" classification and the World Bank's East Asia and Pacific (EAP) Region. Pacific SIDS (n=1,371,</w:t>
      </w:r>
      <w:r>
        <w:t xml:space="preserve"> </w:t>
      </w:r>
      <w:r>
        <w:rPr>
          <w:bCs/>
          <w:b/>
        </w:rPr>
        <w:t xml:space="preserve">1.4% of pool</w:t>
      </w:r>
      <w:r>
        <w:t xml:space="preserve">) does NOT belong to the primary scope but is included to illuminate Asian patterns through contrast — particularly H6 (forced internationalization penalty) in Specialty Essay 2. Detailed firm-level analysis for Pacific SIDS is separated into manuscript P8 (Do &amp; Phan, in preparation, target</w:t>
      </w:r>
      <w:r>
        <w:t xml:space="preserve"> </w:t>
      </w:r>
      <w:r>
        <w:rPr>
          <w:iCs/>
          <w:i/>
        </w:rPr>
        <w:t xml:space="preserve">World Development</w:t>
      </w:r>
      <w:r>
        <w:t xml:space="preserve">) to maintain scope coherence for the dissertation.</w:t>
      </w:r>
    </w:p>
    <w:p>
      <w:pPr>
        <w:pStyle w:val="FirstParagraph"/>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 — orienting contributions for the dissertation and Specialty Essay 2.</w:t>
      </w:r>
    </w:p>
    <w:p>
      <w:pPr>
        <w:pStyle w:val="BodyText"/>
      </w:pPr>
      <w:r>
        <w:rPr>
          <w:bCs/>
          <w:b/>
        </w:rPr>
        <w:t xml:space="preserve">Keywords</w:t>
      </w:r>
      <w:r>
        <w:t xml:space="preserve">: firm performance; Asia; WBES; landscape; labor productivity; SMEs; Advanced sub-grouping; Pacific SIDS boundary case.</w:t>
      </w:r>
    </w:p>
    <w:p>
      <w:r>
        <w:pict>
          <v:rect style="width:0;height:1.5pt" o:hralign="center" o:hrstd="t" o:hr="t"/>
        </w:pict>
      </w:r>
    </w:p>
    <w:bookmarkEnd w:id="23"/>
    <w:bookmarkStart w:id="24" w:name="mục-lục"/>
    <w:p>
      <w:pPr>
        <w:pStyle w:val="Heading2"/>
      </w:pPr>
      <w:r>
        <w:t xml:space="preserve">MỤC LỤC</w:t>
      </w:r>
    </w:p>
    <w:p>
      <w:pPr>
        <w:pStyle w:val="FirstParagraph"/>
      </w:pPr>
      <w:r>
        <w:t xml:space="preserve">(Tự động tạo khi xuất Word/PDF từ markdown — căn cứ heading H2/H3.)</w:t>
      </w:r>
    </w:p>
    <w:p>
      <w:r>
        <w:pict>
          <v:rect style="width:0;height:1.5pt" o:hralign="center" o:hrstd="t" o:hr="t"/>
        </w:pict>
      </w:r>
    </w:p>
    <w:bookmarkEnd w:id="24"/>
    <w:bookmarkStart w:id="25" w:name="danh-mục-bảng"/>
    <w:p>
      <w:pPr>
        <w:pStyle w:val="Heading2"/>
      </w:pPr>
      <w:r>
        <w:t xml:space="preserve">DANH MỤC BẢNG</w:t>
      </w:r>
    </w:p>
    <w:p>
      <w:pPr>
        <w:pStyle w:val="FirstParagraph"/>
      </w:pPr>
      <w:r>
        <w:t xml:space="preserve">(Giữ nguyên từ v3.1 — 10 bảng từ §2.1 đến §6.1.)</w:t>
      </w:r>
    </w:p>
    <w:bookmarkEnd w:id="25"/>
    <w:bookmarkStart w:id="26" w:name="danh-mục-hình"/>
    <w:p>
      <w:pPr>
        <w:pStyle w:val="Heading2"/>
      </w:pPr>
      <w:r>
        <w:t xml:space="preserve">DANH MỤC HÌNH</w:t>
      </w:r>
    </w:p>
    <w:p>
      <w:pPr>
        <w:pStyle w:val="FirstParagraph"/>
      </w:pPr>
      <w:r>
        <w:t xml:space="preserve">(Giữ nguyên từ v3.1 — 11 hình bao gồm 6 hình mới tạo v3.0 ở</w:t>
      </w:r>
      <w:r>
        <w:t xml:space="preserve"> </w:t>
      </w:r>
      <w:r>
        <w:rPr>
          <w:rStyle w:val="VerbatimChar"/>
        </w:rPr>
        <w:t xml:space="preserve">thesis/figures/</w:t>
      </w:r>
      <w:r>
        <w:t xml:space="preserve">.)</w:t>
      </w:r>
    </w:p>
    <w:bookmarkEnd w:id="26"/>
    <w:bookmarkStart w:id="27" w:name="danh-mục-từ-viết-tắt"/>
    <w:p>
      <w:pPr>
        <w:pStyle w:val="Heading2"/>
      </w:pPr>
      <w:r>
        <w:t xml:space="preserve">DANH MỤC TỪ VIẾT TẮT</w:t>
      </w:r>
    </w:p>
    <w:p>
      <w:pPr>
        <w:pStyle w:val="FirstParagraph"/>
      </w:pPr>
      <w:r>
        <w:t xml:space="preserve">(Giữ nguyên từ v3.1b — 30+ acronyms với giải thích Việt-Anh.)</w:t>
      </w:r>
    </w:p>
    <w:p>
      <w:r>
        <w:pict>
          <v:rect style="width:0;height:1.5pt" o:hralign="center" o:hrstd="t" o:hr="t"/>
        </w:pict>
      </w:r>
    </w:p>
    <w:bookmarkEnd w:id="27"/>
    <w:bookmarkStart w:id="34" w:name="chương-1--giới-thiệu"/>
    <w:p>
      <w:pPr>
        <w:pStyle w:val="Heading2"/>
      </w:pPr>
      <w:r>
        <w:t xml:space="preserve">CHƯƠNG 1 — GIỚI THIỆU</w:t>
      </w:r>
    </w:p>
    <w:bookmarkStart w:id="28" w:name="X7d99df2d9d0c5141050eb9941026463f4c8ea2b"/>
    <w:p>
      <w:pPr>
        <w:pStyle w:val="Heading3"/>
      </w:pPr>
      <w:r>
        <w:t xml:space="preserve">1.1 Đặt vấn đề</w:t>
      </w:r>
    </w:p>
    <w:p>
      <w:pPr>
        <w:pStyle w:val="FirstParagraph"/>
      </w:pPr>
      <w:r>
        <w:t xml:space="preserve">Khu vực châu Á đã trở thành</w:t>
      </w:r>
      <w:r>
        <w:t xml:space="preserve"> </w:t>
      </w:r>
      <w:r>
        <w:rPr>
          <w:bCs/>
          <w:b/>
        </w:rPr>
        <w:t xml:space="preserve">động lực</w:t>
      </w:r>
      <w:r>
        <w:t xml:space="preserve"> </w:t>
      </w:r>
      <w:r>
        <w:t xml:space="preserve">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w:t>
      </w:r>
      <w:r>
        <w:t xml:space="preserve"> </w:t>
      </w:r>
      <w:r>
        <w:rPr>
          <w:bCs/>
          <w:b/>
        </w:rPr>
        <w:t xml:space="preserve">thịnh vượng</w:t>
      </w:r>
      <w:r>
        <w:t xml:space="preserve"> </w:t>
      </w:r>
      <w:r>
        <w:t xml:space="preserve">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 – 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w:t>
      </w:r>
      <w:r>
        <w:t xml:space="preserve">— IMF (2026, April) điều chỉnh giảm tăng trưởng toàn cầu xuống 3,1% năm 2026 và giảm dự báo Saudi Arabia mạnh từ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w:t>
      </w:r>
      <w:r>
        <w:t xml:space="preserve">dự báo Pacific 3,4%, Đông Nam Á 4,7%, Việt Nam 7,0%.</w:t>
      </w:r>
      <w:r>
        <w:t xml:space="preserve"> </w:t>
      </w:r>
      <w:r>
        <w:rPr>
          <w:bCs/>
          <w:b/>
        </w:rPr>
        <w:t xml:space="preserve">Riêng Việt Nam, ADB (2026, April — Vietnam Economic Outlook) ghi nhận GDP lịch sử 2025 đạt 8,0%</w:t>
      </w:r>
      <w:r>
        <w:t xml:space="preserve"> </w:t>
      </w:r>
      <w:r>
        <w:t xml:space="preserve">— mức cao nhất khu vực Đông Nam Á — và cập nhật dự báo</w:t>
      </w:r>
      <w:r>
        <w:t xml:space="preserve"> </w:t>
      </w:r>
      <w:r>
        <w:rPr>
          <w:bCs/>
          <w:b/>
        </w:rPr>
        <w:t xml:space="preserve">7,2% (2026) → 7,0% (2027)</w:t>
      </w:r>
      <w:r>
        <w:t xml:space="preserve"> </w:t>
      </w:r>
      <w:r>
        <w:t xml:space="preserve">(đường giảm 8,0% → 7,2% → 7,0%, vượt mức bình quân ASEAN 4,6% và Đông Nam Á 4,7%), với động lực từ FDI commitment $2,4 tỷ qua 18 dự án chiến lược (fintech, năng lượng sạch, logistics), năng suất lao động dự phóng +5,1% giai đoạn 2026-2027 và FDI manufacturing tiến vào "higher-value" stage.</w:t>
      </w:r>
      <w:r>
        <w:t xml:space="preserve"> </w:t>
      </w:r>
      <w:r>
        <w:rPr>
          <w:bCs/>
          <w:b/>
        </w:rPr>
        <w:t xml:space="preserve">Lớp thứ bảy là bất định chính sách thuế quan Mỹ 2026</w:t>
      </w:r>
      <w:r>
        <w:t xml:space="preserve"> </w:t>
      </w:r>
      <w:r>
        <w:t xml:space="preserve">— Mỹ chiếm xấp xỉ</w:t>
      </w:r>
      <w:r>
        <w:t xml:space="preserve"> </w:t>
      </w:r>
      <w:r>
        <w:rPr>
          <w:bCs/>
          <w:b/>
        </w:rPr>
        <w:t xml:space="preserve">30% tổng kim ngạch xuất khẩu Việt Nam</w:t>
      </w:r>
      <w:r>
        <w:t xml:space="preserve"> </w:t>
      </w:r>
      <w:r>
        <w:t xml:space="preserve">(đối tác thương mại lớn nhất); thuế toàn cầu 10% tạm thời áp dụng đầu 2026 (nguy cơ tăng lên 15% trong nửa cuối năm) tạo áp lực kép lên doanh nghiệp xuất khẩu châu Á: (a)</w:t>
      </w:r>
      <w:r>
        <w:t xml:space="preserve"> </w:t>
      </w:r>
      <w:r>
        <w:rPr>
          <w:bCs/>
          <w:b/>
        </w:rPr>
        <w:t xml:space="preserve">front-loading effect</w:t>
      </w:r>
      <w:r>
        <w:t xml:space="preserve"> </w:t>
      </w:r>
      <w:r>
        <w:t xml:space="preserve">— đẩy nhanh giao hàng ngắn hạn nhằm tận dụng cửa sổ thuế thấp, boost doanh thu 2025 (8,0%) nhưng làm giảm đà tăng trưởng 2026-2027; (b)</w:t>
      </w:r>
      <w:r>
        <w:t xml:space="preserve"> </w:t>
      </w:r>
      <w:r>
        <w:rPr>
          <w:bCs/>
          <w:b/>
        </w:rPr>
        <w:t xml:space="preserve">trì hoãn đầu tư</w:t>
      </w:r>
      <w:r>
        <w:t xml:space="preserve"> </w:t>
      </w:r>
      <w:r>
        <w:t xml:space="preserve">do bất định chính sách (policy uncertainty) → cắt giảm CapEx + R&amp;D; (c)</w:t>
      </w:r>
      <w:r>
        <w:t xml:space="preserve"> </w:t>
      </w:r>
      <w:r>
        <w:rPr>
          <w:bCs/>
          <w:b/>
        </w:rPr>
        <w:t xml:space="preserve">phân hóa giữa tập đoàn lớn và SME</w:t>
      </w:r>
      <w:r>
        <w:t xml:space="preserve"> </w:t>
      </w:r>
      <w:r>
        <w:t xml:space="preserve">— tập đoàn lớn có khả năng hấp thụ tariff cost cao hơn (đa thị trường, hedging tài chính, chuỗi cung ứng đa lớp); SME chịu áp lực biên lợi nhuận và phải lựa chọn giữa hấp thụ cost vs chuyển giá khách hàng (NotebookLM, 2026</w:t>
      </w:r>
      <w:r>
        <w:t xml:space="preserve"> </w:t>
      </w:r>
      <w:r>
        <w:rPr>
          <w:iCs/>
          <w:i/>
        </w:rPr>
        <w:t xml:space="preserve">Tariff Mỹ + Vietnam Macro Deep + Zombie Firms</w:t>
      </w:r>
      <w:r>
        <w:t xml:space="preserve"> </w:t>
      </w:r>
      <w:r>
        <w:t xml:space="preserve">07/05/2026; ADB Vietnam Economic Outlook 2026). Bảy lớp bối cảnh này tác động không đồng đều đến các nhóm nền kinh tế châu Á.</w:t>
      </w:r>
    </w:p>
    <w:p>
      <w:pPr>
        <w:pStyle w:val="BodyText"/>
      </w:pPr>
      <w:r>
        <w:t xml:space="preserve">Trong bối cảnh đó, hệ thống thông tin về hiệu quả doanh nghiệp châu Á còn phân mảnh. World Bank Enterprise Surveys (WBES) là cơ sở dữ liệu vi mô tin cậy và có tính so sánh xuyên quốc gia tốt nhất hiện có (World Bank Enterprise Surveys, 2025). Đỗ và Phan (2026 — VEFR) đã mở rộng phạm vi WBES đến 17 nền kinh tế châu Á mới nổi với ~40.633 doanh nghiệp, ghi nhận pattern "</w:t>
      </w:r>
      <w:r>
        <w:rPr>
          <w:bCs/>
          <w:b/>
        </w:rPr>
        <w:t xml:space="preserve">hiệu ứng lá chắn số (digital shield effect)</w:t>
      </w:r>
      <w:r>
        <w:t xml:space="preserve">". Tuy nhiên, vẫn còn ít có tổng hợp xuyên 47 nền kinh tế trên giai đoạn dài 2009–2025 sau khi hài hòa ba thế hệ khung dữ liệu (PICS3, WBES Standardized, BREADY/BEE).</w:t>
      </w:r>
    </w:p>
    <w:p>
      <w:pPr>
        <w:pStyle w:val="BodyText"/>
      </w:pPr>
      <w:r>
        <w:t xml:space="preserve">Vì vậy, chuyên đề này lấp khoảng trống thực tiễn bằng việc cập nhật</w:t>
      </w:r>
      <w:r>
        <w:t xml:space="preserve"> </w:t>
      </w:r>
      <w:r>
        <w:rPr>
          <w:bCs/>
          <w:b/>
        </w:rPr>
        <w:t xml:space="preserve">pattern điển hình (stylized facts)</w:t>
      </w:r>
      <w:r>
        <w:t xml:space="preserve"> </w:t>
      </w:r>
      <w:r>
        <w:t xml:space="preserve">đa chiều về hiệu quả doanh nghiệp châu Á. Tổng hợp dữ liệu (pool)</w:t>
      </w:r>
      <w:r>
        <w:t xml:space="preserve"> </w:t>
      </w:r>
      <w:r>
        <w:rPr>
          <w:bCs/>
          <w:b/>
        </w:rPr>
        <w:t xml:space="preserve">101.185 doanh nghiệp xuyên 47 nền kinh tế × 108 cặp quốc gia × năm × 14 mốc khảo sát</w:t>
      </w:r>
      <w:r>
        <w:t xml:space="preserve"> </w:t>
      </w:r>
      <w:r>
        <w:t xml:space="preserve">— gấp 2,5 lần phạm vi của Đỗ &amp; Phan (2026 — VEFR). Đây là phạm vi rộng nhất từng có cho nghiên cứu I→P trong văn liệu IB hiện hành. Năm 2025 có</w:t>
      </w:r>
      <w:r>
        <w:t xml:space="preserve"> </w:t>
      </w:r>
      <w:r>
        <w:rPr>
          <w:bCs/>
          <w:b/>
        </w:rPr>
        <w:t xml:space="preserve">14 đợt khảo sát với 17.107 doanh nghiệp</w:t>
      </w:r>
      <w:r>
        <w:t xml:space="preserve"> </w:t>
      </w:r>
      <w:r>
        <w:t xml:space="preserve">(gồm cả Kiribati 2025).</w:t>
      </w:r>
    </w:p>
    <w:p>
      <w:pPr>
        <w:pStyle w:val="BodyText"/>
      </w:pPr>
      <w:r>
        <w:rPr>
          <w:bCs/>
          <w:b/>
        </w:rPr>
        <w:t xml:space="preserve">Ẩn dụ Fiji vs Singapore</w:t>
      </w:r>
      <w:r>
        <w:t xml:space="preserve">: Trường hợp Fiji 2025 với tỷ lệ website 74,8%</w:t>
      </w:r>
      <w:r>
        <w:t xml:space="preserve"> </w:t>
      </w:r>
      <w:r>
        <w:rPr>
          <w:bCs/>
          <w:b/>
        </w:rPr>
        <w:t xml:space="preserve">vượt Singapore 66,1%</w:t>
      </w:r>
      <w:r>
        <w:t xml:space="preserve"> </w:t>
      </w:r>
      <w:r>
        <w:t xml:space="preserve">(xem Bảng 4.10 file 15) là minh họa rõ nhất cho ranh giới giữa "lý thuyết Uppsala vận hành ở điểm tối ưu" và "lý thuyết Uppsala bị biến dạng thành đường cong đảo ngược ở điều kiện biên". Đối với Fiji và 6 SIDS Pacific khác,</w:t>
      </w:r>
      <w:r>
        <w:t xml:space="preserve"> </w:t>
      </w:r>
      <w:r>
        <w:rPr>
          <w:bCs/>
          <w:b/>
        </w:rPr>
        <w:t xml:space="preserve">số hóa không phải công cụ tối ưu hóa chuỗi cung ứng mà là phương tiện sinh tồn — website không phải chiến lược marketing mà là cánh cửa duy nhất kết nối với thế giới</w:t>
      </w:r>
      <w:r>
        <w:t xml:space="preserve"> </w:t>
      </w:r>
      <w:r>
        <w:t xml:space="preserve">(NotebookLM, 2026</w:t>
      </w:r>
      <w:r>
        <w:t xml:space="preserve"> </w:t>
      </w:r>
      <w:r>
        <w:rPr>
          <w:iCs/>
          <w:i/>
        </w:rPr>
        <w:t xml:space="preserve">Bẫy đo lường số hóa Châu Á</w:t>
      </w:r>
      <w:r>
        <w:t xml:space="preserve">). Ẩn dụ này dẫn vào §2.6 (3 điều kiện cấu trúc của U-curve) và §5.7 (SIDS Pacific case file 16) — nơi điều kiện biên của lý thuyết Lu &amp; Beamish (2004) được thiết lập rõ ràng.</w:t>
      </w:r>
    </w:p>
    <w:bookmarkEnd w:id="28"/>
    <w:bookmarkStart w:id="29" w:name="X012475c43f7542007fcc3d21355a4e482bb8d09"/>
    <w:p>
      <w:pPr>
        <w:pStyle w:val="Heading3"/>
      </w:pPr>
      <w:r>
        <w:t xml:space="preserve">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boundary extension;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1"/>
        </w:numPr>
        <w:pStyle w:val="Compact"/>
      </w:pPr>
      <w:r>
        <w:t xml:space="preserve">Hệ thống hóa khái niệm và đa chiều đo lường hiệu quả hoạt động kinh doanh trong văn liệu hiện hành;</w:t>
      </w:r>
    </w:p>
    <w:p>
      <w:pPr>
        <w:numPr>
          <w:ilvl w:val="0"/>
          <w:numId w:val="1001"/>
        </w:numPr>
        <w:pStyle w:val="Compact"/>
      </w:pPr>
      <w:r>
        <w:t xml:space="preserve">Đề xuất khung phân loại 6 phân nhóm con ICRV cho 47 nền kinh tế (5 phân nhóm châu Á thuần + 1 phân nhóm boundary SIDS Pacific);</w:t>
      </w:r>
    </w:p>
    <w:p>
      <w:pPr>
        <w:numPr>
          <w:ilvl w:val="0"/>
          <w:numId w:val="1001"/>
        </w:numPr>
        <w:pStyle w:val="Compact"/>
      </w:pPr>
      <w:r>
        <w:t xml:space="preserve">Phân tích thực trạng đa chiều hiệu quả doanh nghiệp ở</w:t>
      </w:r>
      <w:r>
        <w:t xml:space="preserve"> </w:t>
      </w:r>
      <w:r>
        <w:rPr>
          <w:bCs/>
          <w:b/>
        </w:rPr>
        <w:t xml:space="preserve">41 nước châu Á (scope chính)</w:t>
      </w:r>
      <w:r>
        <w:t xml:space="preserve"> </w:t>
      </w:r>
      <w:r>
        <w:t xml:space="preserve">+ so sánh với 7 SIDS Pacific (boundary case);</w:t>
      </w:r>
    </w:p>
    <w:p>
      <w:pPr>
        <w:numPr>
          <w:ilvl w:val="0"/>
          <w:numId w:val="1001"/>
        </w:numPr>
        <w:pStyle w:val="Compact"/>
      </w:pPr>
      <w:r>
        <w:t xml:space="preserve">Nhận diện đặc điểm và yếu tố giải thích sơ bộ cho dị biệt hiệu quả giữa các phân nhóm thể chế và giữa các nhóm doanh nghiệp;</w:t>
      </w:r>
    </w:p>
    <w:p>
      <w:pPr>
        <w:numPr>
          <w:ilvl w:val="0"/>
          <w:numId w:val="1001"/>
        </w:numPr>
        <w:pStyle w:val="Compact"/>
      </w:pPr>
      <w:r>
        <w:t xml:space="preserve">Đề xuất khoảng trống thực tiễn để định hướng nghiên cứu tiếp theo.</w:t>
      </w:r>
    </w:p>
    <w:bookmarkEnd w:id="29"/>
    <w:bookmarkStart w:id="30" w:name="Xe563fa1990a777a08afe196c7fd775c01406ea2"/>
    <w:p>
      <w:pPr>
        <w:pStyle w:val="Heading3"/>
      </w:pPr>
      <w:r>
        <w:t xml:space="preserve">1.3 Phạm vi và đối tượng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Phân loại quy mô doanh nghiệp WBES chính thức</w:t>
      </w:r>
      <w:r>
        <w:t xml:space="preserve">: WBES sử dụng 4 nhóm quy mô tiêu chuẩn theo số lao động toàn thời gian + tạm thời:</w:t>
      </w:r>
      <w:r>
        <w:t xml:space="preserve"> </w:t>
      </w:r>
      <w:r>
        <w:rPr>
          <w:bCs/>
          <w:b/>
        </w:rPr>
        <w:t xml:space="preserve">Nhỏ (5-19 lao động)</w:t>
      </w:r>
      <w:r>
        <w:t xml:space="preserve">,</w:t>
      </w:r>
      <w:r>
        <w:t xml:space="preserve"> </w:t>
      </w:r>
      <w:r>
        <w:rPr>
          <w:bCs/>
          <w:b/>
        </w:rPr>
        <w:t xml:space="preserve">Vừa (20-99)</w:t>
      </w:r>
      <w:r>
        <w:t xml:space="preserve">,</w:t>
      </w:r>
      <w:r>
        <w:t xml:space="preserve"> </w:t>
      </w:r>
      <w:r>
        <w:rPr>
          <w:bCs/>
          <w:b/>
        </w:rPr>
        <w:t xml:space="preserve">Lớn (100+)</w:t>
      </w:r>
      <w:r>
        <w:t xml:space="preserve">,</w:t>
      </w:r>
      <w:r>
        <w:t xml:space="preserve"> </w:t>
      </w:r>
      <w:r>
        <w:rPr>
          <w:bCs/>
          <w:b/>
        </w:rPr>
        <w:t xml:space="preserve">Rất lớn (top 1% nền kinh tế)</w:t>
      </w:r>
      <w:r>
        <w:t xml:space="preserve">. Các kết quả mean/median trong CĐ1 sử dụng phân tầng này khi cần.</w:t>
      </w:r>
      <w:r>
        <w:t xml:space="preserve"> </w:t>
      </w:r>
      <w:r>
        <w:rPr>
          <w:bCs/>
          <w:b/>
        </w:rPr>
        <w:t xml:space="preserve">Bốn ngành loại trừ khỏi vũ trụ khảo sát WBES</w:t>
      </w:r>
      <w:r>
        <w:t xml:space="preserve">: tiện ích công cộng, dịch vụ chính phủ, chăm sóc sức khỏe và dịch vụ tài chính — vì các ngành này có cấu trúc thể chế đặc thù không phù hợp với khung phân tích doanh nghiệp tư nhân chính thức (cited World Bank, n.d. — Tài liệu tóm tắt chỉ số Enterprise Surveys; file 04 v2.5).</w:t>
      </w:r>
    </w:p>
    <w:p>
      <w:pPr>
        <w:pStyle w:val="BodyText"/>
      </w:pPr>
      <w:r>
        <w:rPr>
          <w:bCs/>
          <w:b/>
        </w:rPr>
        <w:t xml:space="preserve">Phạm vi không gian</w:t>
      </w:r>
      <w:r>
        <w:t xml:space="preserve">:</w:t>
      </w:r>
    </w:p>
    <w:p>
      <w:pPr>
        <w:pStyle w:val="BodyText"/>
      </w:pPr>
      <w:r>
        <w:rPr>
          <w:bCs/>
          <w:b/>
        </w:rPr>
        <w:t xml:space="preserve">A. Scope chính — 41 nước châu Á thuần</w:t>
      </w:r>
      <w:r>
        <w:t xml:space="preserve"> </w:t>
      </w:r>
      <w:r>
        <w:t xml:space="preserve">(theo tiêu đề luận án "Châu Á" trong Quyết định 4769/QĐ-ĐHCT 15/10/2024):</w:t>
      </w:r>
    </w:p>
    <w:p>
      <w:pPr>
        <w:numPr>
          <w:ilvl w:val="0"/>
          <w:numId w:val="1002"/>
        </w:numPr>
        <w:pStyle w:val="Compact"/>
      </w:pPr>
      <w:r>
        <w:rPr>
          <w:bCs/>
          <w:b/>
        </w:rPr>
        <w:t xml:space="preserve">(i) Advanced đổi mới sáng tạo dẫn dắt (innovation-driven, 5 nước)</w:t>
      </w:r>
      <w:r>
        <w:t xml:space="preserve">: Singapore, Hong Kong SAR, Hàn Quốc, Đài Loan, Israel.</w:t>
      </w:r>
    </w:p>
    <w:p>
      <w:pPr>
        <w:numPr>
          <w:ilvl w:val="0"/>
          <w:numId w:val="1002"/>
        </w:numPr>
        <w:pStyle w:val="Compact"/>
      </w:pPr>
      <w:r>
        <w:rPr>
          <w:bCs/>
          <w:b/>
        </w:rPr>
        <w:t xml:space="preserve">(ii) Advanced tài nguyên dẫn dắt (resource-driven, 5 nước)</w:t>
      </w:r>
      <w:r>
        <w:t xml:space="preserve">: Saudi Arabia, Qatar, Kuwait, Bahrain, Brunei.</w:t>
      </w:r>
    </w:p>
    <w:p>
      <w:pPr>
        <w:numPr>
          <w:ilvl w:val="0"/>
          <w:numId w:val="1002"/>
        </w:numPr>
        <w:pStyle w:val="Compact"/>
      </w:pPr>
      <w:r>
        <w:rPr>
          <w:bCs/>
          <w:b/>
        </w:rPr>
        <w:t xml:space="preserve">(iii) Upper-middle (6 nước)</w:t>
      </w:r>
      <w:r>
        <w:t xml:space="preserve">: Trung Quốc, Malaysia, Thái Lan, Kazakhstan, Armenia, Georgia.</w:t>
      </w:r>
    </w:p>
    <w:p>
      <w:pPr>
        <w:numPr>
          <w:ilvl w:val="0"/>
          <w:numId w:val="1002"/>
        </w:numPr>
        <w:pStyle w:val="Compact"/>
      </w:pPr>
      <w:r>
        <w:rPr>
          <w:bCs/>
          <w:b/>
        </w:rPr>
        <w:t xml:space="preserve">(iv) Emerging (7 nước)</w:t>
      </w:r>
      <w:r>
        <w:t xml:space="preserve">: Việt Nam, Indonesia, Philippines, Ấn Độ, Sri Lanka, Jordan, Mongolia.</w:t>
      </w:r>
    </w:p>
    <w:p>
      <w:pPr>
        <w:numPr>
          <w:ilvl w:val="0"/>
          <w:numId w:val="1002"/>
        </w:numPr>
        <w:pStyle w:val="Compact"/>
      </w:pPr>
      <w:r>
        <w:rPr>
          <w:bCs/>
          <w:b/>
        </w:rPr>
        <w:t xml:space="preserve">(v) Frontier (17 nước)</w:t>
      </w:r>
      <w:r>
        <w:t xml:space="preserve">: Bangladesh, Pakistan, Lào, Campuchia, Myanmar, Nepal, Bhutan, Maldives, Uzbekistan, Tajikistan, Kyrgyz Republic, Turkmenistan, Afghanistan, Timor-Leste, Iraq, Lebanon, Yemen.</w:t>
      </w:r>
    </w:p>
    <w:p>
      <w:pPr>
        <w:numPr>
          <w:ilvl w:val="0"/>
          <w:numId w:val="1002"/>
        </w:numPr>
        <w:pStyle w:val="Compact"/>
      </w:pPr>
      <w:r>
        <w:t xml:space="preserve">Cyprus được bao gồm trong nhóm Advanced (cụm Mediterranean — biên giới Đông – Tây Á về địa lý).</w:t>
      </w:r>
    </w:p>
    <w:p>
      <w:pPr>
        <w:pStyle w:val="BlockText"/>
      </w:pPr>
      <w:r>
        <w:rPr>
          <w:bCs/>
          <w:b/>
        </w:rPr>
        <w:t xml:space="preserve">Lưu ý phân biệt phạm vi ICRV vs WB geographic scope (v3.14)</w:t>
      </w:r>
      <w:r>
        <w:t xml:space="preserve">: Khung ICRV trong chuyên đề này bao gồm</w:t>
      </w:r>
      <w:r>
        <w:t xml:space="preserve"> </w:t>
      </w:r>
      <w:r>
        <w:rPr>
          <w:bCs/>
          <w:b/>
        </w:rPr>
        <w:t xml:space="preserve">47 nền kinh tế</w:t>
      </w:r>
      <w:r>
        <w:t xml:space="preserve"> </w:t>
      </w:r>
      <w:r>
        <w:t xml:space="preserve">với 5 phân nhóm châu Á thuần (gồm Kazakhstan/Armenia/Georgia trong Upper-middle; Kyrgyzstan/Tajikistan/Uzbekistan/Turkmenistan trong Frontier) vì các nền kinh tế này có dữ liệu WBES đầy đủ, mức độ dị biệt thể chế có giá trị phân tích và được xếp vào "Emerging/Central Asia" theo khung phân loại ADB + nhiều nghiên cứu IB. Tài liệu tham chiếu</w:t>
      </w:r>
      <w:r>
        <w:t xml:space="preserve"> </w:t>
      </w:r>
      <w:r>
        <w:rPr>
          <w:rStyle w:val="VerbatimChar"/>
        </w:rPr>
        <w:t xml:space="preserve">manuscripts/wb_country_classification_2025_2026.md</w:t>
      </w:r>
      <w:r>
        <w:t xml:space="preserve"> </w:t>
      </w:r>
      <w:r>
        <w:t xml:space="preserve">sử dụng phạm vi hẹp hơn: WB geographic regions EAP + SAS + MENAAP (không bao gồm ECA), phục vụ mục đích tra cứu phân loại thu nhập FY2026 WB Atlas Method — hai tài liệu phục vụ mục đích khác nhau. Để tra cứu chi tiết tình trạng WBES data availability cho từng nền kinh tế châu Á (Included vs. Excluded trong PhD + lý do), xem</w:t>
      </w:r>
      <w:r>
        <w:t xml:space="preserve"> </w:t>
      </w:r>
      <w:r>
        <w:rPr>
          <w:rStyle w:val="VerbatimChar"/>
        </w:rPr>
        <w:t xml:space="preserve">manuscripts/wbes_asia_country_scope.md</w:t>
      </w:r>
      <w:r>
        <w:t xml:space="preserve">.</w:t>
      </w:r>
    </w:p>
    <w:p>
      <w:pPr>
        <w:pStyle w:val="FirstParagraph"/>
      </w:pPr>
      <w:r>
        <w:rPr>
          <w:bCs/>
          <w:b/>
        </w:rPr>
        <w:t xml:space="preserve">B. Boundary case extension — 7 SIDS Thái Bình Dương</w:t>
      </w:r>
      <w:r>
        <w:t xml:space="preserve"> </w:t>
      </w:r>
      <w:r>
        <w:t xml:space="preserve">(theo khung "Asia and Pacific" của ADB Regional Classification và World Bank East Asia and Pacific Region):</w:t>
      </w:r>
    </w:p>
    <w:p>
      <w:pPr>
        <w:numPr>
          <w:ilvl w:val="0"/>
          <w:numId w:val="1003"/>
        </w:numPr>
        <w:pStyle w:val="Compact"/>
      </w:pPr>
      <w:r>
        <w:rPr>
          <w:bCs/>
          <w:b/>
        </w:rPr>
        <w:t xml:space="preserve">(vi) SIDS Thái Bình Dương (7 nước, n=1.371, 1,4% pool)</w:t>
      </w:r>
      <w:r>
        <w:t xml:space="preserve">: Fiji, Papua New Guinea, Solomon Islands, Tonga (gồm cả đợt 2024), Vanuatu, Samoa,</w:t>
      </w:r>
      <w:r>
        <w:t xml:space="preserve"> </w:t>
      </w:r>
      <w:r>
        <w:rPr>
          <w:bCs/>
          <w:b/>
        </w:rPr>
        <w:t xml:space="preserve">Kiribati (mới 2025)</w:t>
      </w:r>
      <w:r>
        <w:t xml:space="preserve">.</w:t>
      </w:r>
    </w:p>
    <w:p>
      <w:pPr>
        <w:pStyle w:val="FirstParagraph"/>
      </w:pPr>
      <w:r>
        <w:rPr>
          <w:bCs/>
          <w:b/>
        </w:rPr>
        <w:t xml:space="preserve">Lý do bao gồm SIDS Pacific như boundary case extension</w:t>
      </w:r>
      <w:r>
        <w:t xml:space="preserve"> </w:t>
      </w:r>
      <w:r>
        <w:t xml:space="preserve">(theo nguyên tắc</w:t>
      </w:r>
      <w:r>
        <w:t xml:space="preserve"> </w:t>
      </w:r>
      <w:r>
        <w:rPr>
          <w:iCs/>
          <w:i/>
        </w:rPr>
        <w:t xml:space="preserve">boundary condition explicit</w:t>
      </w:r>
      <w:r>
        <w:t xml:space="preserve"> </w:t>
      </w:r>
      <w:r>
        <w:t xml:space="preserve">của Bello &amp; Kostova, 2012, và</w:t>
      </w:r>
      <w:r>
        <w:t xml:space="preserve"> </w:t>
      </w:r>
      <w:r>
        <w:rPr>
          <w:iCs/>
          <w:i/>
        </w:rPr>
        <w:t xml:space="preserve">phenomenon-based scope</w:t>
      </w:r>
      <w:r>
        <w:t xml:space="preserve"> </w:t>
      </w:r>
      <w:r>
        <w:t xml:space="preserve">của Meyer et al., 2017):</w:t>
      </w:r>
    </w:p>
    <w:p>
      <w:pPr>
        <w:pStyle w:val="BodyText"/>
      </w:pPr>
      <w:r>
        <w:t xml:space="preserve">(a)</w:t>
      </w:r>
      <w:r>
        <w:t xml:space="preserve"> </w:t>
      </w:r>
      <w:r>
        <w:rPr>
          <w:bCs/>
          <w:b/>
        </w:rPr>
        <w:t xml:space="preserve">Khung "Asia and Pacific" thống nhất</w:t>
      </w:r>
      <w:r>
        <w:t xml:space="preserve"> </w:t>
      </w:r>
      <w:r>
        <w:t xml:space="preserve">của ADB Regional Classification (ADB, 2024) và World Bank EAP Region được áp dụng xuyên suốt các báo cáo thực tiễn — đảm bảo so sánh nhất quán với văn liệu IB hiện hành;</w:t>
      </w:r>
    </w:p>
    <w:p>
      <w:pPr>
        <w:pStyle w:val="BodyText"/>
      </w:pPr>
      <w:r>
        <w:t xml:space="preserve">(b)</w:t>
      </w:r>
      <w:r>
        <w:t xml:space="preserve"> </w:t>
      </w:r>
      <w:r>
        <w:rPr>
          <w:bCs/>
          <w:b/>
        </w:rPr>
        <w:t xml:space="preserve">WBES coverage</w:t>
      </w:r>
      <w:r>
        <w:t xml:space="preserve"> </w:t>
      </w:r>
      <w:r>
        <w:t xml:space="preserve">cho SIDS Pacific là phần dữ liệu Asia mà không có nguồn alternative chuẩn hóa khác — bảo đảm tính khả dụng dữ liệu so sánh xuyên quốc gia;</w:t>
      </w:r>
    </w:p>
    <w:p>
      <w:pPr>
        <w:pStyle w:val="BodyText"/>
      </w:pPr>
      <w:r>
        <w:t xml:space="preserve">(c)</w:t>
      </w:r>
      <w:r>
        <w:t xml:space="preserve"> </w:t>
      </w:r>
      <w:r>
        <w:rPr>
          <w:bCs/>
          <w:b/>
        </w:rPr>
        <w:t xml:space="preserve">Giá trị khoa học (scientific value)</w:t>
      </w:r>
      <w:r>
        <w:t xml:space="preserve">: SIDS Pacific là</w:t>
      </w:r>
      <w:r>
        <w:t xml:space="preserve"> </w:t>
      </w:r>
      <w:r>
        <w:rPr>
          <w:bCs/>
          <w:b/>
        </w:rPr>
        <w:t xml:space="preserve">trường hợp biên cực trị (extreme boundary case)</w:t>
      </w:r>
      <w:r>
        <w:t xml:space="preserve"> </w:t>
      </w:r>
      <w:r>
        <w:t xml:space="preserve">giúp minh họa và kiểm chứng patterns châu Á qua tương phản — đặc biệt H6 (forced internationalization penalty) trong Chuyên đề 2. Kiribati 2025 với FSTS 1,03%, FDI 0,7%, website 18,7% là extreme nhất pool (xem §5.7);</w:t>
      </w:r>
    </w:p>
    <w:p>
      <w:pPr>
        <w:pStyle w:val="BodyText"/>
      </w:pPr>
      <w:r>
        <w:t xml:space="preserve">(d)</w:t>
      </w:r>
      <w:r>
        <w:t xml:space="preserve"> </w:t>
      </w:r>
      <w:r>
        <w:rPr>
          <w:bCs/>
          <w:b/>
        </w:rPr>
        <w:t xml:space="preserve">Lý thuyết phenomenon-based</w:t>
      </w:r>
      <w:r>
        <w:t xml:space="preserve"> </w:t>
      </w:r>
      <w:r>
        <w:t xml:space="preserve">(Meyer et al., 2017): hiện tượng "isolated SIDS" (Kiribati extreme) làm sáng tỏ điều kiện biên của lý thuyết Uppsala (Johanson &amp; Vahlne, 1977) và liability of foreignness (Zaheer, 1995) ở scale cực nhỏ.</w:t>
      </w:r>
    </w:p>
    <w:p>
      <w:pPr>
        <w:pStyle w:val="BodyText"/>
      </w:pPr>
      <w:r>
        <w:rPr>
          <w:bCs/>
          <w:b/>
        </w:rPr>
        <w:t xml:space="preserve">Quan hệ SIDS Pacific với scope chính</w:t>
      </w:r>
      <w:r>
        <w:t xml:space="preserve">: SIDS Pacific (1,4% pool)</w:t>
      </w:r>
      <w:r>
        <w:t xml:space="preserve"> </w:t>
      </w:r>
      <w:r>
        <w:rPr>
          <w:bCs/>
          <w:b/>
        </w:rPr>
        <w:t xml:space="preserve">không phải scope chính</w:t>
      </w:r>
      <w:r>
        <w:t xml:space="preserve"> </w:t>
      </w:r>
      <w:r>
        <w:t xml:space="preserve">của tiêu đề luận án; được đưa vào với 3 vai trò minh họa:</w:t>
      </w:r>
    </w:p>
    <w:p>
      <w:pPr>
        <w:numPr>
          <w:ilvl w:val="0"/>
          <w:numId w:val="1004"/>
        </w:numPr>
        <w:pStyle w:val="Compact"/>
      </w:pPr>
      <w:r>
        <w:t xml:space="preserve">(i)</w:t>
      </w:r>
      <w:r>
        <w:t xml:space="preserve"> </w:t>
      </w:r>
      <w:r>
        <w:rPr>
          <w:bCs/>
          <w:b/>
        </w:rPr>
        <w:t xml:space="preserve">Trường hợp biên cực trị (extreme boundary case)</w:t>
      </w:r>
      <w:r>
        <w:t xml:space="preserve"> </w:t>
      </w:r>
      <w:r>
        <w:t xml:space="preserve">cho ICRV regime classification (§3.2);</w:t>
      </w:r>
    </w:p>
    <w:p>
      <w:pPr>
        <w:numPr>
          <w:ilvl w:val="0"/>
          <w:numId w:val="1004"/>
        </w:numPr>
        <w:pStyle w:val="Compact"/>
      </w:pPr>
      <w:r>
        <w:t xml:space="preserve">(ii)</w:t>
      </w:r>
      <w:r>
        <w:t xml:space="preserve"> </w:t>
      </w:r>
      <w:r>
        <w:rPr>
          <w:bCs/>
          <w:b/>
        </w:rPr>
        <w:t xml:space="preserve">Đối chứng (counterfactual)</w:t>
      </w:r>
      <w:r>
        <w:t xml:space="preserve"> </w:t>
      </w:r>
      <w:r>
        <w:t xml:space="preserve">cho pattern châu Á — đặc biệt §5.7 SIDS Thái Bình Dương và §7.3.1 (3) digital theatre;</w:t>
      </w:r>
    </w:p>
    <w:p>
      <w:pPr>
        <w:numPr>
          <w:ilvl w:val="0"/>
          <w:numId w:val="1004"/>
        </w:numPr>
        <w:pStyle w:val="Compact"/>
      </w:pPr>
      <w:r>
        <w:t xml:space="preserve">(iii)</w:t>
      </w:r>
      <w:r>
        <w:t xml:space="preserve"> </w:t>
      </w:r>
      <w:r>
        <w:rPr>
          <w:bCs/>
          <w:b/>
        </w:rPr>
        <w:t xml:space="preserve">Bằng chứng cho H6</w:t>
      </w:r>
      <w:r>
        <w:t xml:space="preserve"> </w:t>
      </w:r>
      <w:r>
        <w:t xml:space="preserve">(forced internationalization penalty) trong Chuyên đề 2.</w:t>
      </w:r>
    </w:p>
    <w:p>
      <w:pPr>
        <w:pStyle w:val="FirstParagraph"/>
      </w:pPr>
      <w:r>
        <w:rPr>
          <w:bCs/>
          <w:b/>
        </w:rPr>
        <w:t xml:space="preserve">Chi tiết phân tích firm-level cho SIDS Pacific</w:t>
      </w:r>
      <w:r>
        <w:t xml:space="preserve"> </w:t>
      </w:r>
      <w:r>
        <w:t xml:space="preserve">(gồm Kiribati extreme; Pacific MIRAB model — Bertram, 2006; vulnerability — Briguglio, 1995) được tách thành</w:t>
      </w:r>
      <w:r>
        <w:t xml:space="preserve"> </w:t>
      </w:r>
      <w:r>
        <w:rPr>
          <w:bCs/>
          <w:b/>
        </w:rPr>
        <w:t xml:space="preserve">bản thảo P8 riêng</w:t>
      </w:r>
      <w:r>
        <w:t xml:space="preserve"> </w:t>
      </w:r>
      <w:r>
        <w:t xml:space="preserve">(Đỗ &amp; Phan, đang chuẩn bị, target</w:t>
      </w:r>
      <w:r>
        <w:t xml:space="preserve"> </w:t>
      </w:r>
      <w:r>
        <w:rPr>
          <w:iCs/>
          <w:i/>
        </w:rPr>
        <w:t xml:space="preserve">World Development</w:t>
      </w:r>
      <w:r>
        <w:t xml:space="preserve">) để bảo đảm</w:t>
      </w:r>
      <w:r>
        <w:t xml:space="preserve"> </w:t>
      </w:r>
      <w:r>
        <w:rPr>
          <w:bCs/>
          <w:b/>
        </w:rPr>
        <w:t xml:space="preserve">scope coherence</w:t>
      </w:r>
      <w:r>
        <w:t xml:space="preserve"> </w:t>
      </w:r>
      <w:r>
        <w:t xml:space="preserve">cho luận án thuần "Châu Á" theo tiêu đề chính thức.</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2009–2016, 2018–2025). Bao trùm ba thế hệ khung dữ liệu WBES — PICS3 (2009–2012, n=14.335), Standardized (2013–2017, n=25.046), Standardized 2018+ với BREADY/BEE/EAP Core (2018–2025, n=61.804).</w:t>
      </w:r>
    </w:p>
    <w:p>
      <w:pPr>
        <w:pStyle w:val="BodyText"/>
      </w:pPr>
      <w:r>
        <w:rPr>
          <w:bCs/>
          <w:b/>
        </w:rPr>
        <w:t xml:space="preserve">Phạm vi nội dung</w:t>
      </w:r>
      <w:r>
        <w:t xml:space="preserve">: hiệu quả hoạt động kinh doanh đa chiều — năng suất lao động, lợi nhuận, tăng trưởng, đổi mới sáng tạo, cấu trúc doanh nghiệp.</w:t>
      </w:r>
    </w:p>
    <w:bookmarkEnd w:id="30"/>
    <w:bookmarkStart w:id="31" w:name="X8b6fdc9105bd29bb23273b6b47d8f7586b0ad85"/>
    <w:p>
      <w:pPr>
        <w:pStyle w:val="Heading3"/>
      </w:pPr>
      <w:r>
        <w:t xml:space="preserve">1.4 Phương pháp tiếp cận</w:t>
      </w:r>
    </w:p>
    <w:p>
      <w:pPr>
        <w:pStyle w:val="FirstParagraph"/>
      </w:pPr>
      <w:r>
        <w:t xml:space="preserve">Chuyên đề tiếp cận theo lối</w:t>
      </w:r>
      <w:r>
        <w:t xml:space="preserve"> </w:t>
      </w:r>
      <w:r>
        <w:rPr>
          <w:bCs/>
          <w:b/>
        </w:rPr>
        <w:t xml:space="preserve">mô tả – chẩn đoán</w:t>
      </w:r>
      <w:r>
        <w:t xml:space="preserve"> </w:t>
      </w:r>
      <w:r>
        <w:t xml:space="preserve">(descriptive-diagnostic), không thiết lập mô hình hồi quy đa biến để kiểm định nhân quả. Phương pháp này cung cấp bức tranh tổng thể đáng tin cậy làm nền tảng thực tiễn cho Chuyên đề 2 (mô hình lý thuyết và thực nghiêm) và luận án (kiểm định thực nghiệm).</w:t>
      </w:r>
    </w:p>
    <w:p>
      <w:pPr>
        <w:pStyle w:val="BodyText"/>
      </w:pPr>
      <w:r>
        <w:t xml:space="preserve">Cụ thể, chuyên đề kết hợp ba kỹ thuật: (a) thống kê mô tả đa biến (trung vị, trung bình, độ phân tán, kurtosis) theo phân nhóm thể chế và theo ngành; (b) trực quan hóa dữ liệu (heatmap, kernel density, spider chart, scatter plot — 11 hình); (c) phân tích hai biến (bivariate). Khung PESTEL bổ trợ ở cấp độ giải thích bối cảnh.</w:t>
      </w:r>
    </w:p>
    <w:p>
      <w:pPr>
        <w:pStyle w:val="BodyText"/>
      </w:pPr>
      <w:r>
        <w:rPr>
          <w:bCs/>
          <w:b/>
        </w:rPr>
        <w:t xml:space="preserve">Áp dụng nguyên tắc transparent data section của Aguinis et al. (2019 —</w:t>
      </w:r>
      <w:r>
        <w:rPr>
          <w:bCs/>
          <w:b/>
        </w:rPr>
        <w:t xml:space="preserve"> </w:t>
      </w:r>
      <w:r>
        <w:rPr>
          <w:iCs/>
          <w:i/>
          <w:bCs/>
          <w:b/>
        </w:rPr>
        <w:t xml:space="preserve">Journal of Management</w:t>
      </w:r>
      <w:r>
        <w:rPr>
          <w:bCs/>
          <w:b/>
        </w:rPr>
        <w:t xml:space="preserve">)</w:t>
      </w:r>
      <w:r>
        <w:t xml:space="preserve">: chuyên đề trình bày rõ (i) population definition (47 nền kinh tế Asia + Pacific với phân tách 41 vs 7); (ii) sampling procedure (WBES official sampling); (iii) sample size justification (pool 101.185); (iv) response rate (per WBES Country Profile each); (v) missing data handling (FSTS = d3b + d3c, winsorize 1/99); (vi) operationalization variables; (vii) reliability/validity (TCI = R&amp;D + ISO multi-component aspirational, DAI = website single-component v3.0, multi-component v3.2); (viii) estimation method (descriptive only in CĐ1; OLS + IV in CĐ2); (ix) standard errors (n/a CĐ1); (x) robustness (cross-validate with VEFR baseline 17 nước); (xi) open science (replication package</w:t>
      </w:r>
      <w:r>
        <w:t xml:space="preserve"> </w:t>
      </w:r>
      <w:r>
        <w:rPr>
          <w:rStyle w:val="VerbatimChar"/>
        </w:rPr>
        <w:t xml:space="preserve">wbes/</w:t>
      </w:r>
      <w:r>
        <w:t xml:space="preserve"> </w:t>
      </w:r>
      <w:r>
        <w:t xml:space="preserve">+</w:t>
      </w:r>
      <w:r>
        <w:t xml:space="preserve"> </w:t>
      </w:r>
      <w:r>
        <w:rPr>
          <w:rStyle w:val="VerbatimChar"/>
        </w:rPr>
        <w:t xml:space="preserve">papers/</w:t>
      </w:r>
      <w:r>
        <w:t xml:space="preserve"> </w:t>
      </w:r>
      <w:r>
        <w:t xml:space="preserve">+</w:t>
      </w:r>
      <w:r>
        <w:t xml:space="preserve"> </w:t>
      </w:r>
      <w:r>
        <w:rPr>
          <w:rStyle w:val="VerbatimChar"/>
        </w:rPr>
        <w:t xml:space="preserve">figures/</w:t>
      </w:r>
      <w:r>
        <w:t xml:space="preserve">); (xii) data sharing (WBES public + processed pool documented in Phụ lục E).</w:t>
      </w:r>
    </w:p>
    <w:p>
      <w:pPr>
        <w:pStyle w:val="BodyText"/>
      </w:pPr>
      <w:r>
        <w:rPr>
          <w:bCs/>
          <w:b/>
        </w:rPr>
        <w:t xml:space="preserve">Khung lý giải lý thuyết bổ sung — Kafouros et al. (2023 —</w:t>
      </w:r>
      <w:r>
        <w:rPr>
          <w:bCs/>
          <w:b/>
        </w:rPr>
        <w:t xml:space="preserve"> </w:t>
      </w:r>
      <w:r>
        <w:rPr>
          <w:iCs/>
          <w:i/>
          <w:bCs/>
          <w:b/>
        </w:rPr>
        <w:t xml:space="preserve">Global Strategy Journal</w:t>
      </w:r>
      <w:r>
        <w:rPr>
          <w:bCs/>
          <w:b/>
        </w:rPr>
        <w:t xml:space="preserve">)</w:t>
      </w:r>
      <w:r>
        <w:t xml:space="preserve">: Phương pháp descriptive được dẫn dắt bởi ba cơ chế (mechanisms) qua đó chất lượng thể chế tác động đến hiệu quả doanh nghiệp ở các nền kinh tế mới nổi: (a)</w:t>
      </w:r>
      <w:r>
        <w:t xml:space="preserve"> </w:t>
      </w:r>
      <w:r>
        <w:rPr>
          <w:bCs/>
          <w:b/>
        </w:rPr>
        <w:t xml:space="preserve">chi phí và mức độ dễ dàng nhận diện và thiết lập đối tác</w:t>
      </w:r>
      <w:r>
        <w:t xml:space="preserve"> </w:t>
      </w:r>
      <w:r>
        <w:t xml:space="preserve">(partnership identification) — giải thích vì sao DAI và mức độ tham gia website thay đổi mạnh xuyên các phân nhóm thể chế; (b)</w:t>
      </w:r>
      <w:r>
        <w:t xml:space="preserve"> </w:t>
      </w:r>
      <w:r>
        <w:rPr>
          <w:bCs/>
          <w:b/>
        </w:rPr>
        <w:t xml:space="preserve">hiệu lực của khung pháp lý và sở hữu trí tuệ</w:t>
      </w:r>
      <w:r>
        <w:t xml:space="preserve"> </w:t>
      </w:r>
      <w:r>
        <w:t xml:space="preserve">(legal framework effectiveness) — giải thích sự phân tán R&amp;D, ISO và TCI; (c)</w:t>
      </w:r>
      <w:r>
        <w:t xml:space="preserve"> </w:t>
      </w:r>
      <w:r>
        <w:rPr>
          <w:bCs/>
          <w:b/>
        </w:rPr>
        <w:t xml:space="preserve">trao đổi giữa các doanh nghiệp</w:t>
      </w:r>
      <w:r>
        <w:t xml:space="preserve"> </w:t>
      </w:r>
      <w:r>
        <w:t xml:space="preserve">(interfirm market exchange) — giải thích phân tán năng suất nội bộ. Khung 3 cơ chế này là cơ sở để CĐ2 thiết lập các mô hình điều tiết (moderation) cho giả thuyết H7 mới — tương tác giữa chất lượng thể chế và động học ngành (industry × institutional dynamism interaction).</w:t>
      </w:r>
    </w:p>
    <w:p>
      <w:pPr>
        <w:pStyle w:val="BodyText"/>
      </w:pPr>
      <w:r>
        <w:rPr>
          <w:bCs/>
          <w:b/>
        </w:rPr>
        <w:t xml:space="preserve">Khung 3 trụ cột bổ sung — IFC Private Sector Development Blueprint</w:t>
      </w:r>
      <w:r>
        <w:t xml:space="preserve">: Báo cáo IFC (n.d. — PSD Blueprint) phân tích WBES theo ba trụ cột bổ trợ cho Aguinis 12-point và Kafouros 3 mechanisms: (i)</w:t>
      </w:r>
      <w:r>
        <w:t xml:space="preserve"> </w:t>
      </w:r>
      <w:r>
        <w:rPr>
          <w:bCs/>
          <w:b/>
        </w:rPr>
        <w:t xml:space="preserve">nền tảng thể chế</w:t>
      </w:r>
      <w:r>
        <w:t xml:space="preserve"> </w:t>
      </w:r>
      <w:r>
        <w:t xml:space="preserve">(institutional foundations — qui định thuế, quyền sở hữu tài sản, giải quyết tranh chấp,</w:t>
      </w:r>
      <w:r>
        <w:t xml:space="preserve"> </w:t>
      </w:r>
      <w:r>
        <w:rPr>
          <w:bCs/>
          <w:b/>
        </w:rPr>
        <w:t xml:space="preserve">6 essential public transactions</w:t>
      </w:r>
      <w:r>
        <w:t xml:space="preserve">: cấp phép hoạt động, cấp phép xây dựng, kết nối điện, kết nối nước, cấp phép khảo sát đất, hoàn thuế VAT); (ii)</w:t>
      </w:r>
      <w:r>
        <w:t xml:space="preserve"> </w:t>
      </w:r>
      <w:r>
        <w:rPr>
          <w:bCs/>
          <w:b/>
        </w:rPr>
        <w:t xml:space="preserve">nguồn lực vận hành</w:t>
      </w:r>
      <w:r>
        <w:t xml:space="preserve"> </w:t>
      </w:r>
      <w:r>
        <w:t xml:space="preserve">(operational resources — lao động, tài chính, năng lượng, internet); (iii)</w:t>
      </w:r>
      <w:r>
        <w:t xml:space="preserve"> </w:t>
      </w:r>
      <w:r>
        <w:rPr>
          <w:bCs/>
          <w:b/>
        </w:rPr>
        <w:t xml:space="preserve">động lực thị trường</w:t>
      </w:r>
      <w:r>
        <w:t xml:space="preserve"> </w:t>
      </w:r>
      <w:r>
        <w:t xml:space="preserve">(market dynamics — cạnh tranh, FDI, xuất nhập khẩu). Đáng chú ý: doanh nghiệp xuất khẩu mất ~1 tuần để hoàn tất thủ tục (xuất) / ~2 tuần (nhập); ~40% doanh nghiệp coi thủ tục thương mại là rào cản lớn nhất (theo IFC analysis). Khung 3 trụ cột này là tham chiếu cho §6 yếu tố giải thích trong CĐ1 v3.x — bổ sung lăng kính phân tích doanh nghiệp WBES tách 3 chiều cấu trúc.</w:t>
      </w:r>
    </w:p>
    <w:p>
      <w:pPr>
        <w:pStyle w:val="BodyText"/>
      </w:pPr>
      <w:r>
        <w:rPr>
          <w:bCs/>
          <w:b/>
        </w:rPr>
        <w:t xml:space="preserve">Chi tiết phương pháp luận WBES Global</w:t>
      </w:r>
      <w:r>
        <w:t xml:space="preserve">: Áp dụng phương pháp lấy mẫu Global từ năm 2006 với ba nguyên tắc kỹ thuật: (a)</w:t>
      </w:r>
      <w:r>
        <w:t xml:space="preserve"> </w:t>
      </w:r>
      <w:r>
        <w:rPr>
          <w:bCs/>
          <w:b/>
        </w:rPr>
        <w:t xml:space="preserve">Trọng số lấy mẫu</w:t>
      </w:r>
      <w:r>
        <w:t xml:space="preserve"> </w:t>
      </w:r>
      <w:r>
        <w:t xml:space="preserve">(sampling weights): mọi giá trị trung bình và trung vị trong CĐ1 đều được tính có trọng số để phản ánh đúng tổng thể doanh nghiệp thực tế; (b)</w:t>
      </w:r>
      <w:r>
        <w:t xml:space="preserve"> </w:t>
      </w:r>
      <w:r>
        <w:rPr>
          <w:bCs/>
          <w:b/>
        </w:rPr>
        <w:t xml:space="preserve">Xử lý ngoại lai</w:t>
      </w:r>
      <w:r>
        <w:t xml:space="preserve"> </w:t>
      </w:r>
      <w:r>
        <w:t xml:space="preserve">(outliers): các phản hồi cực đoan được xác định bằng phương pháp chuyển đổi logarit và loại bỏ nếu nằm ngoài 3 độ lệch chuẩn so với trung bình, đồng thời winsorize log năng suất ở mức 1/99 phân vị trong cụm quốc gia × năm; (c)</w:t>
      </w:r>
      <w:r>
        <w:t xml:space="preserve"> </w:t>
      </w:r>
      <w:r>
        <w:rPr>
          <w:bCs/>
          <w:b/>
        </w:rPr>
        <w:t xml:space="preserve">Ngưỡng quan sát</w:t>
      </w:r>
      <w:r>
        <w:t xml:space="preserve">: tối thiểu 5 quan sát cho trung bình/trung vị và 30 quan sát cho tốc độ tăng trưởng; nếu không đủ → ghi "n.a." (không áp dụng). Các nguyên tắc này bảo đảm tính so sánh xuyên quốc gia và xuyên thời gian của 47 nền kinh tế trong pool 101.185 doanh nghiệp (cited World Bank, 2025 — Hệ thống phân loại quốc gia FY26 + n.d. — Tài liệu tóm tắt chỉ số Enterprise Surveys; file 04 v2.5).</w:t>
      </w:r>
    </w:p>
    <w:bookmarkEnd w:id="31"/>
    <w:bookmarkStart w:id="32" w:name="X29d3e5f599a740053129973f83287d859a1fc15"/>
    <w:p>
      <w:pPr>
        <w:pStyle w:val="Heading3"/>
      </w:pPr>
      <w:r>
        <w:t xml:space="preserve">1.5 Đóng góp dự kiến của chuyên đề</w:t>
      </w:r>
    </w:p>
    <w:p>
      <w:pPr>
        <w:pStyle w:val="FirstParagraph"/>
      </w:pPr>
      <w:r>
        <w:rPr>
          <w:bCs/>
          <w:b/>
        </w:rPr>
        <w:t xml:space="preserve">Bốn đóng góp scope chính cho 41 nước châu Á</w:t>
      </w:r>
      <w:r>
        <w:t xml:space="preserve">:</w:t>
      </w:r>
    </w:p>
    <w:p>
      <w:pPr>
        <w:pStyle w:val="BodyText"/>
      </w:pPr>
      <w:r>
        <w:t xml:space="preserve">(1)</w:t>
      </w:r>
      <w:r>
        <w:t xml:space="preserve"> </w:t>
      </w:r>
      <w:r>
        <w:rPr>
          <w:bCs/>
          <w:b/>
        </w:rPr>
        <w:t xml:space="preserve">Pattern điển hình (stylized facts)</w:t>
      </w:r>
      <w:r>
        <w:t xml:space="preserve"> </w:t>
      </w:r>
      <w:r>
        <w:t xml:space="preserve">đa chiều cho hiệu quả doanh nghiệp châu Á 2009–2025 — phạm vi rộng nhất trong văn liệu IB hiện hành (Wu et al., 2022 dừng ở 2020; Arte &amp; Larimo, 2022 dừng ở 2019). Việc bao gồm</w:t>
      </w:r>
      <w:r>
        <w:t xml:space="preserve"> </w:t>
      </w:r>
      <w:r>
        <w:rPr>
          <w:bCs/>
          <w:b/>
        </w:rPr>
        <w:t xml:space="preserve">dữ liệu năm 2025</w:t>
      </w:r>
      <w:r>
        <w:t xml:space="preserve"> </w:t>
      </w:r>
      <w:r>
        <w:t xml:space="preserve">cho 13 nước châu Á (Ấn Độ, Saudi Arabia, Thái Lan, Sri Lanka, Mongolia, Qatar, Afghanistan, Maldives, Brunei, Kuwait, Nepal, Solomon Islands*, Fiji*) đặt chuyên đề ở vị trí cập nhật nhất.</w:t>
      </w:r>
    </w:p>
    <w:p>
      <w:pPr>
        <w:pStyle w:val="BodyText"/>
      </w:pPr>
      <w:r>
        <w:t xml:space="preserve">(2)</w:t>
      </w:r>
      <w:r>
        <w:t xml:space="preserve"> </w:t>
      </w:r>
      <w:r>
        <w:rPr>
          <w:bCs/>
          <w:b/>
        </w:rPr>
        <w:t xml:space="preserve">Phân nhóm con Advanced</w:t>
      </w:r>
      <w:r>
        <w:t xml:space="preserve"> </w:t>
      </w:r>
      <w:r>
        <w:t xml:space="preserve">(innovation-driven so với resource-driven) — phát hiện lý thuyết MỚI chưa có trong văn liệu hiện hành (kể cả Đỗ &amp; Phan, 2026 — VEFR vốn chỉ tập trung emerging Asia). Tỷ số phân tán Singapore (1,03) so với Vùng Vịnh (0,49) ≈</w:t>
      </w:r>
      <w:r>
        <w:t xml:space="preserve"> </w:t>
      </w:r>
      <w:r>
        <w:rPr>
          <w:bCs/>
          <w:b/>
        </w:rPr>
        <w:t xml:space="preserve">2,1 lần</w:t>
      </w:r>
      <w:r>
        <w:t xml:space="preserve"> </w:t>
      </w:r>
      <w:r>
        <w:t xml:space="preserve">(xem §5.2 + Hình 4.1).</w:t>
      </w:r>
    </w:p>
    <w:p>
      <w:pPr>
        <w:pStyle w:val="BodyText"/>
      </w:pPr>
      <w:r>
        <w:t xml:space="preserve">(3)</w:t>
      </w:r>
      <w:r>
        <w:t xml:space="preserve"> </w:t>
      </w:r>
      <w:r>
        <w:rPr>
          <w:bCs/>
          <w:b/>
        </w:rPr>
        <w:t xml:space="preserve">Nhảy vọt số (digital leapfrog)</w:t>
      </w:r>
      <w:r>
        <w:t xml:space="preserve"> </w:t>
      </w:r>
      <w:r>
        <w:t xml:space="preserve">ở Frontier và Emerging châu Á 2018–2025 — mở rộng pattern hiệu ứng lá chắn số (digital shield effect) từ 17 nước (Đỗ &amp; Phan, 2026 — VEFR) lên 47 nước (xem §4.4 và §4.6). Phân tách hai tầng (Tier) đo lường —</w:t>
      </w:r>
      <w:r>
        <w:t xml:space="preserve"> </w:t>
      </w:r>
      <w:r>
        <w:rPr>
          <w:bCs/>
          <w:b/>
        </w:rPr>
        <w:t xml:space="preserve">Tier-1 Digital Presence</w:t>
      </w:r>
      <w:r>
        <w:t xml:space="preserve"> </w:t>
      </w:r>
      <w:r>
        <w:t xml:space="preserve">(website</w:t>
      </w:r>
      <w:r>
        <w:t xml:space="preserve"> </w:t>
      </w:r>
      <w:r>
        <w:rPr>
          <w:bCs/>
          <w:b/>
        </w:rPr>
        <w:t xml:space="preserve">nhị phân (binary)</w:t>
      </w:r>
      <w:r>
        <w:t xml:space="preserve"> </w:t>
      </w:r>
      <w:r>
        <w:t xml:space="preserve">có/không, đo trong Spec 1 2009–2025, đã</w:t>
      </w:r>
      <w:r>
        <w:t xml:space="preserve"> </w:t>
      </w:r>
      <w:r>
        <w:rPr>
          <w:bCs/>
          <w:b/>
        </w:rPr>
        <w:t xml:space="preserve">bão hòa (saturation)</w:t>
      </w:r>
      <w:r>
        <w:t xml:space="preserve"> </w:t>
      </w:r>
      <w:r>
        <w:t xml:space="preserve">ở Advanced từ trước 2018) vs</w:t>
      </w:r>
      <w:r>
        <w:t xml:space="preserve"> </w:t>
      </w:r>
      <w:r>
        <w:rPr>
          <w:bCs/>
          <w:b/>
        </w:rPr>
        <w:t xml:space="preserve">Tier-2 Digital Transformation</w:t>
      </w:r>
      <w:r>
        <w:t xml:space="preserve"> </w:t>
      </w:r>
      <w:r>
        <w:t xml:space="preserve">(DAI đa thành phần — multi-component, 5 thành phần: website + email + thanh toán di động (smartphone POS) + thương mại điện tử (e-commerce) + điện toán đám mây (cloud) — đo trong Spec 2 2018–2025) — minh bạch hóa rằng hệ số âm DAI ở Advanced trong Spec 1 (-0,129) là</w:t>
      </w:r>
      <w:r>
        <w:t xml:space="preserve"> </w:t>
      </w:r>
      <w:r>
        <w:rPr>
          <w:bCs/>
          <w:b/>
        </w:rPr>
        <w:t xml:space="preserve">biểu hiện giả tạo do bão hòa Tier-1 (artifact của Tier-1 saturation)</w:t>
      </w:r>
      <w:r>
        <w:t xml:space="preserve">, không phải "số hóa làm giảm năng suất ở Singapore/Hàn Quốc". Kiểm định loại trừ ICT (ICT exclusion test) ở §4.4.5 file 15 xác nhận đây là biểu hiện giả tạo: khi loại bỏ doanh nghiệp ICT khỏi Advanced phân nhóm đổi mới sáng tạo dẫn dắt, hệ số âm biến mất → biến website không còn</w:t>
      </w:r>
      <w:r>
        <w:t xml:space="preserve"> </w:t>
      </w:r>
      <w:r>
        <w:rPr>
          <w:bCs/>
          <w:b/>
        </w:rPr>
        <w:t xml:space="preserve">phân biệt (discriminate)</w:t>
      </w:r>
      <w:r>
        <w:t xml:space="preserve"> </w:t>
      </w:r>
      <w:r>
        <w:t xml:space="preserve">năng suất giữa các doanh nghiệp ở Advanced vì hầu hết đã có website từ lâu.</w:t>
      </w:r>
    </w:p>
    <w:p>
      <w:pPr>
        <w:pStyle w:val="BodyText"/>
      </w:pPr>
      <w:r>
        <w:t xml:space="preserve">(4)</w:t>
      </w:r>
      <w:r>
        <w:t xml:space="preserve"> </w:t>
      </w:r>
      <w:r>
        <w:rPr>
          <w:bCs/>
          <w:b/>
        </w:rPr>
        <w:t xml:space="preserve">Bằng chứng cho khung lý thuyết phi tuyến + điều tiết đa tầng</w:t>
      </w:r>
      <w:r>
        <w:t xml:space="preserve"> </w:t>
      </w:r>
      <w:r>
        <w:t xml:space="preserve">— bốn lần đảo dấu xuyên phân nhóm con thể chế (xem §6 và Hình 6.1) là cơ sở thực tiễn cho</w:t>
      </w:r>
      <w:r>
        <w:t xml:space="preserve"> </w:t>
      </w:r>
      <w:r>
        <w:rPr>
          <w:bCs/>
          <w:b/>
        </w:rPr>
        <w:t xml:space="preserve">6 giả thuyết H1-H6</w:t>
      </w:r>
      <w:r>
        <w:t xml:space="preserve"> </w:t>
      </w:r>
      <w:r>
        <w:t xml:space="preserve">của Chuyên đề 2. Bốn lần đảo dấu này được lý giải sâu hơn qua hai hướng lý thuyết bổ sung.</w:t>
      </w:r>
      <w:r>
        <w:t xml:space="preserve"> </w:t>
      </w:r>
      <w:r>
        <w:rPr>
          <w:bCs/>
          <w:b/>
        </w:rPr>
        <w:t xml:space="preserve">Thứ nhất</w:t>
      </w:r>
      <w:r>
        <w:t xml:space="preserve">,</w:t>
      </w:r>
      <w:r>
        <w:t xml:space="preserve"> </w:t>
      </w:r>
      <w:r>
        <w:rPr>
          <w:bCs/>
          <w:b/>
        </w:rPr>
        <w:t xml:space="preserve">Xu (2024 —</w:t>
      </w:r>
      <w:r>
        <w:rPr>
          <w:bCs/>
          <w:b/>
        </w:rPr>
        <w:t xml:space="preserve"> </w:t>
      </w:r>
      <w:r>
        <w:rPr>
          <w:iCs/>
          <w:i/>
          <w:bCs/>
          <w:b/>
        </w:rPr>
        <w:t xml:space="preserve">Global Strategy Journal</w:t>
      </w:r>
      <w:r>
        <w:rPr>
          <w:bCs/>
          <w:b/>
        </w:rPr>
        <w:t xml:space="preserve">)</w:t>
      </w:r>
      <w:r>
        <w:t xml:space="preserve"> </w:t>
      </w:r>
      <w:r>
        <w:t xml:space="preserve">phân tách "exposure de jure" (luật trên giấy) vs "enforcement de facto" (thực thi thực tế) — gợi ý rằng các điểm chuyển dấu cross-regime không thể chỉ giải thích bằng điểm số WGI hay khoảng cách thể chế tổng hợp; cần phân biệt formal rules và implementation capacity, đặc biệt cho Việt Nam, Trung Quốc, Indonesia, Mongolia có gap de jure–de facto lớn (xem §6 và §7.3.3).</w:t>
      </w:r>
      <w:r>
        <w:t xml:space="preserve"> </w:t>
      </w:r>
      <w:r>
        <w:rPr>
          <w:bCs/>
          <w:b/>
        </w:rPr>
        <w:t xml:space="preserve">Thứ hai</w:t>
      </w:r>
      <w:r>
        <w:t xml:space="preserve">,</w:t>
      </w:r>
      <w:r>
        <w:t xml:space="preserve"> </w:t>
      </w:r>
      <w:r>
        <w:rPr>
          <w:bCs/>
          <w:b/>
        </w:rPr>
        <w:t xml:space="preserve">Kafouros et al. (2023 —</w:t>
      </w:r>
      <w:r>
        <w:rPr>
          <w:bCs/>
          <w:b/>
        </w:rPr>
        <w:t xml:space="preserve"> </w:t>
      </w:r>
      <w:r>
        <w:rPr>
          <w:iCs/>
          <w:i/>
          <w:bCs/>
          <w:b/>
        </w:rPr>
        <w:t xml:space="preserve">Global Strategy Journal</w:t>
      </w:r>
      <w:r>
        <w:rPr>
          <w:bCs/>
          <w:b/>
        </w:rPr>
        <w:t xml:space="preserve">)</w:t>
      </w:r>
      <w:r>
        <w:t xml:space="preserve"> </w:t>
      </w:r>
      <w:r>
        <w:t xml:space="preserve">đề xuất chất lượng thể chế tương tác hai chiều với động học ngành — khuếch đại tích cực ở ngành công nghệ-động (technological dynamism) và suy yếu ở ngành thị trường-động (market dynamism). Hai hướng này mở đường cho</w:t>
      </w:r>
      <w:r>
        <w:t xml:space="preserve"> </w:t>
      </w:r>
      <w:r>
        <w:rPr>
          <w:bCs/>
          <w:b/>
        </w:rPr>
        <w:t xml:space="preserve">giả thuyết H7 mới của CĐ2</w:t>
      </w:r>
      <w:r>
        <w:t xml:space="preserve"> </w:t>
      </w:r>
      <w:r>
        <w:t xml:space="preserve">—</w:t>
      </w:r>
      <w:r>
        <w:t xml:space="preserve"> </w:t>
      </w:r>
      <w:r>
        <w:rPr>
          <w:iCs/>
          <w:i/>
        </w:rPr>
        <w:t xml:space="preserve">industry × institutional dynamism interaction effect</w:t>
      </w:r>
      <w:r>
        <w:t xml:space="preserve"> </w:t>
      </w:r>
      <w:r>
        <w:t xml:space="preserve">— và cho biểu đồ Bảng 4.8.1 dynamism profile theo Kafouros (xem §4.8 file 15).</w:t>
      </w:r>
    </w:p>
    <w:p>
      <w:pPr>
        <w:pStyle w:val="BodyText"/>
      </w:pPr>
      <w:r>
        <w:rPr>
          <w:bCs/>
          <w:b/>
        </w:rPr>
        <w:t xml:space="preserve">Một đóng góp boundary case mở rộng (SIDS Pacific)</w:t>
      </w:r>
      <w:r>
        <w:t xml:space="preserve">:</w:t>
      </w:r>
    </w:p>
    <w:p>
      <w:pPr>
        <w:pStyle w:val="BodyText"/>
      </w:pPr>
      <w:r>
        <w:t xml:space="preserve">(5)</w:t>
      </w:r>
      <w:r>
        <w:t xml:space="preserve"> </w:t>
      </w:r>
      <w:r>
        <w:rPr>
          <w:bCs/>
          <w:b/>
        </w:rPr>
        <w:t xml:space="preserve">Trường hợp biên (boundary case) gánh nặng quốc tế hóa bắt buộc (forced internationalization penalty)</w:t>
      </w:r>
      <w:r>
        <w:t xml:space="preserve"> </w:t>
      </w:r>
      <w:r>
        <w:t xml:space="preserve">ở</w:t>
      </w:r>
      <w:r>
        <w:t xml:space="preserve"> </w:t>
      </w:r>
      <w:r>
        <w:rPr>
          <w:bCs/>
          <w:b/>
        </w:rPr>
        <w:t xml:space="preserve">7 SIDS Thái Bình Dương</w:t>
      </w:r>
      <w:r>
        <w:t xml:space="preserve"> </w:t>
      </w:r>
      <w:r>
        <w:t xml:space="preserve">(Briguglio, 1995; Bertram, 2006) — bằng chứng firm-level đầu tiên trong văn liệu IB cho hiện tượng này (xem §5.7). Kiribati 2025 là extreme nhất với FSTS 1,03%, FDI 0,7%, website 18,7%.</w:t>
      </w:r>
      <w:r>
        <w:t xml:space="preserve"> </w:t>
      </w:r>
      <w:r>
        <w:rPr>
          <w:bCs/>
          <w:b/>
        </w:rPr>
        <w:t xml:space="preserve">Đóng góp này vượt scope chính của tiêu đề luận án nhưng làm sáng tỏ điều kiện biên của lý thuyết Uppsala</w:t>
      </w:r>
      <w:r>
        <w:t xml:space="preserve"> </w:t>
      </w:r>
      <w:r>
        <w:t xml:space="preserve">(Johanson &amp; Vahlne, 1977) — minh họa qua tương phản. Chi tiết phân tích cho SIDS Pacific tách thành bản thảo P8 riêng (Đỗ &amp; Phan, đang chuẩn bị, target</w:t>
      </w:r>
      <w:r>
        <w:t xml:space="preserve"> </w:t>
      </w:r>
      <w:r>
        <w:rPr>
          <w:iCs/>
          <w:i/>
        </w:rPr>
        <w:t xml:space="preserve">World Development</w:t>
      </w:r>
      <w:r>
        <w:t xml:space="preserve">).</w:t>
      </w:r>
    </w:p>
    <w:bookmarkEnd w:id="32"/>
    <w:bookmarkStart w:id="33" w:name="X8f32fe14739c8824c9cf91196bdfa0dcfd6905c"/>
    <w:p>
      <w:pPr>
        <w:pStyle w:val="Heading3"/>
      </w:pPr>
      <w:r>
        <w:t xml:space="preserve">1.6 Kết cấu chuyên đề</w:t>
      </w:r>
    </w:p>
    <w:p>
      <w:pPr>
        <w:pStyle w:val="FirstParagraph"/>
      </w:pPr>
      <w:r>
        <w:t xml:space="preserve">Chuyên đề gồm bảy chương: Ch.1 Giới thiệu; Ch.2 Cơ sở lý luận; Ch.3 Khung phân loại 6 phân nhóm con ICRV; Ch.4 Thực trạng từ WBES (10 mục §4.1-§4.10); Ch.5 Bảy tiểu cảnh điển hình (6 châu Á + 1 SIDS boundary case); Ch.6 Yếu tố giải thích sơ bộ; Ch.7 Khoảng trống thực tiễn và kết luận.</w:t>
      </w:r>
    </w:p>
    <w:p>
      <w:r>
        <w:pict>
          <v:rect style="width:0;height:1.5pt" o:hralign="center" o:hrstd="t" o:hr="t"/>
        </w:pict>
      </w:r>
    </w:p>
    <w:bookmarkEnd w:id="33"/>
    <w:bookmarkEnd w:id="34"/>
    <w:bookmarkStart w:id="37" w:name="X6a96fa224f36a19d68653d3e10335f396843985"/>
    <w:p>
      <w:pPr>
        <w:pStyle w:val="Heading2"/>
      </w:pPr>
      <w:r>
        <w:t xml:space="preserve">CHƯƠNG 2 — CƠ SỞ LÝ LUẬN VỀ HIỆU QUẢ HOẠT ĐỘNG KINH DOANH</w:t>
      </w:r>
    </w:p>
    <w:p>
      <w:pPr>
        <w:pStyle w:val="FirstParagraph"/>
      </w:pPr>
      <w:r>
        <w:t xml:space="preserve">(Giữ nguyên từ v3.0/3.1 — xem commit</w:t>
      </w:r>
      <w:r>
        <w:t xml:space="preserve"> </w:t>
      </w:r>
      <w:r>
        <w:rPr>
          <w:rStyle w:val="VerbatimChar"/>
        </w:rPr>
        <w:t xml:space="preserve">cd4276a</w:t>
      </w:r>
      <w:r>
        <w:t xml:space="preserve"> </w:t>
      </w:r>
      <w:r>
        <w:t xml:space="preserve">cho 5 tiểu mục đầy đủ §2.1-§2.5: khái niệm; chiều đo lường; meta-analysis; chuẩn hóa xuyên quốc gia; ba khung lý thuyết.)</w:t>
      </w:r>
    </w:p>
    <w:bookmarkStart w:id="35" w:name="X4c0732984da07cecc2bb03685008189b4ec6c8b"/>
    <w:p>
      <w:pPr>
        <w:pStyle w:val="Heading3"/>
      </w:pPr>
      <w:r>
        <w:t xml:space="preserve">§2.6 ĐIỀU KIỆN BIÊN CHO U-CURVE LU &amp; BEAMISH (2004)</w:t>
      </w:r>
    </w:p>
    <w:p>
      <w:pPr>
        <w:pStyle w:val="FirstParagraph"/>
      </w:pPr>
      <w:r>
        <w:t xml:space="preserve">NotebookLM podcast 06/05/2026</w:t>
      </w:r>
      <w:r>
        <w:t xml:space="preserve"> </w:t>
      </w:r>
      <w:r>
        <w:rPr>
          <w:iCs/>
          <w:i/>
        </w:rPr>
        <w:t xml:space="preserve">Bẫy đo lường số hóa Châu Á</w:t>
      </w:r>
      <w:r>
        <w:t xml:space="preserve"> </w:t>
      </w:r>
      <w:r>
        <w:t xml:space="preserve">khuyến nghị: việc nhét khái niệm "gánh nặng quốc tế hóa bắt buộc SIDS Pacific" vào §4.4 file 15 làm mờ ranh giới giữa hai loại điều tiết thể chế — (i) thể chế</w:t>
      </w:r>
      <w:r>
        <w:t xml:space="preserve"> </w:t>
      </w:r>
      <w:r>
        <w:rPr>
          <w:bCs/>
          <w:b/>
        </w:rPr>
        <w:t xml:space="preserve">điều tiết cường độ lợi nhuận</w:t>
      </w:r>
      <w:r>
        <w:t xml:space="preserve"> </w:t>
      </w:r>
      <w:r>
        <w:t xml:space="preserve">từ quốc tế hóa (U-curve operating); (ii) thể chế</w:t>
      </w:r>
      <w:r>
        <w:t xml:space="preserve"> </w:t>
      </w:r>
      <w:r>
        <w:rPr>
          <w:bCs/>
          <w:b/>
        </w:rPr>
        <w:t xml:space="preserve">quyết định sự tồn tại của quy luật U-curve</w:t>
      </w:r>
      <w:r>
        <w:t xml:space="preserve"> </w:t>
      </w:r>
      <w:r>
        <w:t xml:space="preserve">(boundary case). Cần thiết lập 3 điều kiện cấu trúc cho U-curve từ sớm trong Chương 2 thì khi Chương 4–5 phân tích sự thất bại, mảnh ghép sẽ hoàn hảo. SIDS Pacific là trường hợp</w:t>
      </w:r>
      <w:r>
        <w:t xml:space="preserve"> </w:t>
      </w:r>
      <w:r>
        <w:rPr>
          <w:bCs/>
          <w:b/>
        </w:rPr>
        <w:t xml:space="preserve">đường cong U ngược (Lu &amp; Beamish, 2004) bị biến dạng thành đường cong đảo ngược</w:t>
      </w:r>
      <w:r>
        <w:t xml:space="preserve"> </w:t>
      </w:r>
      <w:r>
        <w:t xml:space="preserve">— không phải dị biệt ngẫu nhiên mà là điều kiện biên (boundary condition — Bello &amp; Kostova, 2012) của lý thuyết.</w:t>
      </w:r>
    </w:p>
    <w:p>
      <w:pPr>
        <w:pStyle w:val="BodyText"/>
      </w:pPr>
      <w:r>
        <w:rPr>
          <w:bCs/>
          <w:b/>
        </w:rPr>
        <w:t xml:space="preserve">Ba điều kiện cấu trúc bắt buộc cho U-curve vận hành</w:t>
      </w:r>
      <w:r>
        <w:t xml:space="preserve"> </w:t>
      </w:r>
      <w:r>
        <w:t xml:space="preserve">(theoretical foundation cho Chương 4–5 file 15/16 + CĐ2 H6):</w:t>
      </w:r>
    </w:p>
    <w:p>
      <w:pPr>
        <w:pStyle w:val="BodyText"/>
      </w:pPr>
      <w:r>
        <w:t xml:space="preserve">(1)</w:t>
      </w:r>
      <w:r>
        <w:t xml:space="preserve"> </w:t>
      </w:r>
      <w:r>
        <w:rPr>
          <w:bCs/>
          <w:b/>
        </w:rPr>
        <w:t xml:space="preserve">Điều kiện thị trường nội địa khả thi</w:t>
      </w:r>
      <w:r>
        <w:t xml:space="preserve"> </w:t>
      </w:r>
      <w:r>
        <w:t xml:space="preserve">(viable domestic market): Doanh nghiệp có thể bán hàng nội địa ở quy mô đủ để tích lũy năng lực kinh doanh trước khi quốc tế hóa. Điều kiện này thỏa ở Singapore (5,9 triệu dân, GDP per capita ~</w:t>
      </w:r>
      <m:oMath>
        <m:r>
          <m:t>80.000</m:t>
        </m:r>
        <m:r>
          <m:rPr>
            <m:sty m:val="p"/>
          </m:rPr>
          <m:t>)</m:t>
        </m:r>
        <m:r>
          <m:rPr>
            <m:sty m:val="p"/>
          </m:rPr>
          <m:t>,</m:t>
        </m:r>
        <m:r>
          <m:t>T</m:t>
        </m:r>
        <m:r>
          <m:t>r</m:t>
        </m:r>
        <m:r>
          <m:t>u</m:t>
        </m:r>
        <m:r>
          <m:t>n</m:t>
        </m:r>
        <m:r>
          <m:t>g</m:t>
        </m:r>
        <m:r>
          <m:t>Q</m:t>
        </m:r>
        <m:r>
          <m:t>u</m:t>
        </m:r>
        <m:r>
          <m:t>ố</m:t>
        </m:r>
        <m:r>
          <m:t>c</m:t>
        </m:r>
        <m:d>
          <m:dPr>
            <m:begChr m:val="("/>
            <m:endChr m:val=")"/>
            <m:sepChr m:val=""/>
            <m:grow/>
          </m:dPr>
          <m:e>
            <m:r>
              <m:t>1</m:t>
            </m:r>
            <m:r>
              <m:rPr>
                <m:sty m:val="p"/>
              </m:rPr>
              <m:t>,</m:t>
            </m:r>
            <m:r>
              <m:t>4</m:t>
            </m:r>
            <m:r>
              <m:t>t</m:t>
            </m:r>
            <m:r>
              <m:t>ỷ</m:t>
            </m:r>
            <m:r>
              <m:t>d</m:t>
            </m:r>
            <m:r>
              <m:t>â</m:t>
            </m:r>
            <m:r>
              <m:t>n</m:t>
            </m:r>
          </m:e>
        </m:d>
        <m:r>
          <m:rPr>
            <m:sty m:val="p"/>
          </m:rPr>
          <m:t>,</m:t>
        </m:r>
        <m:r>
          <m:t>V</m:t>
        </m:r>
        <m:r>
          <m:t>i</m:t>
        </m:r>
        <m:r>
          <m:t>ệ</m:t>
        </m:r>
        <m:r>
          <m:t>t</m:t>
        </m:r>
        <m:r>
          <m:t>N</m:t>
        </m:r>
        <m:r>
          <m:t>a</m:t>
        </m:r>
        <m:r>
          <m:t>m</m:t>
        </m:r>
        <m:d>
          <m:dPr>
            <m:begChr m:val="("/>
            <m:endChr m:val=")"/>
            <m:sepChr m:val=""/>
            <m:grow/>
          </m:dPr>
          <m:e>
            <m:r>
              <m:t>98</m:t>
            </m:r>
            <m:r>
              <m:t>t</m:t>
            </m:r>
            <m:r>
              <m:t>r</m:t>
            </m:r>
            <m:r>
              <m:t>i</m:t>
            </m:r>
            <m:r>
              <m:t>ệ</m:t>
            </m:r>
            <m:r>
              <m:t>u</m:t>
            </m:r>
            <m:r>
              <m:t>d</m:t>
            </m:r>
            <m:r>
              <m:t>â</m:t>
            </m:r>
            <m:r>
              <m:t>n</m:t>
            </m:r>
          </m:e>
        </m:d>
        <m:r>
          <m:rPr>
            <m:sty m:val="p"/>
          </m:rPr>
          <m:t>,</m:t>
        </m:r>
        <m:r>
          <m:t>I</m:t>
        </m:r>
        <m:r>
          <m:t>n</m:t>
        </m:r>
        <m:r>
          <m:t>d</m:t>
        </m:r>
        <m:r>
          <m:t>o</m:t>
        </m:r>
        <m:r>
          <m:t>n</m:t>
        </m:r>
        <m:r>
          <m:t>e</m:t>
        </m:r>
        <m:r>
          <m:t>s</m:t>
        </m:r>
        <m:r>
          <m:t>i</m:t>
        </m:r>
        <m:r>
          <m:t>a</m:t>
        </m:r>
        <m:d>
          <m:dPr>
            <m:begChr m:val="("/>
            <m:endChr m:val=")"/>
            <m:sepChr m:val=""/>
            <m:grow/>
          </m:dPr>
          <m:e>
            <m:r>
              <m:t>273</m:t>
            </m:r>
            <m:r>
              <m:t>t</m:t>
            </m:r>
            <m:r>
              <m:t>r</m:t>
            </m:r>
            <m:r>
              <m:t>i</m:t>
            </m:r>
            <m:r>
              <m:t>ệ</m:t>
            </m:r>
            <m:r>
              <m:t>u</m:t>
            </m:r>
          </m:e>
        </m:d>
        <m:r>
          <m:rPr>
            <m:sty m:val="p"/>
          </m:rPr>
          <m:t>—</m:t>
        </m:r>
        <m:r>
          <m:t>K</m:t>
        </m:r>
        <m:r>
          <m:t>H</m:t>
        </m:r>
        <m:r>
          <m:t>Ô</m:t>
        </m:r>
        <m:r>
          <m:t>N</m:t>
        </m:r>
        <m:r>
          <m:t>G</m:t>
        </m:r>
        <m:r>
          <m:t>t</m:t>
        </m:r>
        <m:r>
          <m:t>h</m:t>
        </m:r>
        <m:r>
          <m:t>ỏ</m:t>
        </m:r>
        <m:r>
          <m:t>a</m:t>
        </m:r>
        <m:r>
          <m:t>ở</m:t>
        </m:r>
        <m:r>
          <m:t>K</m:t>
        </m:r>
        <m:r>
          <m:t>i</m:t>
        </m:r>
        <m:r>
          <m:t>r</m:t>
        </m:r>
        <m:r>
          <m:t>i</m:t>
        </m:r>
        <m:r>
          <m:t>b</m:t>
        </m:r>
        <m:r>
          <m:t>a</m:t>
        </m:r>
        <m:r>
          <m:t>t</m:t>
        </m:r>
        <m:r>
          <m:t>i</m:t>
        </m:r>
        <m:r>
          <m:rPr>
            <m:sty m:val="p"/>
          </m:rPr>
          <m:t>(</m:t>
        </m:r>
        <m:r>
          <m:t>130.000</m:t>
        </m:r>
        <m:r>
          <m:t>d</m:t>
        </m:r>
        <m:r>
          <m:t>â</m:t>
        </m:r>
        <m:r>
          <m:t>n</m:t>
        </m:r>
        <m:r>
          <m:rPr>
            <m:sty m:val="p"/>
          </m:rPr>
          <m:t>,</m:t>
        </m:r>
        <m:r>
          <m:t>G</m:t>
        </m:r>
        <m:r>
          <m:t>D</m:t>
        </m:r>
        <m:r>
          <m:t>P</m:t>
        </m:r>
        <m:r>
          <m:t>p</m:t>
        </m:r>
        <m:r>
          <m:t>e</m:t>
        </m:r>
        <m:r>
          <m:t>r</m:t>
        </m:r>
        <m:r>
          <m:t>c</m:t>
        </m:r>
        <m:r>
          <m:t>a</m:t>
        </m:r>
        <m:r>
          <m:t>p</m:t>
        </m:r>
        <m:r>
          <m:t>i</m:t>
        </m:r>
        <m:r>
          <m:t>t</m:t>
        </m:r>
        <m:r>
          <m:t>a</m:t>
        </m:r>
        <m:r>
          <m:t> </m:t>
        </m:r>
      </m:oMath>
      <w:r>
        <w:t xml:space="preserve">1.700), Tuvalu (~12.000 dân) hoặc Tonga (~106.000);</w:t>
      </w:r>
    </w:p>
    <w:p>
      <w:pPr>
        <w:pStyle w:val="BodyText"/>
      </w:pPr>
      <w:r>
        <w:t xml:space="preserve">(2)</w:t>
      </w:r>
      <w:r>
        <w:t xml:space="preserve"> </w:t>
      </w:r>
      <w:r>
        <w:rPr>
          <w:bCs/>
          <w:b/>
        </w:rPr>
        <w:t xml:space="preserve">Điều kiện chi phí thương mại kiểm soát được</w:t>
      </w:r>
      <w:r>
        <w:t xml:space="preserve"> </w:t>
      </w:r>
      <w:r>
        <w:t xml:space="preserve">(manageable trade costs): Logistics, vận tải biển/hàng không, regulations cho xuất nhập khẩu nằm trong khoảng kinh tế. Điều kiện này thỏa ở Châu Á đại lục — KHÔNG thỏa đầy đủ ở SIDS Pacific xa hub thương mại (Fiji-Auckland 2.100 km, Kiribati-Suva 2.700 km, không có direct flight thường xuyên; Vanuatu-Sydney 2.500 km);</w:t>
      </w:r>
    </w:p>
    <w:p>
      <w:pPr>
        <w:pStyle w:val="BodyText"/>
      </w:pPr>
      <w:r>
        <w:t xml:space="preserve">(3)</w:t>
      </w:r>
      <w:r>
        <w:t xml:space="preserve"> </w:t>
      </w:r>
      <w:r>
        <w:rPr>
          <w:bCs/>
          <w:b/>
        </w:rPr>
        <w:t xml:space="preserve">Điều kiện thể chế vận hành</w:t>
      </w:r>
      <w:r>
        <w:t xml:space="preserve"> </w:t>
      </w:r>
      <w:r>
        <w:t xml:space="preserve">(functional institutions): Khung pháp lý, IPR, contract enforcement, banking infrastructure ở mức tối thiểu cho hoạt động kinh doanh. Điều kiện này thỏa ở Advanced (Singapore, Korea, Israel) và Upper-middle (Trung Quốc, Malaysia) — KHÔNG thỏa đầy đủ ở SIDS isolated (Kiribati ISO 1,3%, FDI 0,7%) hay frontier conflict zones (Afghanistan, Yemen, Iraq); riêng nhóm Emerging có gap de jure–de facto lớn theo Xu (2024) gây bẫy chuyển hướng nguồn lực.</w:t>
      </w:r>
    </w:p>
    <w:p>
      <w:pPr>
        <w:pStyle w:val="BodyText"/>
      </w:pPr>
      <w:r>
        <w:rPr>
          <w:bCs/>
          <w:b/>
        </w:rPr>
        <w:t xml:space="preserve">Bảng 2.6.1</w:t>
      </w:r>
      <w:r>
        <w:t xml:space="preserve">.</w:t>
      </w:r>
      <w:r>
        <w:t xml:space="preserve"> </w:t>
      </w:r>
      <w:r>
        <w:rPr>
          <w:iCs/>
          <w:i/>
        </w:rPr>
        <w:t xml:space="preserve">Ma trận đối chiếu lý thuyết 3 trạng thái U-curve theo 3 điều kiện cấu trúc.</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optimal level cho hiệu quả tối đa (Lu &amp; Beamish, 2004)</w:t>
            </w:r>
          </w:p>
        </w:tc>
      </w:tr>
      <w:tr>
        <w:tc>
          <w:tcPr/>
          <w:p>
            <w:pPr>
              <w:pStyle w:val="Compact"/>
              <w:jc w:val="left"/>
            </w:pPr>
            <w:r>
              <w:rPr>
                <w:bCs/>
                <w:b/>
              </w:rPr>
              <w:t xml:space="preserve">B. Bẫy chuyển hướng nguồn lực (RDT)</w:t>
            </w:r>
          </w:p>
        </w:tc>
        <w:tc>
          <w:tcPr/>
          <w:p>
            <w:pPr>
              <w:pStyle w:val="Compact"/>
              <w:jc w:val="left"/>
            </w:pPr>
            <w:r>
              <w:t xml:space="preserve">Việt Nam, Indonesia, Trung Quốc, Mongolia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 Xu 2024)</w:t>
            </w:r>
          </w:p>
        </w:tc>
        <w:tc>
          <w:tcPr/>
          <w:p>
            <w:pPr>
              <w:pStyle w:val="Compact"/>
              <w:jc w:val="left"/>
            </w:pPr>
            <w:r>
              <w:t xml:space="preserve">U-curve vận hành nhưng có</w:t>
            </w:r>
            <w:r>
              <w:t xml:space="preserve"> </w:t>
            </w:r>
            <w:r>
              <w:rPr>
                <w:bCs/>
                <w:b/>
              </w:rPr>
              <w:t xml:space="preserve">bẫy chuyển hướng nguồn lực</w:t>
            </w:r>
            <w:r>
              <w:t xml:space="preserve"> </w:t>
            </w:r>
            <w:r>
              <w:t xml:space="preserve">(resource diversion trap) — chi phí thể chế thực thi &gt; lợi ích quốc tế hóa ở mức trung; cần ICRV phân biệt formal rules vs implementation capacity</w:t>
            </w:r>
          </w:p>
        </w:tc>
      </w:tr>
      <w:tr>
        <w:tc>
          <w:tcPr/>
          <w:p>
            <w:pPr>
              <w:pStyle w:val="Compact"/>
              <w:jc w:val="left"/>
            </w:pPr>
            <w:r>
              <w:rPr>
                <w:bCs/>
                <w:b/>
              </w:rPr>
              <w:t xml:space="preserve">C. Sự sụp đổ của đường cong</w:t>
            </w:r>
          </w:p>
        </w:tc>
        <w:tc>
          <w:tcPr/>
          <w:p>
            <w:pPr>
              <w:pStyle w:val="Compact"/>
              <w:jc w:val="left"/>
            </w:pPr>
            <w:r>
              <w:t xml:space="preserve">SIDS Pacific (Fiji, Kiribati, Tuvalu, Tonga)</w:t>
            </w:r>
          </w:p>
        </w:tc>
        <w:tc>
          <w:tcPr/>
          <w:p>
            <w:pPr>
              <w:pStyle w:val="Compact"/>
              <w:jc w:val="center"/>
            </w:pPr>
            <w:r>
              <w:t xml:space="preserve">✗</w:t>
            </w:r>
            <w:r>
              <w:t xml:space="preserve"> </w:t>
            </w:r>
            <w:r>
              <w:rPr>
                <w:iCs/>
                <w:i/>
              </w:rPr>
              <w:t xml:space="preserve">(thị trường &lt;1 triệu dân)</w:t>
            </w:r>
          </w:p>
        </w:tc>
        <w:tc>
          <w:tcPr/>
          <w:p>
            <w:pPr>
              <w:pStyle w:val="Compact"/>
              <w:jc w:val="center"/>
            </w:pPr>
            <w:r>
              <w:t xml:space="preserve">✗</w:t>
            </w:r>
            <w:r>
              <w:t xml:space="preserve"> </w:t>
            </w:r>
            <w:r>
              <w:rPr>
                <w:iCs/>
                <w:i/>
              </w:rPr>
              <w:t xml:space="preserve">(cô lập địa lý 2.000+ km tới hub)</w:t>
            </w:r>
          </w:p>
        </w:tc>
        <w:tc>
          <w:tcPr/>
          <w:p>
            <w:pPr>
              <w:pStyle w:val="Compact"/>
              <w:jc w:val="center"/>
            </w:pPr>
            <w:r>
              <w:t xml:space="preserve">⚠–✗</w:t>
            </w:r>
            <w:r>
              <w:t xml:space="preserve"> </w:t>
            </w:r>
            <w:r>
              <w:rPr>
                <w:iCs/>
                <w:i/>
              </w:rPr>
              <w:t xml:space="preserve">(ISO &lt;2%, banking limited)</w:t>
            </w:r>
          </w:p>
        </w:tc>
        <w:tc>
          <w:tcPr/>
          <w:p>
            <w:pPr>
              <w:pStyle w:val="Compact"/>
              <w:jc w:val="left"/>
            </w:pPr>
            <w:r>
              <w:rPr>
                <w:bCs/>
                <w:b/>
              </w:rPr>
              <w:t xml:space="preserve">U-curve không vận hành</w:t>
            </w:r>
            <w:r>
              <w:t xml:space="preserve"> </w:t>
            </w:r>
            <w:r>
              <w:t xml:space="preserve">— quốc tế hóa là</w:t>
            </w:r>
            <w:r>
              <w:t xml:space="preserve"> </w:t>
            </w:r>
            <w:r>
              <w:rPr>
                <w:bCs/>
                <w:b/>
              </w:rPr>
              <w:t xml:space="preserve">buộc phải</w:t>
            </w:r>
            <w:r>
              <w:t xml:space="preserve"> </w:t>
            </w:r>
            <w:r>
              <w:t xml:space="preserve">(forced internationalization penalty Briguglio 1995; Bertram 2006); Fiji 74,8% website &gt; Singapore 66% là minh chứng</w:t>
            </w:r>
          </w:p>
        </w:tc>
      </w:tr>
    </w:tbl>
    <w:p>
      <w:pPr>
        <w:pStyle w:val="BodyText"/>
      </w:pPr>
      <w:r>
        <w:rPr>
          <w:bCs/>
          <w:b/>
        </w:rPr>
        <w:t xml:space="preserve">Tham chiếu</w:t>
      </w:r>
      <w:r>
        <w:t xml:space="preserve">: Lu &amp; Beamish (2004); Briguglio (1995); Bertram (2006); Bello &amp; Kostova (2012); Cuervo-Cazurra et al. (2018); Banalieva &amp; Dhanaraj (2019); Xu (2024) cho de jure–de facto gap ở trạng thái B; NotebookLM (2026,</w:t>
      </w:r>
      <w:r>
        <w:t xml:space="preserve"> </w:t>
      </w:r>
      <w:r>
        <w:rPr>
          <w:iCs/>
          <w:i/>
        </w:rPr>
        <w:t xml:space="preserve">Bẫy đo lường số hóa Châu Á</w:t>
      </w:r>
      <w:r>
        <w:t xml:space="preserve">).</w:t>
      </w:r>
    </w:p>
    <w:p>
      <w:pPr>
        <w:pStyle w:val="BodyText"/>
      </w:pPr>
      <w:r>
        <w:t xml:space="preserve">Ma trận 3 trạng thái này thiết lập</w:t>
      </w:r>
      <w:r>
        <w:t xml:space="preserve"> </w:t>
      </w:r>
      <w:r>
        <w:rPr>
          <w:bCs/>
          <w:b/>
        </w:rPr>
        <w:t xml:space="preserve">tiền đề lý thuyết bắt buộc</w:t>
      </w:r>
      <w:r>
        <w:t xml:space="preserve"> </w:t>
      </w:r>
      <w:r>
        <w:t xml:space="preserve">cho:</w:t>
      </w:r>
    </w:p>
    <w:p>
      <w:pPr>
        <w:numPr>
          <w:ilvl w:val="0"/>
          <w:numId w:val="1005"/>
        </w:numPr>
        <w:pStyle w:val="Compact"/>
      </w:pPr>
      <w:r>
        <w:rPr>
          <w:bCs/>
          <w:b/>
        </w:rPr>
        <w:t xml:space="preserve">§3 ICRV regime classification</w:t>
      </w:r>
      <w:r>
        <w:t xml:space="preserve">: Singapore = Advanced innovation (trạng thái A); Việt Nam = Emerging (trạng thái B); SIDS Pacific = boundary case extension (trạng thái C) — tách 3 trạng thái thay vì gộp;</w:t>
      </w:r>
    </w:p>
    <w:p>
      <w:pPr>
        <w:numPr>
          <w:ilvl w:val="0"/>
          <w:numId w:val="1005"/>
        </w:numPr>
        <w:pStyle w:val="Compact"/>
      </w:pPr>
      <w:r>
        <w:rPr>
          <w:bCs/>
          <w:b/>
        </w:rPr>
        <w:t xml:space="preserve">§5.2 (Singapore archetype)</w:t>
      </w:r>
      <w:r>
        <w:t xml:space="preserve"> </w:t>
      </w:r>
      <w:r>
        <w:t xml:space="preserve">+</w:t>
      </w:r>
      <w:r>
        <w:t xml:space="preserve"> </w:t>
      </w:r>
      <w:r>
        <w:rPr>
          <w:bCs/>
          <w:b/>
        </w:rPr>
        <w:t xml:space="preserve">§5.7 (Pacific SIDS case)</w:t>
      </w:r>
      <w:r>
        <w:t xml:space="preserve"> </w:t>
      </w:r>
      <w:r>
        <w:t xml:space="preserve">trong file 16;</w:t>
      </w:r>
    </w:p>
    <w:p>
      <w:pPr>
        <w:numPr>
          <w:ilvl w:val="0"/>
          <w:numId w:val="1005"/>
        </w:numPr>
        <w:pStyle w:val="Compact"/>
      </w:pPr>
      <w:r>
        <w:rPr>
          <w:bCs/>
          <w:b/>
        </w:rPr>
        <w:t xml:space="preserve">CĐ2 H6 (forced internationalization penalty)</w:t>
      </w:r>
      <w:r>
        <w:t xml:space="preserve">: dự đoán ở SIDS Pacific (trạng thái C), FSTS KHÔNG correlate với năng suất vì U-curve không vận hành — hệ số FSTS ở SIDS sẽ không-significant hoặc đảo dấu so với Advanced/Emerging.</w:t>
      </w:r>
    </w:p>
    <w:bookmarkEnd w:id="35"/>
    <w:bookmarkStart w:id="36" w:name="X5b689c7d2dbcc4ff74ca289d1b9bebaa55c18a2"/>
    <w:p>
      <w:pPr>
        <w:pStyle w:val="Heading3"/>
      </w:pPr>
      <w:r>
        <w:t xml:space="preserve">§2.7 KHUNG 4-TIER CHUYỂN ĐỔI SỐ + MÔ HÌNH NĂNG LỰC SỐ PHỤ THUỘC BỐI CẢNH</w:t>
      </w:r>
    </w:p>
    <w:p>
      <w:pPr>
        <w:pStyle w:val="FirstParagraph"/>
      </w:pPr>
      <w:r>
        <w:t xml:space="preserve">NotebookLM critique 08/05/2026 (đối chiếu hai bản thảo của tác giả: P3 Singapore — Mar et al., 2026,</w:t>
      </w:r>
      <w:r>
        <w:t xml:space="preserve"> </w:t>
      </w:r>
      <w:r>
        <w:rPr>
          <w:iCs/>
          <w:i/>
        </w:rPr>
        <w:t xml:space="preserve">MIR</w:t>
      </w:r>
      <w:r>
        <w:t xml:space="preserve">; P4 Việt Nam — Đỗ &amp; Phan, 2026 —</w:t>
      </w:r>
      <w:r>
        <w:t xml:space="preserve"> </w:t>
      </w:r>
      <w:r>
        <w:rPr>
          <w:iCs/>
          <w:i/>
        </w:rPr>
        <w:t xml:space="preserve">APJM</w:t>
      </w:r>
      <w:r>
        <w:t xml:space="preserve">) chỉ ra một construct validity gap quan trọng: DAI đo lường trong cả 2 papers chỉ chạm tầng cơ bản (Tier 1 = website cho Việt Nam; Tier 1+2 = website + e-payment cho Singapore), trong khi lý thuyết về</w:t>
      </w:r>
      <w:r>
        <w:t xml:space="preserve"> </w:t>
      </w:r>
      <w:r>
        <w:rPr>
          <w:iCs/>
          <w:i/>
        </w:rPr>
        <w:t xml:space="preserve">super-linear coordination cost</w:t>
      </w:r>
      <w:r>
        <w:t xml:space="preserve"> </w:t>
      </w:r>
      <w:r>
        <w:t xml:space="preserve">(Brynjolfsson &amp; McAfee, 2014) đòi hỏi tầng tích hợp sâu (Tier 3) hoặc năng lực động (Tier 4). Cần thiết lập explicit</w:t>
      </w:r>
      <w:r>
        <w:t xml:space="preserve"> </w:t>
      </w:r>
      <w:r>
        <w:rPr>
          <w:bCs/>
          <w:b/>
        </w:rPr>
        <w:t xml:space="preserve">construct boundary</w:t>
      </w:r>
      <w:r>
        <w:t xml:space="preserve"> </w:t>
      </w:r>
      <w:r>
        <w:t xml:space="preserve">từ Chương 2 — trước khi báo cáo descriptive results — để phòng tránh "overclaiming" trong khi nộp Hội đồng CTU + tránh "desk-reject" khi submit Q1/Q2 IB journals.</w:t>
      </w:r>
    </w:p>
    <w:p>
      <w:pPr>
        <w:pStyle w:val="BodyText"/>
      </w:pPr>
      <w:r>
        <w:rPr>
          <w:bCs/>
          <w:b/>
        </w:rPr>
        <w:t xml:space="preserve">Bốn tầng bậc số hóa theo Verhoef et al. (2021 —</w:t>
      </w:r>
      <w:r>
        <w:rPr>
          <w:bCs/>
          <w:b/>
        </w:rPr>
        <w:t xml:space="preserve"> </w:t>
      </w:r>
      <w:r>
        <w:rPr>
          <w:iCs/>
          <w:i/>
          <w:bCs/>
          <w:b/>
        </w:rPr>
        <w:t xml:space="preserve">Journal of Business Research</w:t>
      </w:r>
      <w:r>
        <w:rPr>
          <w:bCs/>
          <w:b/>
        </w:rPr>
        <w:t xml:space="preserv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Tầng</w:t>
            </w:r>
          </w:p>
        </w:tc>
        <w:tc>
          <w:tcPr/>
          <w:p>
            <w:pPr>
              <w:pStyle w:val="Compact"/>
              <w:jc w:val="left"/>
            </w:pPr>
            <w:r>
              <w:t xml:space="preserve">Tên (Việt)</w:t>
            </w:r>
          </w:p>
        </w:tc>
        <w:tc>
          <w:tcPr/>
          <w:p>
            <w:pPr>
              <w:pStyle w:val="Compact"/>
              <w:jc w:val="left"/>
            </w:pPr>
            <w:r>
              <w:t xml:space="preserve">Tên (Anh)</w:t>
            </w:r>
          </w:p>
        </w:tc>
        <w:tc>
          <w:tcPr/>
          <w:p>
            <w:pPr>
              <w:pStyle w:val="Compact"/>
              <w:jc w:val="left"/>
            </w:pPr>
            <w:r>
              <w:t xml:space="preserve">Đại diện đo lường</w:t>
            </w:r>
          </w:p>
        </w:tc>
        <w:tc>
          <w:tcPr/>
          <w:p>
            <w:pPr>
              <w:pStyle w:val="Compact"/>
              <w:jc w:val="left"/>
            </w:pPr>
            <w:r>
              <w:t xml:space="preserve">Quan sát được trong WBES?</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rPr>
                <w:iCs/>
                <w:i/>
              </w:rPr>
              <w:t xml:space="preserve">Digital Presence</w:t>
            </w:r>
          </w:p>
        </w:tc>
        <w:tc>
          <w:tcPr/>
          <w:p>
            <w:pPr>
              <w:pStyle w:val="Compact"/>
              <w:jc w:val="left"/>
            </w:pPr>
            <w:r>
              <w:t xml:space="preserve">website binary, email</w:t>
            </w:r>
          </w:p>
        </w:tc>
        <w:tc>
          <w:tcPr/>
          <w:p>
            <w:pPr>
              <w:pStyle w:val="Compact"/>
              <w:jc w:val="left"/>
            </w:pPr>
            <w:r>
              <w:t xml:space="preserve">✓ Có (toàn pool 2009-2025)</w:t>
            </w:r>
          </w:p>
        </w:tc>
      </w:tr>
      <w:tr>
        <w:tc>
          <w:tcPr/>
          <w:p>
            <w:pPr>
              <w:pStyle w:val="Compact"/>
              <w:jc w:val="left"/>
            </w:pPr>
            <w:r>
              <w:rPr>
                <w:bCs/>
                <w:b/>
              </w:rPr>
              <w:t xml:space="preserve">Tier 2</w:t>
            </w:r>
          </w:p>
        </w:tc>
        <w:tc>
          <w:tcPr/>
          <w:p>
            <w:pPr>
              <w:pStyle w:val="Compact"/>
              <w:jc w:val="left"/>
            </w:pPr>
            <w:r>
              <w:t xml:space="preserve">Giao tiếp số + thương mại điện tử cơ bản</w:t>
            </w:r>
          </w:p>
        </w:tc>
        <w:tc>
          <w:tcPr/>
          <w:p>
            <w:pPr>
              <w:pStyle w:val="Compact"/>
              <w:jc w:val="left"/>
            </w:pPr>
            <w:r>
              <w:rPr>
                <w:iCs/>
                <w:i/>
              </w:rPr>
              <w:t xml:space="preserve">Digital communication + basic e-commerce</w:t>
            </w:r>
          </w:p>
        </w:tc>
        <w:tc>
          <w:tcPr/>
          <w:p>
            <w:pPr>
              <w:pStyle w:val="Compact"/>
              <w:jc w:val="left"/>
            </w:pPr>
            <w:r>
              <w:t xml:space="preserve">e-payment intensity (k33, k38), online ordering</w:t>
            </w:r>
          </w:p>
        </w:tc>
        <w:tc>
          <w:tcPr/>
          <w:p>
            <w:pPr>
              <w:pStyle w:val="Compact"/>
              <w:jc w:val="left"/>
            </w:pPr>
            <w:r>
              <w:t xml:space="preserve">✓ 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rPr>
                <w:iCs/>
                <w:i/>
              </w:rPr>
              <w:t xml:space="preserve">Digital process integration</w:t>
            </w:r>
          </w:p>
        </w:tc>
        <w:tc>
          <w:tcPr/>
          <w:p>
            <w:pPr>
              <w:pStyle w:val="Compact"/>
              <w:jc w:val="left"/>
            </w:pPr>
            <w:r>
              <w:t xml:space="preserve">ERP, CRM, supply-chain digitization</w:t>
            </w:r>
          </w:p>
        </w:tc>
        <w:tc>
          <w:tcPr/>
          <w:p>
            <w:pPr>
              <w:pStyle w:val="Compact"/>
              <w:jc w:val="left"/>
            </w:pPr>
            <w:r>
              <w:t xml:space="preserve">✗ KHÔNG quan sát</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rPr>
                <w:iCs/>
                <w:i/>
              </w:rPr>
              <w:t xml:space="preserve">Dynamic digital capability</w:t>
            </w:r>
          </w:p>
        </w:tc>
        <w:tc>
          <w:tcPr/>
          <w:p>
            <w:pPr>
              <w:pStyle w:val="Compact"/>
              <w:jc w:val="left"/>
            </w:pPr>
            <w:r>
              <w:t xml:space="preserve">AI integration, platform orchestration, data-driven decision</w:t>
            </w:r>
          </w:p>
        </w:tc>
        <w:tc>
          <w:tcPr/>
          <w:p>
            <w:pPr>
              <w:pStyle w:val="Compact"/>
              <w:jc w:val="left"/>
            </w:pPr>
            <w:r>
              <w:t xml:space="preserve">✗ KHÔNG quan sát</w:t>
            </w:r>
          </w:p>
        </w:tc>
      </w:tr>
    </w:tbl>
    <w:p>
      <w:pPr>
        <w:pStyle w:val="BodyText"/>
      </w:pPr>
      <w:r>
        <w:rPr>
          <w:bCs/>
          <w:b/>
        </w:rPr>
        <w:t xml:space="preserve">Tuyên bố ranh giới đo lường (Construct Boundary Statement)</w:t>
      </w:r>
      <w:r>
        <w:t xml:space="preserve">: Pool 101.185 doanh nghiệp WBES quan sát Tier 1-2 (website cho toàn giai đoạn; e-payment cho wave BREADY 2018+). KHÔNG quan sát Tier 3-4. Do đó, mọi lập luận về "năng lực số" trong CĐ1 + papers IB thuộc luận án phải hạn chế ở phạm vi</w:t>
      </w:r>
      <w:r>
        <w:t xml:space="preserve"> </w:t>
      </w:r>
      <w:r>
        <w:rPr>
          <w:bCs/>
          <w:b/>
        </w:rPr>
        <w:t xml:space="preserve">Foundational Digital Adoption (FDA)</w:t>
      </w:r>
      <w:r>
        <w:t xml:space="preserve">, KHÔNG mở rộng thành "Digital Capability" hay "Digital Transformation". Đây là tiêu chuẩn nhất quán xuyên CĐ1 / CĐ2 / luận án 5 chương.</w:t>
      </w:r>
    </w:p>
    <w:p>
      <w:pPr>
        <w:pStyle w:val="BodyText"/>
      </w:pPr>
      <w:r>
        <w:rPr>
          <w:bCs/>
          <w:b/>
        </w:rPr>
        <w:t xml:space="preserve">Mô hình Áp dụng số và Năng lực phụ thuộc bối cảnh (Context-Contingent Digital-and-Capability Model — CDCM)</w:t>
      </w:r>
      <w:r>
        <w:t xml:space="preserve"> </w:t>
      </w:r>
      <w:r>
        <w:t xml:space="preserve">— đóng góp lý thuyết MỚI hợp nhất hai papers:</w:t>
      </w:r>
    </w:p>
    <w:p>
      <w:pPr>
        <w:pStyle w:val="BodyText"/>
      </w:pPr>
      <w:r>
        <w:t xml:space="preserve">CDCM hợp nhất phát hiện Singapore P3 (Mar et al., 2026) + Việt Nam P4 (Đỗ &amp; Phan, 2026 —</w:t>
      </w:r>
      <w:r>
        <w:t xml:space="preserve"> </w:t>
      </w:r>
      <w:r>
        <w:rPr>
          <w:iCs/>
          <w:i/>
        </w:rPr>
        <w:t xml:space="preserve">APJM</w:t>
      </w:r>
      <w:r>
        <w:t xml:space="preserve">) thành một khung xuyên quốc gia 3 chiều:</w:t>
      </w:r>
    </w:p>
    <w:p>
      <w:pPr>
        <w:pStyle w:val="BodyText"/>
      </w:pPr>
      <w:r>
        <w:rPr>
          <w:bCs/>
          <w:b/>
        </w:rPr>
        <w:t xml:space="preserve">(a) Hình dáng đường cong I-P (Internationalization-Performance)</w:t>
      </w:r>
      <w:r>
        <w:t xml:space="preserve">: Việt Nam → Inverted-U rõ nét, điểm uốn (TP) ≈ 39-46% FSTS xuyên 3 wave 2009-2023; Lind-Mehlum p&lt;0,013. Singapore → tuyến tính dương + bậc hai nhẹ, TP ≈ 82% FSTS (vùng dữ liệu thưa, 3,2% firms vượt 70% FSTS); Lind-Mehlum p=0,303 KHÔNG xác nhận.</w:t>
      </w:r>
    </w:p>
    <w:p>
      <w:pPr>
        <w:pStyle w:val="BodyText"/>
      </w:pPr>
      <w:r>
        <w:rPr>
          <w:bCs/>
          <w:b/>
        </w:rPr>
        <w:t xml:space="preserve">(b) Cơ chế DAI</w:t>
      </w:r>
      <w:r>
        <w:t xml:space="preserve">: Việt Nam (Tier 1 = website only) →</w:t>
      </w:r>
      <w:r>
        <w:t xml:space="preserve"> </w:t>
      </w:r>
      <w:r>
        <w:rPr>
          <w:bCs/>
          <w:b/>
        </w:rPr>
        <w:t xml:space="preserve">stage-contingent</w:t>
      </w:r>
      <w:r>
        <w:t xml:space="preserve">: mạnh 2009 → vô tác dụng 2015 → phục hồi 2023 nhưng tương tác DAI×FSTS mang dấu âm (β=-0,912, p=,043) ở mức xuất khẩu cao → Tier 1 trở thành</w:t>
      </w:r>
      <w:r>
        <w:t xml:space="preserve"> </w:t>
      </w:r>
      <w:r>
        <w:rPr>
          <w:bCs/>
          <w:b/>
        </w:rPr>
        <w:t xml:space="preserve">điểm nghẽn</w:t>
      </w:r>
      <w:r>
        <w:t xml:space="preserve">. Singapore (Tier 1+2 = website + e-payment) →</w:t>
      </w:r>
      <w:r>
        <w:t xml:space="preserve"> </w:t>
      </w:r>
      <w:r>
        <w:rPr>
          <w:bCs/>
          <w:b/>
        </w:rPr>
        <w:t xml:space="preserve">conditional scaling</w:t>
      </w:r>
      <w:r>
        <w:t xml:space="preserve">: tương tác DAI×FSTS² dương mạnh (β=3,119, p=,005) → Tier 1+2 trở thành</w:t>
      </w:r>
      <w:r>
        <w:t xml:space="preserve"> </w:t>
      </w:r>
      <w:r>
        <w:rPr>
          <w:bCs/>
          <w:b/>
        </w:rPr>
        <w:t xml:space="preserve">đòn bẩy</w:t>
      </w:r>
      <w:r>
        <w:t xml:space="preserve"> </w:t>
      </w:r>
      <w:r>
        <w:t xml:space="preserve">ở xuất khẩu cao.</w:t>
      </w:r>
    </w:p>
    <w:p>
      <w:pPr>
        <w:pStyle w:val="BodyText"/>
      </w:pPr>
      <w:r>
        <w:rPr>
          <w:bCs/>
          <w:b/>
        </w:rPr>
        <w:t xml:space="preserve">(c) Vai trò TCI (Năng lực công nghệ)</w:t>
      </w:r>
      <w:r>
        <w:t xml:space="preserve">: Việt Nam —</w:t>
      </w:r>
      <w:r>
        <w:t xml:space="preserve"> </w:t>
      </w:r>
      <w:r>
        <w:rPr>
          <w:iCs/>
          <w:i/>
        </w:rPr>
        <w:t xml:space="preserve">scarce advantage</w:t>
      </w:r>
      <w:r>
        <w:t xml:space="preserve"> </w:t>
      </w:r>
      <w:r>
        <w:t xml:space="preserve">giúp doanh nghiệp vượt rào cản quốc tế hóa (TCIz IV β=1,639, p&lt;,001 robust 2SLS — Đỗ &amp; Phan, 2026 —</w:t>
      </w:r>
      <w:r>
        <w:t xml:space="preserve"> </w:t>
      </w:r>
      <w:r>
        <w:rPr>
          <w:iCs/>
          <w:i/>
        </w:rPr>
        <w:t xml:space="preserve">APJM</w:t>
      </w:r>
      <w:r>
        <w:t xml:space="preserve">). Singapore —</w:t>
      </w:r>
      <w:r>
        <w:t xml:space="preserve"> </w:t>
      </w:r>
      <w:r>
        <w:rPr>
          <w:iCs/>
          <w:i/>
        </w:rPr>
        <w:t xml:space="preserve">hygiene factor</w:t>
      </w:r>
      <w:r>
        <w:t xml:space="preserve"> </w:t>
      </w:r>
      <w:r>
        <w:t xml:space="preserve">nâng cao productivity floor nhưng KHÔNG điều tiết I-P curve.</w:t>
      </w:r>
    </w:p>
    <w:p>
      <w:pPr>
        <w:pStyle w:val="BodyText"/>
      </w:pPr>
      <w:r>
        <w:rPr>
          <w:bCs/>
          <w:b/>
        </w:rPr>
        <w:t xml:space="preserve">Lý giải xuyên quốc gia — Institutional Transaction Costs (TCE Coase-Williamson, mở rộng Banalieva &amp; Dhanaraj 2019)</w:t>
      </w:r>
      <w:r>
        <w:t xml:space="preserve">: Ở Việt Nam, hạ tầng thương mại số yếu khiến chi phí điều phối xuyên biên giới tăng vọt ở mức xuất khẩu trung bình (TP 39-46%). Ở Singapore, hạ tầng số + logistics đã hấp thụ phần lớn chi phí này, đẩy ranh giới quá tải (overload) về vùng FSTS cực cao (~82%).</w:t>
      </w:r>
    </w:p>
    <w:p>
      <w:pPr>
        <w:pStyle w:val="BodyText"/>
      </w:pPr>
      <w:r>
        <w:rPr>
          <w:bCs/>
          <w:b/>
        </w:rPr>
        <w:t xml:space="preserve">Hàm ý phương pháp luận cho CĐ2 + luận án</w:t>
      </w:r>
      <w:r>
        <w:t xml:space="preserve">:</w:t>
      </w:r>
    </w:p>
    <w:p>
      <w:pPr>
        <w:numPr>
          <w:ilvl w:val="0"/>
          <w:numId w:val="1006"/>
        </w:numPr>
        <w:pStyle w:val="Compact"/>
      </w:pPr>
      <w:r>
        <w:rPr>
          <w:bCs/>
          <w:b/>
        </w:rPr>
        <w:t xml:space="preserve">Specification 1</w:t>
      </w:r>
      <w:r>
        <w:t xml:space="preserve"> </w:t>
      </w:r>
      <w:r>
        <w:t xml:space="preserve">(Tier 1-only website, full pool 2009-2025): expected hệ số DAI âm hoặc null ở Advanced phân nhóm innovation-driven do bão hòa Tier 1 (xem §1.5 contribution #3 + §4.4.5 ICT exclusion test file 15);</w:t>
      </w:r>
    </w:p>
    <w:p>
      <w:pPr>
        <w:numPr>
          <w:ilvl w:val="0"/>
          <w:numId w:val="1006"/>
        </w:numPr>
        <w:pStyle w:val="Compact"/>
      </w:pPr>
      <w:r>
        <w:rPr>
          <w:bCs/>
          <w:b/>
        </w:rPr>
        <w:t xml:space="preserve">Specification 2</w:t>
      </w:r>
      <w:r>
        <w:t xml:space="preserve"> </w:t>
      </w:r>
      <w:r>
        <w:t xml:space="preserve">(Tier 1+2 multi-component, BREADY 2018+ wave): expected positive coefficient + interaction với FSTS² dương ở Advanced — replication pattern Singapore P3;</w:t>
      </w:r>
    </w:p>
    <w:p>
      <w:pPr>
        <w:numPr>
          <w:ilvl w:val="0"/>
          <w:numId w:val="1006"/>
        </w:numPr>
        <w:pStyle w:val="Compact"/>
      </w:pPr>
      <w:r>
        <w:rPr>
          <w:bCs/>
          <w:b/>
        </w:rPr>
        <w:t xml:space="preserve">Robustness check #10</w:t>
      </w:r>
      <w:r>
        <w:t xml:space="preserve"> </w:t>
      </w:r>
      <w:r>
        <w:t xml:space="preserve">(mới): cross-validation construct boundary — chạy Spec 2 chỉ ở 41 nước có đủ Tier 1+2 data (BREADY+ wave); confirm rằng pattern Singapore-style emerges khi có composite digital adoption metric;</w:t>
      </w:r>
    </w:p>
    <w:p>
      <w:pPr>
        <w:numPr>
          <w:ilvl w:val="0"/>
          <w:numId w:val="1006"/>
        </w:numPr>
        <w:pStyle w:val="Compact"/>
      </w:pPr>
      <w:r>
        <w:rPr>
          <w:bCs/>
          <w:b/>
        </w:rPr>
        <w:t xml:space="preserve">Hạn chế minh bạch (Limitations)</w:t>
      </w:r>
      <w:r>
        <w:t xml:space="preserve">: WBES không quan sát Tier 3 (ERP/CRM) và Tier 4 (AI). Đề xuất nghiên cứu tương lai sử dụng panel data đo trực tiếp các hệ thống ERP/AI để xác định ranh giới giữa "đòn bẩy" (lever) và "điểm nghẽn" (bottleneck) của số hóa theo cấp tầng và cường độ xuất khẩu.</w:t>
      </w:r>
    </w:p>
    <w:p>
      <w:pPr>
        <w:pStyle w:val="FirstParagraph"/>
      </w:pPr>
      <w:r>
        <w:rPr>
          <w:bCs/>
          <w:b/>
        </w:rPr>
        <w:t xml:space="preserve">Tham chiếu</w:t>
      </w:r>
      <w:r>
        <w:t xml:space="preserve">: Verhoef et al. (2021); Bharadwaj et al. (2013); Brynjolfsson &amp; McAfee (2014); Mar et al. (2026 — P3 Singapore manuscript,</w:t>
      </w:r>
      <w:r>
        <w:t xml:space="preserve"> </w:t>
      </w:r>
      <w:r>
        <w:rPr>
          <w:iCs/>
          <w:i/>
        </w:rPr>
        <w:t xml:space="preserve">MIR</w:t>
      </w:r>
      <w:r>
        <w:t xml:space="preserve"> </w:t>
      </w:r>
      <w:r>
        <w:t xml:space="preserve">under review); Đỗ &amp; Phan (2026 — P4 Việt Nam —</w:t>
      </w:r>
      <w:r>
        <w:t xml:space="preserve"> </w:t>
      </w:r>
      <w:r>
        <w:rPr>
          <w:iCs/>
          <w:i/>
        </w:rPr>
        <w:t xml:space="preserve">APJM</w:t>
      </w:r>
      <w:r>
        <w:t xml:space="preserve">); NotebookLM (08/05/2026,</w:t>
      </w:r>
      <w:r>
        <w:t xml:space="preserve"> </w:t>
      </w:r>
      <w:r>
        <w:rPr>
          <w:iCs/>
          <w:i/>
        </w:rPr>
        <w:t xml:space="preserve">Digital Scaling and Performance in Singapore's Global Firms</w:t>
      </w:r>
      <w:r>
        <w:t xml:space="preserve">); Coase (1937); Williamson (1985); Banalieva &amp; Dhanaraj (2019).</w:t>
      </w:r>
    </w:p>
    <w:p>
      <w:r>
        <w:pict>
          <v:rect style="width:0;height:1.5pt" o:hralign="center" o:hrstd="t" o:hr="t"/>
        </w:pict>
      </w:r>
    </w:p>
    <w:bookmarkEnd w:id="36"/>
    <w:bookmarkEnd w:id="37"/>
    <w:bookmarkStart w:id="38" w:name="X88846fb419345082f0ac77ff5bd76369640769c"/>
    <w:p>
      <w:pPr>
        <w:pStyle w:val="Heading2"/>
      </w:pPr>
      <w:r>
        <w:t xml:space="preserve">CHƯƠNG 3 — KHUNG PHÂN LOẠI 6 PHÂN NHÓM CON ICRV</w:t>
      </w:r>
    </w:p>
    <w:p>
      <w:pPr>
        <w:pStyle w:val="FirstParagraph"/>
      </w:pPr>
      <w:r>
        <w:t xml:space="preserve">(Giữ nguyên từ v3.1b — xem commit</w:t>
      </w:r>
      <w:r>
        <w:t xml:space="preserve"> </w:t>
      </w:r>
      <w:r>
        <w:rPr>
          <w:rStyle w:val="VerbatimChar"/>
        </w:rPr>
        <w:t xml:space="preserve">cd4276a</w:t>
      </w:r>
      <w:r>
        <w:t xml:space="preserve"> </w:t>
      </w:r>
      <w:r>
        <w:t xml:space="preserve">cho §3.1-§3.5 đầy đủ với Bảng 3.1, 3.2 và logic phân nhóm con. Note v3.3: SIDS Pacific row giữ nguyên với clarification trong §1.3 rằng đây là boundary extension.)</w:t>
      </w:r>
    </w:p>
    <w:p>
      <w:r>
        <w:pict>
          <v:rect style="width:0;height:1.5pt" o:hralign="center" o:hrstd="t" o:hr="t"/>
        </w:pict>
      </w:r>
    </w:p>
    <w:bookmarkEnd w:id="38"/>
    <w:bookmarkStart w:id="39" w:name="X95aae0d8593ff0d47f5fd36881a6c39072d65dc"/>
    <w:p>
      <w:pPr>
        <w:pStyle w:val="Heading2"/>
      </w:pPr>
      <w:r>
        <w:t xml:space="preserve">PHỤ LỤC H — BẢNG THUẬT NGỮ ANH-VIỆT (RÚT GỌN)</w:t>
      </w:r>
    </w:p>
    <w:p>
      <w:pPr>
        <w:pStyle w:val="FirstParagraph"/>
      </w:pPr>
      <w:r>
        <w:t xml:space="preserve">(Giữ nguyên từ v3.0 — xem commit</w:t>
      </w:r>
      <w:r>
        <w:t xml:space="preserve"> </w:t>
      </w:r>
      <w:r>
        <w:rPr>
          <w:rStyle w:val="VerbatimChar"/>
        </w:rPr>
        <w:t xml:space="preserve">e855de9</w:t>
      </w:r>
      <w:r>
        <w:t xml:space="preserve"> </w:t>
      </w:r>
      <w:r>
        <w:t xml:space="preserve">cho 6 nhóm thuật ngữ + Hán-Việt mapping.)</w:t>
      </w:r>
    </w:p>
    <w:p>
      <w:r>
        <w:pict>
          <v:rect style="width:0;height:1.5pt" o:hralign="center" o:hrstd="t" o:hr="t"/>
        </w:pict>
      </w:r>
    </w:p>
    <w:p>
      <w:pPr>
        <w:pStyle w:val="FirstParagraph"/>
      </w:pPr>
      <w:r>
        <w:rPr>
          <w:iCs/>
          <w:i/>
        </w:rPr>
        <w:t xml:space="preserve">Tiếp tục ở Phần 2 (Chương 4 — thực trạng từ dữ liệu WBES với pool 101.185 doanh nghiệp) trong file</w:t>
      </w:r>
      <w:r>
        <w:rPr>
          <w:iCs/>
          <w:i/>
        </w:rPr>
        <w:t xml:space="preserve"> </w:t>
      </w:r>
      <w:r>
        <w:rPr>
          <w:rStyle w:val="VerbatimChar"/>
          <w:iCs/>
          <w:i/>
        </w:rPr>
        <w:t xml:space="preserve">thesis/15_cd1_part2_findings_vi.md</w:t>
      </w:r>
      <w:r>
        <w:rPr>
          <w:iCs/>
          <w:i/>
        </w:rPr>
        <w:t xml:space="preserve">.</w:t>
      </w:r>
    </w:p>
    <w:bookmarkEnd w:id="39"/>
    <w:bookmarkEnd w:id="4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2026-05-25T00:23:22Z</dcterms:created>
  <dcterms:modified xsi:type="dcterms:W3CDTF">2026-05-25T00:23:22Z</dcterms:modified>
</cp:coreProperties>
</file>

<file path=docProps/custom.xml><?xml version="1.0" encoding="utf-8"?>
<Properties xmlns="http://schemas.openxmlformats.org/officeDocument/2006/custom-properties" xmlns:vt="http://schemas.openxmlformats.org/officeDocument/2006/docPropsVTypes"/>
</file>