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f5948eaf0496be42bd77ab371211195ea0295f9"/>
    <w:p>
      <w:pPr>
        <w:pStyle w:val="Heading1"/>
      </w:pPr>
      <w:r>
        <w:t xml:space="preserve">CHUYÊN ĐỀ TIẾN SĨ SỐ 1 — BẢN NHÁP ĐẦY ĐỦ (PHẦN 3: CHƯƠNG 5–7 + TÀI LIỆU THAM KHẢO + PHỤ LỤC)</w:t>
      </w:r>
    </w:p>
    <w:p>
      <w:pPr>
        <w:pStyle w:val="BlockText"/>
      </w:pPr>
      <w:r>
        <w:t xml:space="preserve">Tiếp nối</w:t>
      </w:r>
      <w:r>
        <w:t xml:space="preserve"> </w:t>
      </w:r>
      <w:r>
        <w:rPr>
          <w:rStyle w:val="VerbatimChar"/>
        </w:rPr>
        <w:t xml:space="preserve">thesis/14_cd1_part1_intro_theory_vi.md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thesis/15_cd1_part2_findings_vi.md</w:t>
      </w:r>
      <w:r>
        <w:t xml:space="preserve">.</w:t>
      </w:r>
      <w:r>
        <w:t xml:space="preserve"> </w:t>
      </w:r>
      <w:r>
        <w:t xml:space="preserve">Bảng thuật ngữ Anh-Việt:</w:t>
      </w:r>
      <w:r>
        <w:t xml:space="preserve"> </w:t>
      </w:r>
      <w:r>
        <w:rPr>
          <w:rStyle w:val="VerbatimChar"/>
        </w:rPr>
        <w:t xml:space="preserve">thesis/09b_vn_term_glossary.md</w:t>
      </w:r>
      <w:r>
        <w:t xml:space="preserve">.</w:t>
      </w:r>
      <w:r>
        <w:t xml:space="preserve"> </w:t>
      </w:r>
      <w:r>
        <w:t xml:space="preserve">Tổng hợp Asia context:</w:t>
      </w:r>
      <w:r>
        <w:t xml:space="preserve"> </w:t>
      </w:r>
      <w:r>
        <w:rPr>
          <w:rStyle w:val="VerbatimChar"/>
        </w:rPr>
        <w:t xml:space="preserve">thesis/_asia_context_synthesis_2026.md</w:t>
      </w:r>
      <w:r>
        <w:t xml:space="preserve">.</w:t>
      </w:r>
      <w:r>
        <w:t xml:space="preserve"> </w:t>
      </w:r>
      <w:r>
        <w:t xml:space="preserve">Hình minh họa:</w:t>
      </w:r>
      <w:r>
        <w:t xml:space="preserve"> </w:t>
      </w:r>
      <w:r>
        <w:rPr>
          <w:rStyle w:val="VerbatimChar"/>
        </w:rPr>
        <w:t xml:space="preserve">thesis/figures/</w:t>
      </w:r>
      <w:r>
        <w:t xml:space="preserve"> </w:t>
      </w:r>
      <w:r>
        <w:t xml:space="preserve">(11 hình; chạy</w:t>
      </w:r>
      <w:r>
        <w:t xml:space="preserve"> </w:t>
      </w:r>
      <w:r>
        <w:rPr>
          <w:rStyle w:val="VerbatimChar"/>
        </w:rPr>
        <w:t xml:space="preserve">python3 generate_figures.py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9" w:name="chương-5--bảy-tiểu-cảnh-điển-hình"/>
    <w:p>
      <w:pPr>
        <w:pStyle w:val="Heading2"/>
      </w:pPr>
      <w:r>
        <w:t xml:space="preserve">CHƯƠNG 5 — BẢY TIỂU CẢNH ĐIỂN HÌNH</w:t>
      </w:r>
    </w:p>
    <w:bookmarkStart w:id="20" w:name="X4f1541461cd7b05e4c97d088c6e10db9df26c7c"/>
    <w:p>
      <w:pPr>
        <w:pStyle w:val="Heading3"/>
      </w:pPr>
      <w:r>
        <w:t xml:space="preserve">5.1 Singapore (Advanced đổi mới sáng tạo dẫn dắt — innovation-driven, n=623, đợt 2023)</w:t>
      </w:r>
    </w:p>
    <w:p>
      <w:pPr>
        <w:pStyle w:val="FirstParagraph"/>
      </w:pPr>
      <w:r>
        <w:t xml:space="preserve">FSTS 7,1%; doanh nghiệp xuất khẩu 17,8%; website 66,1%; ISO 23,3%; R&amp;D 7,5%; FDI 31,5%. Độ lệch chuẩn log năng suất (sd log) 1,03.</w:t>
      </w:r>
      <w:r>
        <w:t xml:space="preserve"> </w:t>
      </w:r>
      <w:r>
        <w:rPr>
          <w:bCs/>
          <w:b/>
        </w:rPr>
        <w:t xml:space="preserve">Biên trên (upper boundary)</w:t>
      </w:r>
      <w:r>
        <w:t xml:space="preserve"> </w:t>
      </w:r>
      <w:r>
        <w:t xml:space="preserve">của nhóm Advanced đổi mới sáng tạo dẫn dắt. Theo bài báo P3 (Singapore — MIR): mô hình M8 cho R² hiệu chỉnh = 0,196; tương tác FSTS² × DAI = 3,119; điểm uốn (turning point) ở mức ~85%.</w:t>
      </w:r>
    </w:p>
    <w:bookmarkEnd w:id="20"/>
    <w:bookmarkStart w:id="21" w:name="X7b0318e5f7a8d1c273bb4bd46f030d5e749fb48"/>
    <w:p>
      <w:pPr>
        <w:pStyle w:val="Heading3"/>
      </w:pPr>
      <w:r>
        <w:t xml:space="preserve">5.2 Saudi Arabia, Qatar và Kuwait (Advanced tài nguyên dẫn dắt — resource-driven, n=1.632, 3 đợt năm 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FDI ≥10%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dương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log năng suất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</w:t>
            </w:r>
          </w:p>
        </w:tc>
      </w:tr>
    </w:tbl>
    <w:p>
      <w:pPr>
        <w:pStyle w:val="BodyText"/>
      </w:pPr>
      <w:r>
        <w:t xml:space="preserve">Năm phát hiện: (1)</w:t>
      </w:r>
      <w:r>
        <w:t xml:space="preserve"> </w:t>
      </w:r>
      <w:r>
        <w:rPr>
          <w:bCs/>
          <w:b/>
        </w:rPr>
        <w:t xml:space="preserve">nhà nước tô (rentier state)</w:t>
      </w:r>
      <w:r>
        <w:t xml:space="preserve"> </w:t>
      </w:r>
      <w:r>
        <w:t xml:space="preserve">— Beblawi (1987); Hertog (2010); Hvidt (2013); (2)</w:t>
      </w:r>
      <w:r>
        <w:t xml:space="preserve"> </w:t>
      </w:r>
      <w:r>
        <w:rPr>
          <w:bCs/>
          <w:b/>
        </w:rPr>
        <w:t xml:space="preserve">phân bổ sai nguồn lực đảo chiều</w:t>
      </w:r>
      <w:r>
        <w:t xml:space="preserve"> </w:t>
      </w:r>
      <w:r>
        <w:t xml:space="preserve">so với Hsieh &amp; Klenow (2009); (3) Kuwait Vision 2035 với R&amp;D 20,7%; (4)</w:t>
      </w:r>
      <w:r>
        <w:t xml:space="preserve"> </w:t>
      </w:r>
      <w:r>
        <w:rPr>
          <w:bCs/>
          <w:b/>
        </w:rPr>
        <w:t xml:space="preserve">thiên lệch của DAI đơn thành phần</w:t>
      </w:r>
      <w:r>
        <w:t xml:space="preserve">; (5)</w:t>
      </w:r>
      <w:r>
        <w:t xml:space="preserve"> </w:t>
      </w:r>
      <w:r>
        <w:rPr>
          <w:bCs/>
          <w:b/>
        </w:rPr>
        <w:t xml:space="preserve">phân nhóm con (sub-grouping) Advanced</w:t>
      </w:r>
      <w:r>
        <w:t xml:space="preserve"> </w:t>
      </w:r>
      <w:r>
        <w:t xml:space="preserve">— innovation-driven so với resource-driven là một dạng biến thể chế kiểu Varieties of Capitalism (Hall &amp; Soskice, 2001).</w:t>
      </w:r>
      <w:r>
        <w:t xml:space="preserve"> </w:t>
      </w:r>
      <w:r>
        <w:rPr>
          <w:bCs/>
          <w:b/>
        </w:rPr>
        <w:t xml:space="preserve">Bối cảnh xung đột Trung Đông 2026</w:t>
      </w:r>
      <w:r>
        <w:t xml:space="preserve">: IMF (2026, April) điều chỉnh giảm tăng trưởng Saudi Arabia mạnh từ ~4,5% xuống 3,1% do giảm sản lượng dầu; ADB (2026, April) — báo cáo</w:t>
      </w:r>
      <w:r>
        <w:t xml:space="preserve"> </w:t>
      </w:r>
      <w:r>
        <w:rPr>
          <w:iCs/>
          <w:i/>
        </w:rPr>
        <w:t xml:space="preserve">Asian Development Outlook April 2026: The Middle East Conflict Challenges Resilience in Asia and the Pacific</w:t>
      </w:r>
      <w:r>
        <w:t xml:space="preserve"> </w:t>
      </w:r>
      <w:r>
        <w:t xml:space="preserve">— dự báo Pacific 3,4%, Đông Nam Á 4,7%, Việt Nam 7,0% — củng cố luận điểm về dị biệt Advanced innovation vs resource.</w:t>
      </w:r>
    </w:p>
    <w:bookmarkEnd w:id="21"/>
    <w:bookmarkStart w:id="22" w:name="Xef15dd40fb8bae9c94ae6c2b8accb162dd1c2af"/>
    <w:p>
      <w:pPr>
        <w:pStyle w:val="Heading3"/>
      </w:pPr>
      <w:r>
        <w:t xml:space="preserve">5.3 Việt Nam (n=3.077, 3 đợt khảo sát) — cập nhật v3.4 với ADB Vietnam Outlook 2026</w:t>
      </w:r>
    </w:p>
    <w:p>
      <w:pPr>
        <w:pStyle w:val="FirstParagraph"/>
      </w:pPr>
      <w:r>
        <w:t xml:space="preserve">FSTS 23,2% → 17,9% → 16,1% (suy giảm); doanh nghiệp xuất khẩu 37,1% → 23,8%; ISO 17–23%; R&amp;D 6,1% (đợt 2023). Pattern</w:t>
      </w:r>
      <w:r>
        <w:t xml:space="preserve"> </w:t>
      </w:r>
      <w:r>
        <w:rPr>
          <w:bCs/>
          <w:b/>
        </w:rPr>
        <w:t xml:space="preserve">kinh tế hai tầng (two-tier economy)</w:t>
      </w:r>
      <w:r>
        <w:t xml:space="preserve"> </w:t>
      </w:r>
      <w:r>
        <w:t xml:space="preserve">— doanh nghiệp FDI hướng xuất khẩu hiệu quả cao đan xen với doanh nghiệp nội địa năng suất thấp (CIEM, 2023; Tran &amp; Pham, 2024).</w:t>
      </w:r>
    </w:p>
    <w:p>
      <w:pPr>
        <w:pStyle w:val="BodyText"/>
      </w:pPr>
      <w:r>
        <w:rPr>
          <w:bCs/>
          <w:b/>
        </w:rPr>
        <w:t xml:space="preserve">Cập nhật bối cảnh 2026 — ADB Vietnam Economic Outlook 2026</w:t>
      </w:r>
      <w:r>
        <w:t xml:space="preserve">: Theo ADB (2026, April —</w:t>
      </w:r>
      <w:r>
        <w:t xml:space="preserve"> </w:t>
      </w:r>
      <w:r>
        <w:rPr>
          <w:iCs/>
          <w:i/>
        </w:rPr>
        <w:t xml:space="preserve">Vietnam Economic Outlook 2026: Navigating the Crosscurrents</w:t>
      </w:r>
      <w:r>
        <w:t xml:space="preserve">), Việt Nam ghi nhận</w:t>
      </w:r>
      <w:r>
        <w:t xml:space="preserve"> </w:t>
      </w:r>
      <w:r>
        <w:rPr>
          <w:bCs/>
          <w:b/>
        </w:rPr>
        <w:t xml:space="preserve">GDP lịch sử 2025 đạt 8,0%</w:t>
      </w:r>
      <w:r>
        <w:t xml:space="preserve"> </w:t>
      </w:r>
      <w:r>
        <w:t xml:space="preserve">(cao nhất khu vực Đông Nam Á) và dự phóng</w:t>
      </w:r>
      <w:r>
        <w:t xml:space="preserve"> </w:t>
      </w:r>
      <w:r>
        <w:rPr>
          <w:bCs/>
          <w:b/>
        </w:rPr>
        <w:t xml:space="preserve">7,2% (2026) → 7,0% (2027)</w:t>
      </w:r>
      <w:r>
        <w:t xml:space="preserve"> </w:t>
      </w:r>
      <w:r>
        <w:t xml:space="preserve">— vượt mức bình quân ASEAN 4,6% và Đông Nam Á 4,7%. Bốn động lực chính: (a) FDI commitment $2,4 tỷ qua 18 dự án chiến lược; (b) Năng suất lao động tăng 5,1% giai đoạn 2026-2027; (c) Hai-tầng kinh tế tiếp tục phân kỳ + ADB Policy-Based Loans $2,4B target SME nội địa; (d) GVC re-positioning từ assembly downstream → mid-stream design/R&amp;D theo 3 trụ cột "Resilience + Environmental Sustainability + Inclusiveness".</w:t>
      </w:r>
    </w:p>
    <w:p>
      <w:pPr>
        <w:pStyle w:val="BodyText"/>
      </w:pPr>
      <w:r>
        <w:rPr>
          <w:bCs/>
          <w:b/>
        </w:rPr>
        <w:t xml:space="preserve">Cập nhật macro deep — 4 mảng bổ sung</w:t>
      </w:r>
      <w:r>
        <w:t xml:space="preserve">:</w:t>
      </w:r>
    </w:p>
    <w:p>
      <w:pPr>
        <w:pStyle w:val="BodyText"/>
      </w:pPr>
      <w:r>
        <w:t xml:space="preserve">(i)</w:t>
      </w:r>
      <w:r>
        <w:t xml:space="preserve"> </w:t>
      </w:r>
      <w:r>
        <w:rPr>
          <w:bCs/>
          <w:b/>
        </w:rPr>
        <w:t xml:space="preserve">Lạm phát</w:t>
      </w:r>
      <w:r>
        <w:t xml:space="preserve">: ADB dự báo</w:t>
      </w:r>
      <w:r>
        <w:t xml:space="preserve"> </w:t>
      </w:r>
      <w:r>
        <w:rPr>
          <w:bCs/>
          <w:b/>
        </w:rPr>
        <w:t xml:space="preserve">4,0% (2026) → 3,8% (2027)</w:t>
      </w:r>
      <w:r>
        <w:t xml:space="preserve"> </w:t>
      </w:r>
      <w:r>
        <w:t xml:space="preserve">— nằm trong vùng mục tiêu của Ngân hàng Nhà nước (≤4,5%). Áp lực từ giá năng lượng + xung đột Trung Đông kéo dài + đứt gãy chuỗi cung ứng vận tải biển. Lạm phát kiểm soát được tạo dư địa cho chính sách tiền tệ nới lỏng.</w:t>
      </w:r>
    </w:p>
    <w:p>
      <w:pPr>
        <w:pStyle w:val="BodyText"/>
      </w:pPr>
      <w:r>
        <w:t xml:space="preserve">(ii)</w:t>
      </w:r>
      <w:r>
        <w:t xml:space="preserve"> </w:t>
      </w:r>
      <w:r>
        <w:rPr>
          <w:bCs/>
          <w:b/>
        </w:rPr>
        <w:t xml:space="preserve">Cấu trúc ngành</w:t>
      </w:r>
      <w:r>
        <w:t xml:space="preserve"> </w:t>
      </w:r>
      <w:r>
        <w:t xml:space="preserve">(đóng góp tăng trưởng 2026):</w:t>
      </w:r>
      <w:r>
        <w:t xml:space="preserve"> </w:t>
      </w:r>
      <w:r>
        <w:rPr>
          <w:bCs/>
          <w:b/>
        </w:rPr>
        <w:t xml:space="preserve">công nghiệp + xây dựng 7,7%</w:t>
      </w:r>
      <w:r>
        <w:t xml:space="preserve"> </w:t>
      </w:r>
      <w:r>
        <w:t xml:space="preserve">(FDI manufacturing + smart manufacturing);</w:t>
      </w:r>
      <w:r>
        <w:t xml:space="preserve"> </w:t>
      </w:r>
      <w:r>
        <w:rPr>
          <w:bCs/>
          <w:b/>
        </w:rPr>
        <w:t xml:space="preserve">dịch vụ 7,5%</w:t>
      </w:r>
      <w:r>
        <w:t xml:space="preserve"> </w:t>
      </w:r>
      <w:r>
        <w:t xml:space="preserve">(du lịch phục hồi sau COVID, retail e-commerce, fintech);</w:t>
      </w:r>
      <w:r>
        <w:t xml:space="preserve"> </w:t>
      </w:r>
      <w:r>
        <w:rPr>
          <w:bCs/>
          <w:b/>
        </w:rPr>
        <w:t xml:space="preserve">nông nghiệp 3,6%</w:t>
      </w:r>
      <w:r>
        <w:t xml:space="preserve"> </w:t>
      </w:r>
      <w:r>
        <w:t xml:space="preserve">(climate-resilient agriculture, công nghệ cao). Cơ cấu này phản ánh chuyển dịch tiếp tục từ nông nghiệp → công nghiệp → dịch vụ chất lượng cao.</w:t>
      </w:r>
    </w:p>
    <w:p>
      <w:pPr>
        <w:pStyle w:val="BodyText"/>
      </w:pPr>
      <w:r>
        <w:t xml:space="preserve">(iii)</w:t>
      </w:r>
      <w:r>
        <w:t xml:space="preserve"> </w:t>
      </w:r>
      <w:r>
        <w:rPr>
          <w:bCs/>
          <w:b/>
        </w:rPr>
        <w:t xml:space="preserve">Bốn trụ cột tăng trưởng</w:t>
      </w:r>
      <w:r>
        <w:t xml:space="preserve">: (a)</w:t>
      </w:r>
      <w:r>
        <w:t xml:space="preserve"> </w:t>
      </w:r>
      <w:r>
        <w:rPr>
          <w:bCs/>
          <w:b/>
        </w:rPr>
        <w:t xml:space="preserve">Đầu tư công</w:t>
      </w:r>
      <w:r>
        <w:t xml:space="preserve"> </w:t>
      </w:r>
      <w:r>
        <w:t xml:space="preserve">— gói 800.000 tỷ VND giải ngân ưu tiên hạ tầng giao thông + năng lượng sạch + chuyển đổi số chính phủ; (b)</w:t>
      </w:r>
      <w:r>
        <w:t xml:space="preserve"> </w:t>
      </w:r>
      <w:r>
        <w:rPr>
          <w:bCs/>
          <w:b/>
        </w:rPr>
        <w:t xml:space="preserve">Chính sách tiền tệ nới lỏng</w:t>
      </w:r>
      <w:r>
        <w:t xml:space="preserve"> </w:t>
      </w:r>
      <w:r>
        <w:t xml:space="preserve">— Ngân hàng Nhà nước duy trì lãi suất tái cấp vốn thấp + mở rộng tín dụng có chọn lọc cho SME + manufacturing; (c)</w:t>
      </w:r>
      <w:r>
        <w:t xml:space="preserve"> </w:t>
      </w:r>
      <w:r>
        <w:rPr>
          <w:bCs/>
          <w:b/>
        </w:rPr>
        <w:t xml:space="preserve">FDI inflows</w:t>
      </w:r>
      <w:r>
        <w:t xml:space="preserve"> </w:t>
      </w:r>
      <w:r>
        <w:t xml:space="preserve">— $2,4 tỷ commitment qua 18 dự án chiến lược (fintech, năng lượng sạch, logistics, semiconductor packaging); (d)</w:t>
      </w:r>
      <w:r>
        <w:t xml:space="preserve"> </w:t>
      </w:r>
      <w:r>
        <w:rPr>
          <w:bCs/>
          <w:b/>
        </w:rPr>
        <w:t xml:space="preserve">Xuất khẩu</w:t>
      </w:r>
      <w:r>
        <w:t xml:space="preserve"> </w:t>
      </w:r>
      <w:r>
        <w:t xml:space="preserve">— duy trì &gt;30% kim ngạch sang Mỹ (đối tác lớn nhất) + đa dạng hóa qua CPTPP + RCEP + ACFTA.</w:t>
      </w:r>
    </w:p>
    <w:p>
      <w:pPr>
        <w:pStyle w:val="BodyText"/>
      </w:pPr>
      <w:r>
        <w:t xml:space="preserve">(iv)</w:t>
      </w:r>
      <w:r>
        <w:t xml:space="preserve"> </w:t>
      </w:r>
      <w:r>
        <w:rPr>
          <w:bCs/>
          <w:b/>
        </w:rPr>
        <w:t xml:space="preserve">Năm rủi ro chính</w:t>
      </w:r>
      <w:r>
        <w:t xml:space="preserve">: (a)</w:t>
      </w:r>
      <w:r>
        <w:t xml:space="preserve"> </w:t>
      </w:r>
      <w:r>
        <w:rPr>
          <w:bCs/>
          <w:b/>
        </w:rPr>
        <w:t xml:space="preserve">Gián đoạn chuỗi cung ứng toàn cầu</w:t>
      </w:r>
      <w:r>
        <w:t xml:space="preserve"> </w:t>
      </w:r>
      <w:r>
        <w:t xml:space="preserve">do Trung Đông + chip shortage + vận tải biển; (b)</w:t>
      </w:r>
      <w:r>
        <w:t xml:space="preserve"> </w:t>
      </w:r>
      <w:r>
        <w:rPr>
          <w:bCs/>
          <w:b/>
        </w:rPr>
        <w:t xml:space="preserve">Chính sách thuế quan Mỹ 2026</w:t>
      </w:r>
      <w:r>
        <w:t xml:space="preserve"> </w:t>
      </w:r>
      <w:r>
        <w:t xml:space="preserve">— thuế 10% tạm thời, nguy cơ tăng 15% (xem §1.1 file 14 v3.11 Lớp 7); (c)</w:t>
      </w:r>
      <w:r>
        <w:t xml:space="preserve"> </w:t>
      </w:r>
      <w:r>
        <w:rPr>
          <w:bCs/>
          <w:b/>
        </w:rPr>
        <w:t xml:space="preserve">Thanh khoản nội địa</w:t>
      </w:r>
      <w:r>
        <w:t xml:space="preserve"> </w:t>
      </w:r>
      <w:r>
        <w:t xml:space="preserve">— nợ doanh nghiệp/GDP cao (~120%); (d)</w:t>
      </w:r>
      <w:r>
        <w:t xml:space="preserve"> </w:t>
      </w:r>
      <w:r>
        <w:rPr>
          <w:bCs/>
          <w:b/>
        </w:rPr>
        <w:t xml:space="preserve">Nợ xấu hệ thống ngân hàng</w:t>
      </w:r>
      <w:r>
        <w:t xml:space="preserve"> </w:t>
      </w:r>
      <w:r>
        <w:t xml:space="preserve">— đặc biệt từ bất động sản; (e)</w:t>
      </w:r>
      <w:r>
        <w:t xml:space="preserve"> </w:t>
      </w:r>
      <w:r>
        <w:rPr>
          <w:bCs/>
          <w:b/>
        </w:rPr>
        <w:t xml:space="preserve">Trái phiếu doanh nghiệp yếu</w:t>
      </w:r>
      <w:r>
        <w:t xml:space="preserve"> </w:t>
      </w:r>
      <w:r>
        <w:t xml:space="preserve">— sau khủng hoảng Tân Hoàng Minh + Vạn Thịnh Phát 2022-2024 — cần củng cố niềm tin nhà đầu tư trái phiếu trong nước.</w:t>
      </w:r>
    </w:p>
    <w:p>
      <w:pPr>
        <w:pStyle w:val="BodyText"/>
      </w:pPr>
      <w:r>
        <w:rPr>
          <w:bCs/>
          <w:b/>
        </w:rPr>
        <w:t xml:space="preserve">Hàm ý cho CĐ2</w:t>
      </w:r>
      <w:r>
        <w:t xml:space="preserve">: bổ sung</w:t>
      </w:r>
      <w:r>
        <w:t xml:space="preserve"> </w:t>
      </w:r>
      <w:r>
        <w:rPr>
          <w:bCs/>
          <w:b/>
        </w:rPr>
        <w:t xml:space="preserve">biến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Vietnam_HighValue_FDI_2026</w:t>
      </w:r>
      <w:r>
        <w:t xml:space="preserve"> </w:t>
      </w:r>
      <w:r>
        <w:t xml:space="preserve">đo bước chuyển từ assembly → higher-value của FDI manufacturing như test cho</w:t>
      </w:r>
      <w:r>
        <w:t xml:space="preserve"> </w:t>
      </w:r>
      <w:r>
        <w:rPr>
          <w:bCs/>
          <w:b/>
        </w:rPr>
        <w:t xml:space="preserve">H7 industry × institutional dynamism interaction</w:t>
      </w:r>
      <w:r>
        <w:t xml:space="preserve"> </w:t>
      </w:r>
      <w:r>
        <w:t xml:space="preserve">(Kafouros et al., 2023). Bổ sung thêm</w:t>
      </w:r>
      <w:r>
        <w:t xml:space="preserve"> </w:t>
      </w:r>
      <w:r>
        <w:rPr>
          <w:bCs/>
          <w:b/>
        </w:rPr>
        <w:t xml:space="preserve">biến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Vietnam_Sector_Mix_2026</w:t>
      </w:r>
      <w:r>
        <w:t xml:space="preserve"> </w:t>
      </w:r>
      <w:r>
        <w:t xml:space="preserve">(3 cấp: công nghiệp / dịch vụ / nông nghiệp) làm control variable trong robustness check #6 (sector composition adjustment).</w:t>
      </w:r>
    </w:p>
    <w:bookmarkEnd w:id="22"/>
    <w:bookmarkStart w:id="23" w:name="X02eba480c8bf65ec3b5f4b23a24062644d37353"/>
    <w:p>
      <w:pPr>
        <w:pStyle w:val="Heading3"/>
      </w:pPr>
      <w:r>
        <w:t xml:space="preserve">5.4 Trung Quốc (n=4.889)</w:t>
      </w:r>
    </w:p>
    <w:p>
      <w:pPr>
        <w:pStyle w:val="FirstParagraph"/>
      </w:pPr>
      <w:r>
        <w:t xml:space="preserve">FSTS 10,9% → 8,8%; FDI ≥10% chiếm 6,0%. Quan hệ FSTS – năng suất là đường cong bậc hai (inverted-U) với điểm uốn 49,4% (2012) / 47,2% (2024) — bền vững theo kiểm định Paternoster (Đỗ &amp; Phan, 2026 —</w:t>
      </w:r>
      <w:r>
        <w:t xml:space="preserve"> </w:t>
      </w:r>
      <w:r>
        <w:rPr>
          <w:iCs/>
          <w:i/>
        </w:rPr>
        <w:t xml:space="preserve">IJOEM</w:t>
      </w:r>
      <w:r>
        <w:t xml:space="preserve">).</w:t>
      </w:r>
      <w:r>
        <w:t xml:space="preserve"> </w:t>
      </w:r>
      <w:r>
        <w:rPr>
          <w:bCs/>
          <w:b/>
        </w:rPr>
        <w:t xml:space="preserve">Cập nhật v3.1c</w:t>
      </w:r>
      <w:r>
        <w:t xml:space="preserve">: Wang, Huang và Hong (2024 —</w:t>
      </w:r>
      <w:r>
        <w:t xml:space="preserve"> </w:t>
      </w:r>
      <w:r>
        <w:rPr>
          <w:iCs/>
          <w:i/>
        </w:rPr>
        <w:t xml:space="preserve">IRFA</w:t>
      </w:r>
      <w:r>
        <w:t xml:space="preserve">) phân tích 80% bank risk models ở PRC phụ thuộc dominant tech providers —</w:t>
      </w:r>
      <w:r>
        <w:t xml:space="preserve"> </w:t>
      </w:r>
      <w:r>
        <w:rPr>
          <w:bCs/>
          <w:b/>
        </w:rPr>
        <w:t xml:space="preserve">concentration risk</w:t>
      </w:r>
      <w:r>
        <w:t xml:space="preserve"> </w:t>
      </w:r>
      <w:r>
        <w:t xml:space="preserve">trong digital ecosystem PRC.</w:t>
      </w:r>
    </w:p>
    <w:p>
      <w:pPr>
        <w:pStyle w:val="BodyText"/>
      </w:pPr>
      <w:r>
        <w:rPr>
          <w:bCs/>
          <w:b/>
        </w:rPr>
        <w:t xml:space="preserve">Khung Zombie firms PRC — lý giải bổ sung cho điểm uốn bậc hai (inverted-U) ~49%</w:t>
      </w:r>
      <w:r>
        <w:t xml:space="preserve">: Theo NotebookLM (07/05/2026</w:t>
      </w:r>
      <w:r>
        <w:t xml:space="preserve"> </w:t>
      </w:r>
      <w:r>
        <w:rPr>
          <w:iCs/>
          <w:i/>
        </w:rPr>
        <w:t xml:space="preserve">Tariff Mỹ + Vietnam Macro Deep + Zombie Firms</w:t>
      </w:r>
      <w:r>
        <w:t xml:space="preserve">) và văn liệu Caballero, Hoshi và Kashyap (2008 —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), khái niệm</w:t>
      </w:r>
      <w:r>
        <w:t xml:space="preserve"> </w:t>
      </w:r>
      <w:r>
        <w:rPr>
          <w:bCs/>
          <w:b/>
        </w:rPr>
        <w:t xml:space="preserve">"doanh nghiệp xác sống" (zombie firms)</w:t>
      </w:r>
      <w:r>
        <w:t xml:space="preserve"> </w:t>
      </w:r>
      <w:r>
        <w:t xml:space="preserve">chỉ những doanh nghiệp tồn tại nhờ tín dụng ưu đãi hoặc trợ cấp ngầm, không tạo lợi nhuận thực + không khấu hao bình thường. Trong bối cảnh PRC sau 2015 (chiến dịch khử rủi ro tài chính + supply-side structural reform), tỷ lệ zombie firms ở các SOE + ngành thừa năng lực sản xuất (steel, coal, real estate, shipbuilding) vẫn cao bất chấp các đợt thắt chặt.</w:t>
      </w:r>
    </w:p>
    <w:p>
      <w:pPr>
        <w:pStyle w:val="BodyText"/>
      </w:pPr>
      <w:r>
        <w:rPr>
          <w:bCs/>
          <w:b/>
        </w:rPr>
        <w:t xml:space="preserve">Ba cơ chế zombie firms làm méo TFP tổng thể PRC</w:t>
      </w:r>
      <w:r>
        <w:t xml:space="preserve">:</w:t>
      </w:r>
    </w:p>
    <w:p>
      <w:pPr>
        <w:pStyle w:val="BodyText"/>
      </w:pPr>
      <w:r>
        <w:t xml:space="preserve">(i)</w:t>
      </w:r>
      <w:r>
        <w:t xml:space="preserve"> </w:t>
      </w:r>
      <w:r>
        <w:rPr>
          <w:bCs/>
          <w:b/>
        </w:rPr>
        <w:t xml:space="preserve">Chậm đào thải</w:t>
      </w:r>
      <w:r>
        <w:t xml:space="preserve"> </w:t>
      </w:r>
      <w:r>
        <w:t xml:space="preserve">(slow exit): Doanh nghiệp xác sống không phá sản → vẫn chiếm dụng vốn vay ngân hàng + đất đai + lao động — kéo dài chu kỳ phân bổ sai nguồn lực (Hsieh &amp; Klenow, 2009 channel). Trong WBES PRC pool, một số firms zombie có FSTS cao (cố xuất khẩu để duy trì doanh thu) nhưng năng suất thực thấp → góp phần kéo điểm uốn bậc hai về phía ~49%.</w:t>
      </w:r>
    </w:p>
    <w:p>
      <w:pPr>
        <w:pStyle w:val="BodyText"/>
      </w:pPr>
      <w:r>
        <w:t xml:space="preserve">(ii)</w:t>
      </w:r>
      <w:r>
        <w:t xml:space="preserve"> </w:t>
      </w:r>
      <w:r>
        <w:rPr>
          <w:bCs/>
          <w:b/>
        </w:rPr>
        <w:t xml:space="preserve">Cản trở entry</w:t>
      </w:r>
      <w:r>
        <w:t xml:space="preserve"> </w:t>
      </w:r>
      <w:r>
        <w:t xml:space="preserve">(entry barrier): SME mới không thể chiếm thị phần vì zombie firms vẫn occupy thị trường nội địa với giá dumping. Liên kết §5.5 Emerging Asia: Việt Nam + Indonesia + India tránh được zombie effect nhờ market discipline mạnh hơn → entry rate cao + creative destruction (Schumpeter, 1942) hoạt động tốt hơn.</w:t>
      </w:r>
    </w:p>
    <w:p>
      <w:pPr>
        <w:pStyle w:val="BodyText"/>
      </w:pPr>
      <w:r>
        <w:t xml:space="preserve">(iii)</w:t>
      </w:r>
      <w:r>
        <w:t xml:space="preserve"> </w:t>
      </w:r>
      <w:r>
        <w:rPr>
          <w:bCs/>
          <w:b/>
        </w:rPr>
        <w:t xml:space="preserve">Concentration risk + zombie hybrid</w:t>
      </w:r>
      <w:r>
        <w:t xml:space="preserve">: Wang/Huang/Hong (2024) finding (80% bank risk models PRC dependent on dominant tech providers)</w:t>
      </w:r>
      <w:r>
        <w:t xml:space="preserve"> </w:t>
      </w:r>
      <w:r>
        <w:rPr>
          <w:bCs/>
          <w:b/>
        </w:rPr>
        <w:t xml:space="preserve">kết hợp</w:t>
      </w:r>
      <w:r>
        <w:t xml:space="preserve"> </w:t>
      </w:r>
      <w:r>
        <w:t xml:space="preserve">với zombie firms structure tạo ra rủi ro hệ thống — nếu fintech provider lock-in fails + zombie firms massively default đồng thời → systemic banking crisis. Đây là rủi ro mới cho China-exposed Vietnamese exporters.</w:t>
      </w:r>
    </w:p>
    <w:p>
      <w:pPr>
        <w:pStyle w:val="BodyText"/>
      </w:pPr>
      <w:r>
        <w:rPr>
          <w:bCs/>
          <w:b/>
        </w:rPr>
        <w:t xml:space="preserve">Hàm ý cho CĐ2</w:t>
      </w:r>
      <w:r>
        <w:t xml:space="preserve">: bổ sung</w:t>
      </w:r>
      <w:r>
        <w:t xml:space="preserve"> </w:t>
      </w:r>
      <w:r>
        <w:rPr>
          <w:bCs/>
          <w:b/>
        </w:rPr>
        <w:t xml:space="preserve">biến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Zombie_Firm_Indicator_PRC</w:t>
      </w:r>
      <w:r>
        <w:t xml:space="preserve"> </w:t>
      </w:r>
      <w:r>
        <w:t xml:space="preserve">(proxy: firms với ROA &lt;0 trong 3 năm liên tiếp + tăng nợ vay) để test xem điểm uốn bậc hai ~49% có shifted khi loại zombie firms khỏi PRC subsample. Robustness check #7 (zombie-excluded re-estimation) — bổ sung sau Manufacturing-only / ICT-excluded / Tourism-separated SIDS / Construction-tested Gulf / Mining-excluded resource / Sector composition adjustment.</w:t>
      </w:r>
    </w:p>
    <w:bookmarkEnd w:id="23"/>
    <w:bookmarkStart w:id="24" w:name="Xd1b9d97fa4c985bc01d0b470585adfaadea98ed"/>
    <w:p>
      <w:pPr>
        <w:pStyle w:val="Heading3"/>
      </w:pPr>
      <w:r>
        <w:t xml:space="preserve">5.5 Tổng hợp Emerging Asia (n=42.278) — bổ sung India case (v3.2)</w:t>
      </w:r>
    </w:p>
    <w:p>
      <w:pPr>
        <w:pStyle w:val="FirstParagraph"/>
      </w:pPr>
      <w:r>
        <w:t xml:space="preserve">FSTS 7,6%; FDI ≥10% chiếm 4,4%; tỷ lệ doanh nghiệp R&amp;D dương 16%. Phân tán nội bộ lớn (sd log 2,18) — phản ánh dị biệt rộng xuyên 7 nước Emerging.</w:t>
      </w:r>
    </w:p>
    <w:p>
      <w:pPr>
        <w:pStyle w:val="BodyText"/>
      </w:pPr>
      <w:r>
        <w:rPr>
          <w:bCs/>
          <w:b/>
        </w:rPr>
        <w:t xml:space="preserve">Trường hợp Ấn Độ — chứng cứ lan tỏa công nghệ (technology spillovers) (NEW v3.2)</w:t>
      </w:r>
      <w:r>
        <w:t xml:space="preserve">: Theo Sikdar và Mukhopadhyay (2026 —</w:t>
      </w:r>
      <w:r>
        <w:t xml:space="preserve"> </w:t>
      </w:r>
      <w:r>
        <w:rPr>
          <w:iCs/>
          <w:i/>
        </w:rPr>
        <w:t xml:space="preserve">Asian Development Review, 43</w:t>
      </w:r>
      <w:r>
        <w:t xml:space="preserve">(1), pp.37-75), nghiên cứu panel</w:t>
      </w:r>
      <w:r>
        <w:t xml:space="preserve"> </w:t>
      </w:r>
      <w:r>
        <w:rPr>
          <w:bCs/>
          <w:b/>
        </w:rPr>
        <w:t xml:space="preserve">4.293 doanh nghiệp Ấn Độ giai đoạn 2006-2019</w:t>
      </w:r>
      <w:r>
        <w:t xml:space="preserve">. Phát hiện: FDI là kênh</w:t>
      </w:r>
      <w:r>
        <w:t xml:space="preserve"> </w:t>
      </w:r>
      <w:r>
        <w:rPr>
          <w:bCs/>
          <w:b/>
        </w:rPr>
        <w:t xml:space="preserve">lan tỏa ngang (horizontal spillover)</w:t>
      </w:r>
      <w:r>
        <w:t xml:space="preserve"> </w:t>
      </w:r>
      <w:r>
        <w:t xml:space="preserve">quan trọng nhất; doanh nghiệp lớn và hiệu quả cao thu nhận lan tỏa (capture spillovers) nhiều nhất;</w:t>
      </w:r>
      <w:r>
        <w:t xml:space="preserve"> </w:t>
      </w:r>
      <w:r>
        <w:rPr>
          <w:bCs/>
          <w:b/>
        </w:rPr>
        <w:t xml:space="preserve">dòng vốn FDI vào (FDI inflows)</w:t>
      </w:r>
      <w:r>
        <w:t xml:space="preserve"> </w:t>
      </w:r>
      <w:r>
        <w:t xml:space="preserve">tăng từ $1,705M (1990-2000) → $42,396M (2012-2022); chi tiêu nghiên cứu-phát triển (R&amp;D) trì trệ ở 0,7% GDP;</w:t>
      </w:r>
      <w:r>
        <w:t xml:space="preserve"> </w:t>
      </w:r>
      <w:r>
        <w:rPr>
          <w:bCs/>
          <w:b/>
        </w:rPr>
        <w:t xml:space="preserve">đơn đăng ký sáng chế của cư dân (resident patent filing)</w:t>
      </w:r>
      <w:r>
        <w:t xml:space="preserve"> </w:t>
      </w:r>
      <w:r>
        <w:t xml:space="preserve">tăng +11,9%/năm 2012-2022.</w:t>
      </w:r>
    </w:p>
    <w:bookmarkEnd w:id="24"/>
    <w:bookmarkStart w:id="25" w:name="X5c9923a8ebeb21a62fb2478c885f145bd4f6092"/>
    <w:p>
      <w:pPr>
        <w:pStyle w:val="Heading3"/>
      </w:pPr>
      <w:r>
        <w:t xml:space="preserve">5.6 Mongolia — từ lời nguyền tài nguyên đến chuyển đổi critical minerals (n=1.905, 4 đợt 2009–2025)</w:t>
      </w:r>
    </w:p>
    <w:p>
      <w:pPr>
        <w:pStyle w:val="FirstParagraph"/>
      </w:pPr>
      <w:r>
        <w:t xml:space="preserve">FSTS đình trệ 4-6%; FDI ≥10% giảm rõ</w:t>
      </w:r>
      <w:r>
        <w:t xml:space="preserve"> </w:t>
      </w:r>
      <w:r>
        <w:rPr>
          <w:bCs/>
          <w:b/>
        </w:rPr>
        <w:t xml:space="preserve">7,2% → 3,2%</w:t>
      </w:r>
      <w:r>
        <w:t xml:space="preserve">; tỷ lệ website tăng 39% → 65%. Pattern</w:t>
      </w:r>
      <w:r>
        <w:t xml:space="preserve"> </w:t>
      </w:r>
      <w:r>
        <w:rPr>
          <w:bCs/>
          <w:b/>
        </w:rPr>
        <w:t xml:space="preserve">lời nguyền tài nguyên</w:t>
      </w:r>
      <w:r>
        <w:t xml:space="preserve"> </w:t>
      </w:r>
      <w:r>
        <w:t xml:space="preserve">(Auty, 1993; Sachs &amp; Warner, 2001).</w:t>
      </w:r>
    </w:p>
    <w:p>
      <w:pPr>
        <w:pStyle w:val="BodyText"/>
      </w:pPr>
      <w:r>
        <w:rPr>
          <w:bCs/>
          <w:b/>
        </w:rPr>
        <w:t xml:space="preserve">Bước ngoặt 2026 — chuyển đổi critical minerals (ADB, 2026, May)</w:t>
      </w:r>
      <w:r>
        <w:t xml:space="preserve">: Mongolia ở giao điểm chiến lược của</w:t>
      </w:r>
      <w:r>
        <w:t xml:space="preserve"> </w:t>
      </w:r>
      <w:r>
        <w:rPr>
          <w:bCs/>
          <w:b/>
        </w:rPr>
        <w:t xml:space="preserve">11 critical minerals</w:t>
      </w:r>
      <w:r>
        <w:t xml:space="preserve"> </w:t>
      </w:r>
      <w:r>
        <w:t xml:space="preserve">(Cu, Li, Mo, Mn, Co, Ni, W, REE, etc.). Cu exports 1,69 Mt (2024) = 22,1% tổng xuất khẩu. Oyu Tolgoi target 500.000 tấn/năm 2028-2036. PRC processing dominance: 100% graphite, 90% Mn, 70% Co. CĐ2 thêm biến</w:t>
      </w:r>
      <w:r>
        <w:t xml:space="preserve"> </w:t>
      </w:r>
      <w:r>
        <w:rPr>
          <w:rStyle w:val="VerbatimChar"/>
        </w:rPr>
        <w:t xml:space="preserve">Critical_Minerals_Exposure</w:t>
      </w:r>
      <w:r>
        <w:t xml:space="preserve">.</w:t>
      </w:r>
    </w:p>
    <w:p>
      <w:pPr>
        <w:pStyle w:val="BodyText"/>
      </w:pPr>
      <w:r>
        <w:t xml:space="preserve">Hình 5.6.1 — Mongolia: Evolution 2009–2025 (4 đợt khảo sát WBES)</w:t>
      </w:r>
    </w:p>
    <w:bookmarkEnd w:id="25"/>
    <w:bookmarkStart w:id="27" w:name="Xb5a839706cb6c5543e8866635dc482e23cee749"/>
    <w:p>
      <w:pPr>
        <w:pStyle w:val="Heading3"/>
      </w:pPr>
      <w:r>
        <w:t xml:space="preserve">5.7 SIDS Thái Bình Dương (7 nước — cập nhật v3.1, n=1.371)</w:t>
      </w:r>
    </w:p>
    <w:p>
      <w:pPr>
        <w:pStyle w:val="FirstParagraph"/>
      </w:pPr>
      <w:r>
        <w:rPr>
          <w:bCs/>
          <w:b/>
        </w:rPr>
        <w:t xml:space="preserve">Bảy nước</w:t>
      </w:r>
      <w:r>
        <w:t xml:space="preserve">: Fiji (FJI), Papua New Guinea (PNG), Solomon Islands (SLB), Tonga (TON), Vanuatu (VUT), Samoa (WSM),</w:t>
      </w:r>
      <w:r>
        <w:t xml:space="preserve"> </w:t>
      </w:r>
      <w:r>
        <w:rPr>
          <w:bCs/>
          <w:b/>
        </w:rPr>
        <w:t xml:space="preserve">Kiribati (KIR — bổ sung 2025)</w:t>
      </w:r>
      <w:r>
        <w:t xml:space="preserve">. Tổng n=1.371. FSTS 6,3%; FDI ≥10%</w:t>
      </w:r>
      <w:r>
        <w:t xml:space="preserve"> </w:t>
      </w:r>
      <w:r>
        <w:rPr>
          <w:bCs/>
          <w:b/>
        </w:rPr>
        <w:t xml:space="preserve">23,5%</w:t>
      </w:r>
      <w:r>
        <w:t xml:space="preserve">; đổi mới sản phẩm</w:t>
      </w:r>
      <w:r>
        <w:t xml:space="preserve"> </w:t>
      </w:r>
      <w:r>
        <w:rPr>
          <w:bCs/>
          <w:b/>
        </w:rPr>
        <w:t xml:space="preserve">41,5%</w:t>
      </w:r>
      <w:r>
        <w:t xml:space="preserve">; website</w:t>
      </w:r>
      <w:r>
        <w:t xml:space="preserve"> </w:t>
      </w:r>
      <w:r>
        <w:rPr>
          <w:bCs/>
          <w:b/>
        </w:rPr>
        <w:t xml:space="preserve">58,9%</w:t>
      </w:r>
      <w:r>
        <w:t xml:space="preserve">. Pattern</w:t>
      </w:r>
      <w:r>
        <w:t xml:space="preserve"> </w:t>
      </w:r>
      <w:r>
        <w:rPr>
          <w:bCs/>
          <w:b/>
        </w:rPr>
        <w:t xml:space="preserve">thích nghi trong điều kiện ràng buộc (adaptation under constraint)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Kiribati 2025 — trường hợp biên CỰC ĐOAN nhất</w:t>
      </w:r>
      <w:r>
        <w:t xml:space="preserve">: FSTS 1,03%, FDI 0,7%, website 18,7%, ISO 1,3%, sd log 1,48, SME 93,3%. GDP/đầu người ~1.700 USD, viện trợ AUS/NZ ~30% GDP.</w:t>
      </w:r>
    </w:p>
    <w:bookmarkStart w:id="26" w:name="X603ea92e61df18dfa2ce8d2f63a061466d49414"/>
    <w:p>
      <w:pPr>
        <w:pStyle w:val="Heading4"/>
      </w:pPr>
      <w:r>
        <w:t xml:space="preserve">5.7.5 Bối cảnh kinh tế vĩ mô PICs Pacific</w:t>
      </w:r>
    </w:p>
    <w:p>
      <w:pPr>
        <w:pStyle w:val="FirstParagraph"/>
      </w:pPr>
      <w:r>
        <w:t xml:space="preserve">PICs có 4 trụ cột MIRAB (Bertram, 2006): (1) khu vực công chủ đạo (30-50% việc làm chính thức); (2) phụ thuộc 4 nguồn ngoại sinh — nông nghiệp tự cấp + ODA 30% GDP + remittances 25-40% GDP + khai thác tài nguyên; (3) thanh niên thất nghiệp 15-30% + dân số &lt;25 tuổi &gt;50%; (4) migration labor PLMS Australia + RSE New Zealand như channel sinh tồn (Vanuatu RSE 15-20% GDP). Liên kết: Fiji website 74,8% &gt; Singapore (PLMS+remittance corridors); Kiribati 18,7% (outer islands no internet); SIDS innovation 41,5% (bricolage Baker &amp; Nelson 2005). CĐ2: 3 control variables PICs-specific (</w:t>
      </w:r>
      <w:r>
        <w:rPr>
          <w:rStyle w:val="VerbatimChar"/>
        </w:rPr>
        <w:t xml:space="preserve">aid_share_GDP_pct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remittance_share_GDP_pct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seasonal_worker_outflow_pct</w:t>
      </w:r>
      <w:r>
        <w:t xml:space="preserve">).</w:t>
      </w:r>
    </w:p>
    <w:bookmarkEnd w:id="26"/>
    <w:bookmarkEnd w:id="27"/>
    <w:bookmarkStart w:id="28" w:name="X1ede22618fb0a38726afe97b488a4bdefe47d72"/>
    <w:p>
      <w:pPr>
        <w:pStyle w:val="Heading3"/>
      </w:pPr>
      <w:r>
        <w:t xml:space="preserve">5.8 So sánh tổng hợp</w:t>
      </w:r>
    </w:p>
    <w:p>
      <w:pPr>
        <w:pStyle w:val="FirstParagraph"/>
      </w:pPr>
      <w:r>
        <w:rPr>
          <w:bCs/>
          <w:b/>
        </w:rPr>
        <w:t xml:space="preserve">Bảng 5.1</w:t>
      </w:r>
      <w:r>
        <w:t xml:space="preserve">.</w:t>
      </w:r>
      <w:r>
        <w:t xml:space="preserve"> </w:t>
      </w:r>
      <w:r>
        <w:rPr>
          <w:iCs/>
          <w:i/>
        </w:rPr>
        <w:t xml:space="preserve">Ma trận so sánh đa chiều bảy tiểu cảnh điển hình.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Việt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Quốc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SIDS Thái Bình Dương¹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Saudi+Qatar+Kuwait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1.371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FDI ≥10%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dương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log năng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chương-6--các-yếu-tố-giải-thích-sơ-bộ"/>
    <w:p>
      <w:pPr>
        <w:pStyle w:val="Heading2"/>
      </w:pPr>
      <w:r>
        <w:t xml:space="preserve">CHƯƠNG 6 — CÁC YẾU TỐ GIẢI THÍCH SƠ BỘ</w:t>
      </w:r>
    </w:p>
    <w:p>
      <w:pPr>
        <w:pStyle w:val="FirstParagraph"/>
      </w:pPr>
      <w:r>
        <w:rPr>
          <w:bCs/>
          <w:b/>
        </w:rPr>
        <w:t xml:space="preserve">Bảng 6.1</w:t>
      </w:r>
      <w:r>
        <w:t xml:space="preserve">.</w:t>
      </w:r>
      <w:r>
        <w:t xml:space="preserve"> </w:t>
      </w:r>
      <w:r>
        <w:rPr>
          <w:iCs/>
          <w:i/>
        </w:rPr>
        <w:t xml:space="preserve">Hệ số tương quan Pearson (n=101.185 — v3.1).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FDI 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+0,222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(R&amp;D + ISO)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+0,128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+0,155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(website)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−0,129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−0,049</w:t>
            </w:r>
          </w:p>
        </w:tc>
      </w:tr>
    </w:tbl>
    <w:p>
      <w:pPr>
        <w:pStyle w:val="BodyText"/>
      </w:pPr>
      <w:r>
        <w:rPr>
          <w:bCs/>
          <w:b/>
        </w:rPr>
        <w:t xml:space="preserve">Sáu phát hiện chính</w:t>
      </w:r>
      <w:r>
        <w:t xml:space="preserve">: (1) FDI dương mạnh SIDS (+0,222); (2) FDI âm Advanced; (3) FSTS dương Advanced — Uppsala+OLI; (4) TCI dương SIDS+Advanced; (5) DAI âm Advanced — Tier-1 saturation; (6) Đảo dấu cross-regime — institutional moderation.</w:t>
      </w:r>
    </w:p>
    <w:p>
      <w:pPr>
        <w:pStyle w:val="BodyText"/>
      </w:pPr>
      <w:r>
        <w:rPr>
          <w:bCs/>
          <w:b/>
        </w:rPr>
        <w:t xml:space="preserve">Cảnh báo schema BREADY 2025 (v3.3)</w:t>
      </w:r>
      <w:r>
        <w:t xml:space="preserve">: bảng 6.1 có thể bị nhiễu schema effect — kiểm chứng qua "triple-defense" §4.11 file 15.</w:t>
      </w:r>
    </w:p>
    <w:p>
      <w:pPr>
        <w:pStyle w:val="BodyText"/>
      </w:pPr>
      <w:r>
        <w:rPr>
          <w:bCs/>
          <w:b/>
        </w:rPr>
        <w:t xml:space="preserve">Lý giải dị biệt cross-regime qua Xu (2024) de jure-de facto (v3.3)</w:t>
      </w:r>
      <w:r>
        <w:t xml:space="preserve">: gap formal-enforcement explains FDI sign reversal Emerging vs Advanced.</w:t>
      </w:r>
    </w:p>
    <w:p>
      <w:pPr>
        <w:pStyle w:val="BodyText"/>
      </w:pPr>
      <w:r>
        <w:rPr>
          <w:bCs/>
          <w:b/>
        </w:rPr>
        <w:t xml:space="preserve">Lý giải bổ sung — Institutional Transaction Costs xuyên quốc gia (TCE Coase-Williamson, mở rộng Banalieva &amp; Dhanaraj 2019)</w:t>
      </w:r>
      <w:r>
        <w:t xml:space="preserve">: Đối chiếu hai bản thảo P3 Singapore (Mar et al., 2026 —</w:t>
      </w:r>
      <w:r>
        <w:t xml:space="preserve"> </w:t>
      </w:r>
      <w:r>
        <w:rPr>
          <w:iCs/>
          <w:i/>
        </w:rPr>
        <w:t xml:space="preserve">MIR</w:t>
      </w:r>
      <w:r>
        <w:t xml:space="preserve">) + P4 Việt Nam (Đỗ &amp; Phan, 2026 —</w:t>
      </w:r>
      <w:r>
        <w:t xml:space="preserve"> </w:t>
      </w:r>
      <w:r>
        <w:rPr>
          <w:iCs/>
          <w:i/>
        </w:rPr>
        <w:t xml:space="preserve">APJM</w:t>
      </w:r>
      <w:r>
        <w:t xml:space="preserve">) cho thấy dị biệt cross-regime trong Bảng 6.1 không chỉ phản ánh chất lượng thể chế formal mà còn</w:t>
      </w:r>
      <w:r>
        <w:t xml:space="preserve"> </w:t>
      </w:r>
      <w:r>
        <w:rPr>
          <w:bCs/>
          <w:b/>
        </w:rPr>
        <w:t xml:space="preserve">chi phí giao dịch thể chế (institutional transaction costs)</w:t>
      </w:r>
      <w:r>
        <w:t xml:space="preserve"> </w:t>
      </w:r>
      <w:r>
        <w:t xml:space="preserve">đo lường hạ tầng thương mại + logistics + năng lực hấp thụ chi phí điều phối xuyên biên giới (cross-border coordination cost absorption). Khung CDCM (§2.7 file 14 v3.13) hợp nhất 3 chiều xuyên quốc gia:</w:t>
      </w:r>
    </w:p>
    <w:p>
      <w:pPr>
        <w:pStyle w:val="BodyText"/>
      </w:pPr>
      <w:r>
        <w:rPr>
          <w:bCs/>
          <w:b/>
        </w:rPr>
        <w:t xml:space="preserve">Bảng 6.1.2</w:t>
      </w:r>
      <w:r>
        <w:t xml:space="preserve">.</w:t>
      </w:r>
      <w:r>
        <w:t xml:space="preserve"> </w:t>
      </w:r>
      <w:r>
        <w:rPr>
          <w:iCs/>
          <w:i/>
        </w:rPr>
        <w:t xml:space="preserve">Đối chiếu I-P curve + cơ chế DAI/TCI giữa Việt Nam vs Singapore — bằng chứng cho khung CDCM.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Chiều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Việt Nam (Emerging, n=2.958, 3 wave)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Singapore (Advanced innovation, n=623, 1 wave)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Hình dáng I-P curve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Inverted-U rõ nét</w:t>
            </w:r>
            <w:r>
              <w:t xml:space="preserve"> </w:t>
            </w:r>
            <w:r>
              <w:t xml:space="preserve">— điểm uốn (TP) ≈ 39-46% FSTS xuyên 3 wave 2009-2023; Lind-Mehlum p&lt;0,013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Tuyến tính dương + bậc hai nhẹ</w:t>
            </w:r>
            <w:r>
              <w:t xml:space="preserve"> </w:t>
            </w:r>
            <w:r>
              <w:t xml:space="preserve">— TP ≈ 82% FSTS (vùng dữ liệu thưa, 3,2% firms vượt 70% FSTS); Lind-Mehlum p=0,303 KHÔNG xác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Cơ chế DAI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Stage-contingent</w:t>
            </w:r>
            <w:r>
              <w:t xml:space="preserve"> </w:t>
            </w:r>
            <w:r>
              <w:t xml:space="preserve">(Tier 1 = website only): mạnh 2009 → null 2015 → âm 2023 (β=-0,912, p=,043) ở DAI×FSTS →</w:t>
            </w:r>
            <w:r>
              <w:t xml:space="preserve"> </w:t>
            </w:r>
            <w:r>
              <w:rPr>
                <w:bCs/>
                <w:b/>
              </w:rPr>
              <w:t xml:space="preserve">điểm nghẽn ở xuất khẩu 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scaling</w:t>
            </w:r>
            <w:r>
              <w:t xml:space="preserve"> </w:t>
            </w:r>
            <w:r>
              <w:t xml:space="preserve">(Tier 1+2 = website + e-payment): DAI×FSTS² β=3,119 p=,005 dương mạnh →</w:t>
            </w:r>
            <w:r>
              <w:t xml:space="preserve"> </w:t>
            </w:r>
            <w:r>
              <w:rPr>
                <w:bCs/>
                <w:b/>
              </w:rPr>
              <w:t xml:space="preserve">đòn bẩy ở xuất khẩu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2SLS DAI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co về 0,02, p=,94 →</w:t>
            </w:r>
            <w:r>
              <w:t xml:space="preserve"> </w:t>
            </w:r>
            <w:r>
              <w:rPr>
                <w:bCs/>
                <w:b/>
              </w:rPr>
              <w:t xml:space="preserve">không xác lập nhân quả</w:t>
            </w:r>
            <w:r>
              <w:t xml:space="preserve"> </w:t>
            </w:r>
            <w:r>
              <w:t xml:space="preserve">(Đỗ &amp; Phan, 2026 —</w:t>
            </w:r>
            <w:r>
              <w:t xml:space="preserve"> </w:t>
            </w:r>
            <w:r>
              <w:rPr>
                <w:iCs/>
                <w:i/>
              </w:rPr>
              <w:t xml:space="preserve">APJM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(chưa kiểm định IV)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Vai trò TCI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Scarce advantage</w:t>
            </w:r>
            <w:r>
              <w:t xml:space="preserve"> </w:t>
            </w:r>
            <w:r>
              <w:t xml:space="preserve">— TCIz IV β=1,639 p&lt;,001 robust 2SLS; điều tiết làm phẳng I-P curve (3/4 mô hình significant)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Hygiene factor</w:t>
            </w:r>
            <w:r>
              <w:t xml:space="preserve"> </w:t>
            </w:r>
            <w:r>
              <w:t xml:space="preserve">— direct β=0,168 p&lt;,001 nhưng KHÔNG điều tiết I-P curve significantly</w:t>
            </w:r>
          </w:p>
        </w:tc>
      </w:tr>
    </w:tbl>
    <w:p>
      <w:pPr>
        <w:pStyle w:val="BodyText"/>
      </w:pPr>
      <w:r>
        <w:rPr>
          <w:bCs/>
          <w:b/>
        </w:rPr>
        <w:t xml:space="preserve">Lý giải Institutional Transaction Costs (TCE)</w:t>
      </w:r>
      <w:r>
        <w:t xml:space="preserve">: Ở Việt Nam, hạ tầng thương mại số yếu (Tier 1 only) khiến chi phí điều phối xuyên biên giới (cross-border coordination cost) tăng vọt theo siêu tuyến tính (super-linearly — Brynjolfsson &amp; McAfee, 2014) ở mức xuất khẩu trung bình → đẩy điểm uốn (TP) về vùng FSTS thấp 39-46%. Ở Singapore, hạ tầng số (Tier 1+2: website + e-payment + integrated logistics) đã hấp thụ phần lớn chi phí này → đẩy ranh giới quá tải (overload boundary) về vùng FSTS cực cao ~82%. Vì vậy</w:t>
      </w:r>
      <w:r>
        <w:t xml:space="preserve"> </w:t>
      </w:r>
      <w:r>
        <w:rPr>
          <w:bCs/>
          <w:b/>
        </w:rPr>
        <w:t xml:space="preserve">bằng chứng "đường cong U ngược nghẹt thở" của Lu &amp; Beamish (2004) chỉ vận hành ở các nước có institutional transaction costs trung bình-cao</w:t>
      </w:r>
      <w:r>
        <w:t xml:space="preserve"> </w:t>
      </w:r>
      <w:r>
        <w:t xml:space="preserve">— nơi chi phí điều phối phi tuyến đủ tạo turnaround point trong vùng FSTS observed; ở các nước có hạ tầng số trưởng thành, U-curve được "kéo dãn" về phía cực đoan và có thể không quan sát được trong dữ liệu thực tế.</w:t>
      </w:r>
    </w:p>
    <w:p>
      <w:pPr>
        <w:pStyle w:val="BodyText"/>
      </w:pPr>
      <w:r>
        <w:rPr>
          <w:bCs/>
          <w:b/>
        </w:rPr>
        <w:t xml:space="preserve">Hàm ý cho khung CDCM (Context-Contingent Digital-and-Capability Model)</w:t>
      </w:r>
      <w:r>
        <w:t xml:space="preserve">: Khung này dự đoán trong CĐ2 + luận án 5 chương: (a)</w:t>
      </w:r>
      <w:r>
        <w:t xml:space="preserve"> </w:t>
      </w:r>
      <w:r>
        <w:rPr>
          <w:bCs/>
          <w:b/>
        </w:rPr>
        <w:t xml:space="preserve">41 nước châu Á</w:t>
      </w:r>
      <w:r>
        <w:t xml:space="preserve"> </w:t>
      </w:r>
      <w:r>
        <w:t xml:space="preserve">sẽ có một continuum institutional transaction costs từ Singapore (cực thấp) → Việt Nam/Indonesia (trung bình) → Mongolia/Pakistan/Bangladesh (cao); (b) Điểm uốn TP của I-P curve sẽ correlate ngược với mức trưởng thành hạ tầng số quốc gia (đo qua DAI Tier 1+2 trung bình quốc gia); (c) Vai trò TCI sẽ chuyển từ scarce advantage (ở các nước transaction cost cao) sang hygiene factor (ở các nước transaction cost thấp) — confirm giả thuyết H7 (industry × institutional dynamism interaction) của Kafouros et al. (2023). Đây là</w:t>
      </w:r>
      <w:r>
        <w:t xml:space="preserve"> </w:t>
      </w:r>
      <w:r>
        <w:rPr>
          <w:bCs/>
          <w:b/>
        </w:rPr>
        <w:t xml:space="preserve">đóng góp lý thuyết MỚI</w:t>
      </w:r>
      <w:r>
        <w:t xml:space="preserve"> </w:t>
      </w:r>
      <w:r>
        <w:t xml:space="preserve">cho luận án — replication CDCM xuyên 41 nước châu Á.</w:t>
      </w:r>
    </w:p>
    <w:p>
      <w:pPr>
        <w:pStyle w:val="BodyText"/>
      </w:pPr>
      <w:r>
        <w:rPr>
          <w:bCs/>
          <w:b/>
        </w:rPr>
        <w:t xml:space="preserve">Tham chiếu</w:t>
      </w:r>
      <w:r>
        <w:t xml:space="preserve">: Coase (1937); Williamson (1985); Brynjolfsson &amp; McAfee (2014); Banalieva &amp; Dhanaraj (2019); Kafouros et al. (2023); Mar et al. (2026 — P3 Singapore manuscript,</w:t>
      </w:r>
      <w:r>
        <w:t xml:space="preserve"> </w:t>
      </w:r>
      <w:r>
        <w:rPr>
          <w:iCs/>
          <w:i/>
        </w:rPr>
        <w:t xml:space="preserve">MIR</w:t>
      </w:r>
      <w:r>
        <w:t xml:space="preserve"> </w:t>
      </w:r>
      <w:r>
        <w:t xml:space="preserve">under review); Đỗ &amp; Phan (2026 — P4 Việt Nam —</w:t>
      </w:r>
      <w:r>
        <w:t xml:space="preserve"> </w:t>
      </w:r>
      <w:r>
        <w:rPr>
          <w:iCs/>
          <w:i/>
        </w:rPr>
        <w:t xml:space="preserve">APJM</w:t>
      </w:r>
      <w:r>
        <w:t xml:space="preserve">); NotebookLM (08/05/2026,</w:t>
      </w:r>
      <w:r>
        <w:t xml:space="preserve"> </w:t>
      </w:r>
      <w:r>
        <w:rPr>
          <w:iCs/>
          <w:i/>
        </w:rPr>
        <w:t xml:space="preserve">Digital Scaling and Performance in Singapore's Global Firms</w:t>
      </w:r>
      <w:r>
        <w:t xml:space="preserve">); §2.7 file 14 v3.13 (Khung 4-Tier Verhoef + CDCM).</w:t>
      </w:r>
    </w:p>
    <w:p>
      <w:pPr>
        <w:pStyle w:val="BodyText"/>
      </w:pPr>
      <w:r>
        <w:rPr>
          <w:bCs/>
          <w:b/>
        </w:rPr>
        <w:t xml:space="preserve">Hiệu ứng đẩy nhanh giao hàng + bất định chính sách thuế quan trong khung ICRV (front-loading effect + tariff uncertainty)</w:t>
      </w:r>
      <w:r>
        <w:t xml:space="preserve">: Theo NotebookLM (07/05/2026), bất định chính sách thuế quan Mỹ 2026 (xem §1.1 file 14 v3.11 Lớp 7) tạo</w:t>
      </w:r>
      <w:r>
        <w:t xml:space="preserve"> </w:t>
      </w:r>
      <w:r>
        <w:rPr>
          <w:bCs/>
          <w:b/>
        </w:rPr>
        <w:t xml:space="preserve">hiệu ứng đẩy nhanh giao hàng (front-loading effect)</w:t>
      </w:r>
      <w:r>
        <w:t xml:space="preserve"> </w:t>
      </w:r>
      <w:r>
        <w:t xml:space="preserve">— doanh nghiệp xuất khẩu Việt Nam đẩy nhanh giao hàng ngắn hạn nhằm tận dụng cửa sổ thuế thấp 10% trước khi tăng lên 15% trong nửa cuối 2026. Hậu quả: doanh thu xuất khẩu tăng ngắn hạn 2025 (đóng góp vào GDP 8,0%) nhưng làm giảm đà tăng trưởng 2026-2027 do hợp đồng tương lai bị "ăn trước". Trong khung ICRV, đẩy nhanh giao hàng + bất định chính sách hoạt động như</w:t>
      </w:r>
      <w:r>
        <w:t xml:space="preserve"> </w:t>
      </w:r>
      <w:r>
        <w:rPr>
          <w:bCs/>
          <w:b/>
        </w:rPr>
        <w:t xml:space="preserve">cú sốc ngoại sinh (exogenous shock)</w:t>
      </w:r>
      <w:r>
        <w:t xml:space="preserve"> </w:t>
      </w:r>
      <w:r>
        <w:t xml:space="preserve">đảo dấu hệ số FSTS giữa hai nhóm: (a)</w:t>
      </w:r>
      <w:r>
        <w:t xml:space="preserve"> </w:t>
      </w:r>
      <w:r>
        <w:rPr>
          <w:bCs/>
          <w:b/>
        </w:rPr>
        <w:t xml:space="preserve">Emerging năng lực FDI cao</w:t>
      </w:r>
      <w:r>
        <w:t xml:space="preserve"> </w:t>
      </w:r>
      <w:r>
        <w:t xml:space="preserve">(Việt Nam doanh nghiệp FDI sản xuất chế biến) — có khả năng đẩy nhanh + phòng ngừa rủi ro tốt → FSTS-năng suất tương quan dương mạnh ngắn hạn 2025 → đảo chiều âm 2026-2027 do</w:t>
      </w:r>
      <w:r>
        <w:t xml:space="preserve"> </w:t>
      </w:r>
      <w:r>
        <w:rPr>
          <w:bCs/>
          <w:b/>
        </w:rPr>
        <w:t xml:space="preserve">cạn kiệt đơn hàng tương lai (exhaustion of forward orders)</w:t>
      </w:r>
      <w:r>
        <w:t xml:space="preserve">; (b)</w:t>
      </w:r>
      <w:r>
        <w:t xml:space="preserve"> </w:t>
      </w:r>
      <w:r>
        <w:rPr>
          <w:bCs/>
          <w:b/>
        </w:rPr>
        <w:t xml:space="preserve">Emerging năng lực FDI thấp</w:t>
      </w:r>
      <w:r>
        <w:t xml:space="preserve"> </w:t>
      </w:r>
      <w:r>
        <w:t xml:space="preserve">(doanh nghiệp nội địa SME không có</w:t>
      </w:r>
      <w:r>
        <w:t xml:space="preserve"> </w:t>
      </w:r>
      <w:r>
        <w:rPr>
          <w:bCs/>
          <w:b/>
        </w:rPr>
        <w:t xml:space="preserve">tồn kho dự phòng (buffer inventory)</w:t>
      </w:r>
      <w:r>
        <w:t xml:space="preserve">) — không thể đẩy nhanh → FSTS-năng suất tương quan yếu hoặc âm cả 2 giai đoạn.</w:t>
      </w:r>
      <w:r>
        <w:t xml:space="preserve"> </w:t>
      </w:r>
      <w:r>
        <w:rPr>
          <w:bCs/>
          <w:b/>
        </w:rPr>
        <w:t xml:space="preserve">Phân hóa lớn vs SME</w:t>
      </w:r>
      <w:r>
        <w:t xml:space="preserve">: tập đoàn lớn hấp thụ chi phí thuế quan qua đa thị trường + phòng ngừa tài chính (financial hedging); SME phải lựa chọn hấp thụ chi phí (giảm biên lợi nhuận) vs chuyển giá khách hàng (mất đơn hàng). Hàm ý CĐ2: bổ sung</w:t>
      </w:r>
      <w:r>
        <w:t xml:space="preserve"> </w:t>
      </w:r>
      <w:r>
        <w:rPr>
          <w:bCs/>
          <w:b/>
        </w:rPr>
        <w:t xml:space="preserve">biến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Tariff_Front_Loading_2025_2026</w:t>
      </w:r>
      <w:r>
        <w:t xml:space="preserve"> </w:t>
      </w:r>
      <w:r>
        <w:t xml:space="preserve">(proxy: tỷ trọng xuất khẩu sang Mỹ × thời điểm giao hàng quý 1-2 2026) vào kiểm định độ vững (robustness check) #8 (đẩy nhanh giao hàng được hiệu chỉnh — front-loading-adjusted re-estimation).</w:t>
      </w:r>
    </w:p>
    <w:bookmarkStart w:id="30" w:name="X5ecd37fe01a045571df9cbb12094eb6d4cc7171"/>
    <w:p>
      <w:pPr>
        <w:pStyle w:val="Heading3"/>
      </w:pPr>
      <w:r>
        <w:t xml:space="preserve">6.1 Pattern giới tính trong quản lý + sở hữu — bằng chứng EAP châu Á dẫn đầu</w:t>
      </w:r>
    </w:p>
    <w:p>
      <w:pPr>
        <w:pStyle w:val="FirstParagraph"/>
      </w:pPr>
      <w:r>
        <w:rPr>
          <w:bCs/>
          <w:b/>
        </w:rPr>
        <w:t xml:space="preserve">Bảng 6.1.1</w:t>
      </w:r>
      <w:r>
        <w:t xml:space="preserve">.</w:t>
      </w:r>
      <w:r>
        <w:t xml:space="preserve"> </w:t>
      </w:r>
      <w:r>
        <w:rPr>
          <w:iCs/>
          <w:i/>
        </w:rPr>
        <w:t xml:space="preserve">Pattern giới tính trong TMT + ownership — phân tầng theo khu vực địa lý.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Khu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nữ TMT (cấp cao)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nữ ownership majority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Khoảng cách (TMT –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East Asia &amp; Pacific (EAP)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33,4%</w:t>
            </w:r>
            <w:r>
              <w:t xml:space="preserve"> </w:t>
            </w:r>
            <w:r>
              <w:rPr>
                <w:iCs/>
                <w:i/>
              </w:rPr>
              <w:t xml:space="preserve">(dẫn đầu globally)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25,7%</w:t>
            </w:r>
            <w:r>
              <w:t xml:space="preserve"> </w:t>
            </w:r>
            <w:r>
              <w:rPr>
                <w:iCs/>
                <w:i/>
              </w:rPr>
              <w:t xml:space="preserve">(dẫn đầu globally)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+7,7 đpt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+9,5 đpt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+6,4 đpt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+7,7 đpt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+0,7 đpt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 &amp; North Africa (MENA)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3,3%</w:t>
            </w:r>
            <w:r>
              <w:t xml:space="preserve"> </w:t>
            </w:r>
            <w:r>
              <w:rPr>
                <w:iCs/>
                <w:i/>
              </w:rPr>
              <w:t xml:space="preserve">(thấp nhất globally)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1,7%</w:t>
            </w:r>
            <w:r>
              <w:t xml:space="preserve"> </w:t>
            </w:r>
            <w:r>
              <w:rPr>
                <w:iCs/>
                <w:i/>
              </w:rPr>
              <w:t xml:space="preserve">(thấp nhất globally)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+1,6 đpt</w:t>
            </w:r>
          </w:p>
        </w:tc>
      </w:tr>
    </w:tbl>
    <w:p>
      <w:pPr>
        <w:pStyle w:val="BodyText"/>
      </w:pPr>
      <w:r>
        <w:t xml:space="preserve">Sáu quan sát: (a)</w:t>
      </w:r>
      <w:r>
        <w:t xml:space="preserve"> </w:t>
      </w:r>
      <w:r>
        <w:rPr>
          <w:bCs/>
          <w:b/>
        </w:rPr>
        <w:t xml:space="preserve">EAP dẫn đầu — Asian gender paradox</w:t>
      </w:r>
      <w:r>
        <w:t xml:space="preserve">: EAP 33,4% nữ TMT cao nhất toàn cầu trong khi South Asia và MENA thấp nhất — phản ánh dị biệt thể chế-văn hóa xuyên "châu Á" không đồng nhất; (b)</w:t>
      </w:r>
      <w:r>
        <w:t xml:space="preserve"> </w:t>
      </w:r>
      <w:r>
        <w:rPr>
          <w:bCs/>
          <w:b/>
        </w:rPr>
        <w:t xml:space="preserve">MENA thấp nhất — structural barriers</w:t>
      </w:r>
      <w:r>
        <w:t xml:space="preserve">: MENA 3,3% nữ TMT + 1,7% nữ ownership — thấp nhất toàn cầu, phản ánh rào cản thể chế-luật pháp đặc thù (World Bank, 2024 —</w:t>
      </w:r>
      <w:r>
        <w:t xml:space="preserve"> </w:t>
      </w:r>
      <w:r>
        <w:rPr>
          <w:iCs/>
          <w:i/>
        </w:rPr>
        <w:t xml:space="preserve">Women, Business and the Law</w:t>
      </w:r>
      <w:r>
        <w:t xml:space="preserve">); (c)</w:t>
      </w:r>
      <w:r>
        <w:t xml:space="preserve"> </w:t>
      </w:r>
      <w:r>
        <w:rPr>
          <w:bCs/>
          <w:b/>
        </w:rPr>
        <w:t xml:space="preserve">Ownership ceiling phổ biến</w:t>
      </w:r>
      <w:r>
        <w:t xml:space="preserve">: 43/50 economies có ownership ceiling cao hơn management representation — gợi ý barrier đặc thù ở cấp sở hữu vốn (equity ownership) so với vị trí quản lý; (d)</w:t>
      </w:r>
      <w:r>
        <w:t xml:space="preserve"> </w:t>
      </w:r>
      <w:r>
        <w:rPr>
          <w:bCs/>
          <w:b/>
        </w:rPr>
        <w:t xml:space="preserve">Boundary references TMT moderation</w:t>
      </w:r>
      <w:r>
        <w:t xml:space="preserve">: Mardones-Ibáñez (2025 —</w:t>
      </w:r>
      <w:r>
        <w:t xml:space="preserve"> </w:t>
      </w:r>
      <w:r>
        <w:rPr>
          <w:iCs/>
          <w:i/>
        </w:rPr>
        <w:t xml:space="preserve">SAGE Open</w:t>
      </w:r>
      <w:r>
        <w:t xml:space="preserve">) Chile context + Al-Najjar et al. (2025 —</w:t>
      </w:r>
      <w:r>
        <w:t xml:space="preserve"> </w:t>
      </w:r>
      <w:r>
        <w:rPr>
          <w:iCs/>
          <w:i/>
        </w:rPr>
        <w:t xml:space="preserve">IJHRM</w:t>
      </w:r>
      <w:r>
        <w:t xml:space="preserve">) S&amp;P 500 U-shaped TMT gender effect — không suy rộng trực tiếp sang ICRV Emerging/Frontier; (e)</w:t>
      </w:r>
      <w:r>
        <w:t xml:space="preserve"> </w:t>
      </w:r>
      <w:r>
        <w:rPr>
          <w:bCs/>
          <w:b/>
        </w:rPr>
        <w:t xml:space="preserve">Technology complement hypothesis</w:t>
      </w:r>
      <w:r>
        <w:t xml:space="preserve"> </w:t>
      </w:r>
      <w:r>
        <w:t xml:space="preserve">(Carboni et al., WBES 192K obs, 158 nước, 2006–2023): female top manager (</w:t>
      </w:r>
      <w:r>
        <w:rPr>
          <w:rStyle w:val="VerbatimChar"/>
        </w:rPr>
        <w:t xml:space="preserve">b7a</w:t>
      </w:r>
      <w:r>
        <w:t xml:space="preserve">) tương tác với technology adoption — tác động ESG-performance mạnh hơn khi doanh nghiệp có DAI cao; (f)</w:t>
      </w:r>
      <w:r>
        <w:t xml:space="preserve"> </w:t>
      </w:r>
      <w:r>
        <w:rPr>
          <w:bCs/>
          <w:b/>
        </w:rPr>
        <w:t xml:space="preserve">Firm performance heterogeneity</w:t>
      </w:r>
      <w:r>
        <w:t xml:space="preserve"> </w:t>
      </w:r>
      <w:r>
        <w:t xml:space="preserve">(World Bank, 2024 —</w:t>
      </w:r>
      <w:r>
        <w:t xml:space="preserve"> </w:t>
      </w:r>
      <w:r>
        <w:rPr>
          <w:iCs/>
          <w:i/>
        </w:rPr>
        <w:t xml:space="preserve">Unlocking Global Growth: Closing the Gender Gap in Business</w:t>
      </w:r>
      <w:r>
        <w:t xml:space="preserve">): doanh nghiệp có nữ sở hữu đa số có doanh thu/nhân viên thấp hơn trung bình nhưng tốc độ tăng trưởng việc làm cao hơn ở nhóm Frontier/Emerging — pattern phù hợp §4.3 CAGR việc làm SIDS cao nhất (5,77%).</w:t>
      </w:r>
    </w:p>
    <w:p>
      <w:pPr>
        <w:pStyle w:val="BodyText"/>
      </w:pPr>
      <w:r>
        <w:rPr>
          <w:bCs/>
          <w:b/>
        </w:rPr>
        <w:t xml:space="preserve">Liên kết với §4.5.6</w:t>
      </w:r>
      <w:r>
        <w:t xml:space="preserve">: Chi tiết phân tầng female top manager theo ICRV sub-regime và hàm ý biến</w:t>
      </w:r>
      <w:r>
        <w:t xml:space="preserve"> </w:t>
      </w:r>
      <w:r>
        <w:rPr>
          <w:rStyle w:val="VerbatimChar"/>
        </w:rPr>
        <w:t xml:space="preserve">b7a</w:t>
      </w:r>
      <w:r>
        <w:t xml:space="preserve"> </w:t>
      </w:r>
      <w:r>
        <w:t xml:space="preserve">trong CĐ2 specification xem §4.5.6 file 15.</w:t>
      </w:r>
    </w:p>
    <w:p>
      <w:pPr>
        <w:pStyle w:val="BodyText"/>
      </w:pPr>
      <w:r>
        <w:rPr>
          <w:bCs/>
          <w:b/>
        </w:rPr>
        <w:t xml:space="preserve">Nguồn</w:t>
      </w:r>
      <w:r>
        <w:t xml:space="preserve">: Carboni et al. (2024/2025 — WBES ESG indicators); World Bank (2024)</w:t>
      </w:r>
      <w:r>
        <w:t xml:space="preserve"> </w:t>
      </w:r>
      <w:r>
        <w:rPr>
          <w:iCs/>
          <w:i/>
        </w:rPr>
        <w:t xml:space="preserve">Unlocking Global Growth: Closing the Gender Gap in Business</w:t>
      </w:r>
      <w:r>
        <w:t xml:space="preserve"> </w:t>
      </w:r>
      <w:r>
        <w:t xml:space="preserve">(WBES 167 nền kinh tế); Mardones-Ibáñez (2025 —</w:t>
      </w:r>
      <w:r>
        <w:t xml:space="preserve"> </w:t>
      </w:r>
      <w:r>
        <w:rPr>
          <w:iCs/>
          <w:i/>
        </w:rPr>
        <w:t xml:space="preserve">SAGE Open</w:t>
      </w:r>
      <w:r>
        <w:t xml:space="preserve">); Al-Najjar et al. (2025 —</w:t>
      </w:r>
      <w:r>
        <w:t xml:space="preserve"> </w:t>
      </w:r>
      <w:r>
        <w:rPr>
          <w:iCs/>
          <w:i/>
        </w:rPr>
        <w:t xml:space="preserve">IJHRM</w:t>
      </w:r>
      <w:r>
        <w:t xml:space="preserve">).</w:t>
      </w:r>
    </w:p>
    <w:bookmarkEnd w:id="30"/>
    <w:bookmarkStart w:id="31" w:name="X1b56fac4273b6465f76cf1f0e9b553e4ef46776"/>
    <w:p>
      <w:pPr>
        <w:pStyle w:val="Heading3"/>
      </w:pPr>
      <w:r>
        <w:t xml:space="preserve">6.2 Đường cong U của innovation digital tech</w:t>
      </w:r>
    </w:p>
    <w:p>
      <w:pPr>
        <w:pStyle w:val="FirstParagraph"/>
      </w:pPr>
      <w:r>
        <w:rPr>
          <w:bCs/>
          <w:b/>
        </w:rPr>
        <w:t xml:space="preserve">Giai đoạn 1 (chi phí đầu tư cao)</w:t>
      </w:r>
      <w:r>
        <w:t xml:space="preserve">: 1-3 năm đầu, giảm hiệu quả tài chính ngắn hạn — phù hợp DAI âm -0,129 Advanced + "digital theatre" (Verhoef et al., 2021).</w:t>
      </w:r>
      <w:r>
        <w:t xml:space="preserve"> </w:t>
      </w:r>
      <w:r>
        <w:rPr>
          <w:bCs/>
          <w:b/>
        </w:rPr>
        <w:t xml:space="preserve">Giai đoạn 2 (productivity payoff)</w:t>
      </w:r>
      <w:r>
        <w:t xml:space="preserve">: vượt threshold ~3% revenue/năm × 3-5 năm sustained → tăng năng suất + cạnh tranh quốc tế + profit margin. Liên kết Tier-1/Tier-2 §4.4.5 file 15. Bằng chứng: Trung Quốc R&amp;D 39,4% late-stage Tier-2; Vùng Vịnh transition phase; Việt Nam R&amp;D 6,1% early Tier-2.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Xad4a10f3b5c102b12ac4ecd8a32a2224cd17f3d"/>
    <w:p>
      <w:pPr>
        <w:pStyle w:val="Heading2"/>
      </w:pPr>
      <w:r>
        <w:t xml:space="preserve">CHƯƠNG 7 — KHOẢNG TRỐNG THỰC TIỄN VÀ KẾT LUẬN</w:t>
      </w:r>
    </w:p>
    <w:bookmarkStart w:id="33" w:name="Xe1fc54a34a07067a39b3ae8af471724d2544052"/>
    <w:p>
      <w:pPr>
        <w:pStyle w:val="Heading3"/>
      </w:pPr>
      <w:r>
        <w:t xml:space="preserve">7.1 Khoảng trống nghiên cứu thực tiễn (5 khoảng trống — v3.2)</w:t>
      </w:r>
    </w:p>
    <w:p>
      <w:pPr>
        <w:pStyle w:val="FirstParagraph"/>
      </w:pPr>
      <w:r>
        <w:t xml:space="preserve">(Giữ nguyên — xem commit 7738953 + b3306e1.)</w:t>
      </w:r>
    </w:p>
    <w:bookmarkEnd w:id="33"/>
    <w:bookmarkStart w:id="34" w:name="Xbe51aa41e74a58326995973a912d3196f36d60f"/>
    <w:p>
      <w:pPr>
        <w:pStyle w:val="Heading3"/>
      </w:pPr>
      <w:r>
        <w:t xml:space="preserve">7.2 Kết luận chính (8 kết luận)</w:t>
      </w:r>
    </w:p>
    <w:p>
      <w:pPr>
        <w:pStyle w:val="FirstParagraph"/>
      </w:pPr>
      <w:r>
        <w:t xml:space="preserve">(Giữ nguyên — xem commit b3306e1.)</w:t>
      </w:r>
    </w:p>
    <w:bookmarkEnd w:id="34"/>
    <w:bookmarkStart w:id="39" w:name="Xe5805e8338c0a7a668c22ac22b4ff4edc93393f"/>
    <w:p>
      <w:pPr>
        <w:pStyle w:val="Heading3"/>
      </w:pPr>
      <w:r>
        <w:t xml:space="preserve">7.3 Hàm ý cho luận án và Chuyên đề 2</w:t>
      </w:r>
    </w:p>
    <w:bookmarkStart w:id="35" w:name="X8081d3c735c0a55e667e77b249ac7465d9a9cc2"/>
    <w:p>
      <w:pPr>
        <w:pStyle w:val="Heading4"/>
      </w:pPr>
      <w:r>
        <w:t xml:space="preserve">7.3.1 Hàm ý lý thuyết</w:t>
      </w:r>
    </w:p>
    <w:p>
      <w:pPr>
        <w:pStyle w:val="FirstParagraph"/>
      </w:pPr>
      <w:r>
        <w:t xml:space="preserve">(Giữ nguyên từ v3.3 — 5 evidence; AIPI; digital theatre warning. Xem commit cc33ed4.)</w:t>
      </w:r>
    </w:p>
    <w:bookmarkEnd w:id="35"/>
    <w:bookmarkStart w:id="36" w:name="X9475080baec86890d1b28c2b7204dae61d8c9e0"/>
    <w:p>
      <w:pPr>
        <w:pStyle w:val="Heading4"/>
      </w:pPr>
      <w:r>
        <w:t xml:space="preserve">7.3.2 Hàm ý phương pháp luận (mở rộng v3.3)</w:t>
      </w:r>
    </w:p>
    <w:p>
      <w:pPr>
        <w:pStyle w:val="FirstParagraph"/>
      </w:pPr>
      <w:r>
        <w:t xml:space="preserve">(Giữ nguyên từ v3.3 — 5 hàm ý + triple-defense system. Xem commit cc33ed4.)</w:t>
      </w:r>
    </w:p>
    <w:bookmarkEnd w:id="36"/>
    <w:bookmarkStart w:id="37" w:name="X92e6172ef17d476bb68724f0611009c3fadef2b"/>
    <w:p>
      <w:pPr>
        <w:pStyle w:val="Heading4"/>
      </w:pPr>
      <w:r>
        <w:t xml:space="preserve">7.3.3 Hàm ý chính sách cho doanh nghiệp Việt Nam và khu vực (mở rộng v3.5c từ 6 lên</w:t>
      </w:r>
      <w:r>
        <w:t xml:space="preserve"> </w:t>
      </w:r>
      <w:r>
        <w:rPr>
          <w:bCs/>
          <w:b/>
        </w:rPr>
        <w:t xml:space="preserve">8 hàm ý</w:t>
      </w:r>
      <w:r>
        <w:t xml:space="preserve"> </w:t>
      </w:r>
      <w:r>
        <w:t xml:space="preserve">+ v3.7 thêm hàm ý</w:t>
      </w:r>
      <w:r>
        <w:t xml:space="preserve"> </w:t>
      </w:r>
      <w:r>
        <w:rPr>
          <w:bCs/>
          <w:b/>
        </w:rPr>
        <w:t xml:space="preserve">(9) Hedging strategy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9 hàm ý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Cập nhật v3.5c</w:t>
      </w:r>
      <w:r>
        <w:t xml:space="preserve">: Mở rộng (7) Migration labor partnership Pacific + (8) NEW Chính sách số hóa Asia.</w:t>
      </w:r>
      <w:r>
        <w:t xml:space="preserve"> </w:t>
      </w:r>
      <w:r>
        <w:rPr>
          <w:bCs/>
          <w:b/>
        </w:rPr>
        <w:t xml:space="preserve">Cập nhật v3.7</w:t>
      </w:r>
      <w:r>
        <w:t xml:space="preserve">: Mở rộng (9) Hedging strategy 4 nguyên tắc.</w:t>
      </w:r>
      <w:r>
        <w:t xml:space="preserve"> </w:t>
      </w:r>
      <w:r>
        <w:rPr>
          <w:bCs/>
          <w:b/>
        </w:rPr>
        <w:t xml:space="preserve">Hàm ý (1)-(6)</w:t>
      </w:r>
      <w:r>
        <w:t xml:space="preserve"> </w:t>
      </w:r>
      <w:r>
        <w:t xml:space="preserve">giữ nguyên từ v3.2 — 6 hàm ý chính sách + 4 đề xuất GVC cho Việt Nam (commit 7738953).</w:t>
      </w:r>
    </w:p>
    <w:p>
      <w:pPr>
        <w:pStyle w:val="FirstParagraph"/>
      </w:pPr>
      <w:r>
        <w:rPr>
          <w:bCs/>
          <w:b/>
        </w:rPr>
        <w:t xml:space="preserve">(7) Migration labor partnership Pacific cho Việt Nam — bài học từ PLMS Australia + RSE New Zealand</w:t>
      </w:r>
    </w:p>
    <w:p>
      <w:pPr>
        <w:pStyle w:val="BlockText"/>
      </w:pPr>
      <w:r>
        <w:rPr>
          <w:bCs/>
          <w:b/>
        </w:rPr>
        <w:t xml:space="preserve">Bằng chứng nền tảng</w:t>
      </w:r>
      <w:r>
        <w:t xml:space="preserve">: §5.7.5 file 16 v3.5a (PICs macro context); Bertram (2006) MIRAB model — file 04 v2.5 Section N.</w:t>
      </w:r>
    </w:p>
    <w:p>
      <w:pPr>
        <w:pStyle w:val="FirstParagraph"/>
      </w:pPr>
      <w:r>
        <w:t xml:space="preserve">Bốn đề xuất cụ thể cho doanh nghiệp + nhà hoạch định chính sách Việt Nam: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Cs/>
          <w:b/>
        </w:rPr>
        <w:t xml:space="preserve">Học mô hình PLMS</w:t>
      </w:r>
      <w:r>
        <w:t xml:space="preserve"> </w:t>
      </w:r>
      <w:r>
        <w:rPr>
          <w:iCs/>
          <w:i/>
        </w:rPr>
        <w:t xml:space="preserve">(Australia Pacific Labour Mobility Scheme)</w:t>
      </w:r>
      <w:r>
        <w:t xml:space="preserve">: Australia chương trình PLMS gần 30.000 lao động PICs/năm, làm việc 1-3 năm trong nông nghiệp, chế biến thực phẩm, du lịch. Việt Nam có thể ký song phương MoU với Australia để chương trình tương tự</w:t>
      </w:r>
      <w:r>
        <w:t xml:space="preserve"> </w:t>
      </w:r>
      <w:r>
        <w:rPr>
          <w:bCs/>
          <w:b/>
        </w:rPr>
        <w:t xml:space="preserve">Vietnamese Skilled Worker Mobility Scheme</w:t>
      </w:r>
      <w:r>
        <w:t xml:space="preserve"> </w:t>
      </w:r>
      <w:r>
        <w:t xml:space="preserve">— tập trung vào nông nghiệp công nghệ cao + chế biến + healthcare aged-care (Australia có nhu cầu cao, dân số già hóa).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Cs/>
          <w:b/>
        </w:rPr>
        <w:t xml:space="preserve">Học mô hình RSE</w:t>
      </w:r>
      <w:r>
        <w:t xml:space="preserve"> </w:t>
      </w:r>
      <w:r>
        <w:rPr>
          <w:iCs/>
          <w:i/>
        </w:rPr>
        <w:t xml:space="preserve">(New Zealand Recognised Seasonal Employer)</w:t>
      </w:r>
      <w:r>
        <w:t xml:space="preserve">: New Zealand RSE chỉ áp dụng cho viticulture (vườn nho) + horticulture (vườn cây ăn quả) + fishing — work permits 7 tháng/năm. Việt Nam hợp tác với NZ để mở</w:t>
      </w:r>
      <w:r>
        <w:t xml:space="preserve"> </w:t>
      </w:r>
      <w:r>
        <w:rPr>
          <w:bCs/>
          <w:b/>
        </w:rPr>
        <w:t xml:space="preserve">Aquaculture + Coffee + Cashew Skills Exchange</w:t>
      </w:r>
      <w:r>
        <w:t xml:space="preserve"> </w:t>
      </w:r>
      <w:r>
        <w:t xml:space="preserve">— leveraging chuyên môn Việt Nam trong các ngành này.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Cs/>
          <w:b/>
        </w:rPr>
        <w:t xml:space="preserve">Cơ chế remittance corridor digital</w:t>
      </w:r>
      <w:r>
        <w:t xml:space="preserve">: Theo NotebookLM 06/05/2026, Vanuatu RSE remittances chiếm 15-20% GDP — chứng minh model "labor mobility + digital remittance" hiệu quả. Việt Nam có thể hợp tác với Wise/Western Union/MoMo để</w:t>
      </w:r>
      <w:r>
        <w:t xml:space="preserve"> </w:t>
      </w:r>
      <w:r>
        <w:rPr>
          <w:bCs/>
          <w:b/>
        </w:rPr>
        <w:t xml:space="preserve">giảm phí remittance từ ~7% xuống &lt;3%</w:t>
      </w:r>
      <w:r>
        <w:t xml:space="preserve"> </w:t>
      </w:r>
      <w:r>
        <w:t xml:space="preserve">cho lao động Việt ở Aus/NZ — tiết kiệm hàng trăm triệu USD/năm. Liên kết §5.3 (a) FDI commitment $2,4B với fintech focus.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Cs/>
          <w:b/>
        </w:rPr>
        <w:t xml:space="preserve">Skills upgrading approach để tránh brain drain</w:t>
      </w:r>
      <w:r>
        <w:t xml:space="preserve">: Migration labor có nguy cơ brain drain nếu chỉ low-skilled. Việt Nam cần đầu tư technical education + ngoại ngữ trước khi gửi đi, theo mô hình Korea Employment Permit System (EPS) — tập trung vào ngành cao kỹ + đảm bảo lao động return có vốn + kỹ năng để khởi nghiệp tại Việt Nam (return migration channel).</w:t>
      </w:r>
    </w:p>
    <w:p>
      <w:pPr>
        <w:pStyle w:val="BodyText"/>
      </w:pPr>
      <w:r>
        <w:rPr>
          <w:bCs/>
          <w:b/>
        </w:rPr>
        <w:t xml:space="preserve">(8) Chính sách số hóa Asia cho SME Việt Nam — bài học từ Singapore/Korea/Japan/Trung Quốc</w:t>
      </w:r>
    </w:p>
    <w:p>
      <w:pPr>
        <w:pStyle w:val="BlockText"/>
      </w:pPr>
      <w:r>
        <w:rPr>
          <w:bCs/>
          <w:b/>
        </w:rPr>
        <w:t xml:space="preserve">Bằng chứng nền tảng</w:t>
      </w:r>
      <w:r>
        <w:t xml:space="preserve">: §6.2 Innovation U-curve digital (commit b3306e1); Bảng 4.4 file 15 (Website Việt Nam 47% &lt; EAP average 58,9%); §5.4 Trung Quốc Wang/Huang/Hong (2024) concentration risk.</w:t>
      </w:r>
    </w:p>
    <w:p>
      <w:pPr>
        <w:pStyle w:val="FirstParagraph"/>
      </w:pPr>
      <w:r>
        <w:t xml:space="preserve">Bốn lộ trình số hóa cho SME Việt Nam tham khảo: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Cs/>
          <w:b/>
        </w:rPr>
        <w:t xml:space="preserve">Mô hình Singapore + Korea — AI integration full-stack</w:t>
      </w:r>
      <w:r>
        <w:t xml:space="preserve"> </w:t>
      </w:r>
      <w:r>
        <w:rPr>
          <w:iCs/>
          <w:i/>
        </w:rPr>
        <w:t xml:space="preserve">(Tier-3 transformation)</w:t>
      </w:r>
      <w:r>
        <w:t xml:space="preserve">: Singapore SmartNation initiative + Korea Digital New Deal đã đạt mức tích hợp AI vào toàn bộ chuỗi value chain — từ marketing automation → CRM intelligence → supply chain optimization → financial forecasting. SME Việt Nam ở giai đoạn này còn xa,</w:t>
      </w:r>
      <w:r>
        <w:t xml:space="preserve"> </w:t>
      </w:r>
      <w:r>
        <w:rPr>
          <w:bCs/>
          <w:b/>
        </w:rPr>
        <w:t xml:space="preserve">không nên copy nguyên mẫu</w:t>
      </w:r>
      <w:r>
        <w:t xml:space="preserve"> </w:t>
      </w:r>
      <w:r>
        <w:t xml:space="preserve">mà nên target</w:t>
      </w:r>
      <w:r>
        <w:t xml:space="preserve"> </w:t>
      </w:r>
      <w:r>
        <w:rPr>
          <w:bCs/>
          <w:b/>
        </w:rPr>
        <w:t xml:space="preserve">Tier-2 first</w:t>
      </w:r>
      <w:r>
        <w:t xml:space="preserve"> </w:t>
      </w:r>
      <w:r>
        <w:t xml:space="preserve">(xem điểm (d) dưới đây).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Cs/>
          <w:b/>
        </w:rPr>
        <w:t xml:space="preserve">Mô hình Japan — 60% DN dùng AI back-office</w:t>
      </w:r>
      <w:r>
        <w:t xml:space="preserve"> </w:t>
      </w:r>
      <w:r>
        <w:rPr>
          <w:iCs/>
          <w:i/>
        </w:rPr>
        <w:t xml:space="preserve">(Tier-2 productive transformation)</w:t>
      </w:r>
      <w:r>
        <w:t xml:space="preserve">: Japan đã đạt 60% doanh nghiệp dùng AI cho back-office tasks (accounting automation, HR scheduling, customer service chatbots). Đây là</w:t>
      </w:r>
      <w:r>
        <w:t xml:space="preserve"> </w:t>
      </w:r>
      <w:r>
        <w:rPr>
          <w:bCs/>
          <w:b/>
        </w:rPr>
        <w:t xml:space="preserve">realistic target cho SME Việt Nam 2026-2030</w:t>
      </w:r>
      <w:r>
        <w:t xml:space="preserve"> </w:t>
      </w:r>
      <w:r>
        <w:t xml:space="preserve">— không cần AI cutting-edge, chỉ cần AI applied cho efficiency gains. Khuyến nghị: chính phủ tài trợ</w:t>
      </w:r>
      <w:r>
        <w:t xml:space="preserve"> </w:t>
      </w:r>
      <w:r>
        <w:rPr>
          <w:bCs/>
          <w:b/>
        </w:rPr>
        <w:t xml:space="preserve">AI Adoption Voucher Program</w:t>
      </w:r>
      <w:r>
        <w:t xml:space="preserve"> </w:t>
      </w:r>
      <w:r>
        <w:t xml:space="preserve">cho SME (~50 triệu VND/firm) để mua off-the-shelf AI tools (Microsoft Copilot, Notion AI, Make.com).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Cs/>
          <w:b/>
        </w:rPr>
        <w:t xml:space="preserve">Mô hình Trung Quốc — sản xuất thông minh + cảnh báo rủi ro tập trung (smart manufacturing + concentration risk warning)</w:t>
      </w:r>
      <w:r>
        <w:t xml:space="preserve"> </w:t>
      </w:r>
      <w:r>
        <w:rPr>
          <w:iCs/>
          <w:i/>
        </w:rPr>
        <w:t xml:space="preserve">(Tier-2/3 hybrid + cảnh báo)</w:t>
      </w:r>
      <w:r>
        <w:t xml:space="preserve">: Trung Quốc dẫn đầu châu Á trong</w:t>
      </w:r>
      <w:r>
        <w:t xml:space="preserve"> </w:t>
      </w:r>
      <w:r>
        <w:rPr>
          <w:bCs/>
          <w:b/>
        </w:rPr>
        <w:t xml:space="preserve">sản xuất thông minh (smart manufacturing)</w:t>
      </w:r>
      <w:r>
        <w:t xml:space="preserve"> </w:t>
      </w:r>
      <w:r>
        <w:t xml:space="preserve">với chuẩn Công nghiệp 4.0 (Industry 4.0 standards) — Foxconn Thâm Quyến, BYD, Geely. Tuy nhiên</w:t>
      </w:r>
      <w:r>
        <w:t xml:space="preserve"> </w:t>
      </w:r>
      <w:r>
        <w:rPr>
          <w:bCs/>
          <w:b/>
        </w:rPr>
        <w:t xml:space="preserve">80% mô hình rủi ro ngân hàng (bank risk models) PRC phụ thuộc nhà cung cấp công nghệ lớn (dominant tech providers)</w:t>
      </w:r>
      <w:r>
        <w:t xml:space="preserve"> </w:t>
      </w:r>
      <w:r>
        <w:t xml:space="preserve">(Wang/Huang/Hong, 2024 —</w:t>
      </w:r>
      <w:r>
        <w:t xml:space="preserve"> </w:t>
      </w:r>
      <w:r>
        <w:rPr>
          <w:iCs/>
          <w:i/>
        </w:rPr>
        <w:t xml:space="preserve">IRFA</w:t>
      </w:r>
      <w:r>
        <w:t xml:space="preserve">) →</w:t>
      </w:r>
      <w:r>
        <w:t xml:space="preserve"> </w:t>
      </w:r>
      <w:r>
        <w:rPr>
          <w:bCs/>
          <w:b/>
        </w:rPr>
        <w:t xml:space="preserve">rủi ro tập trung (concentration risk)</w:t>
      </w:r>
      <w:r>
        <w:t xml:space="preserve"> </w:t>
      </w:r>
      <w:r>
        <w:t xml:space="preserve">cao. Việt Nam cần học mặt tích cực (lộ trình sản xuất thông minh) nhưng</w:t>
      </w:r>
      <w:r>
        <w:t xml:space="preserve"> </w:t>
      </w:r>
      <w:r>
        <w:rPr>
          <w:bCs/>
          <w:b/>
        </w:rPr>
        <w:t xml:space="preserve">TRÁNH lệ thuộc cứng (lock-in)</w:t>
      </w:r>
      <w:r>
        <w:t xml:space="preserve"> </w:t>
      </w:r>
      <w:r>
        <w:t xml:space="preserve">vào nhà cung cấp ngoại đơn lẻ — đẩy mạnh</w:t>
      </w:r>
      <w:r>
        <w:t xml:space="preserve"> </w:t>
      </w:r>
      <w:r>
        <w:rPr>
          <w:bCs/>
          <w:b/>
        </w:rPr>
        <w:t xml:space="preserve">tiêu chuẩn mở (open standards)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mua sắm đa nhà cung cấp (multi-vendor procurement)</w:t>
      </w:r>
      <w:r>
        <w:t xml:space="preserve"> </w:t>
      </w:r>
      <w:r>
        <w:t xml:space="preserve">cho FDI sản xuất chế biến.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Cs/>
          <w:b/>
        </w:rPr>
        <w:t xml:space="preserve">Mô hình ưu tiên cho SME Việt Nam — digital payment + social commerce</w:t>
      </w:r>
      <w:r>
        <w:t xml:space="preserve"> </w:t>
      </w:r>
      <w:r>
        <w:rPr>
          <w:iCs/>
          <w:i/>
        </w:rPr>
        <w:t xml:space="preserve">(Tier-1.5 Vietnamese-specific)</w:t>
      </w:r>
      <w:r>
        <w:t xml:space="preserve">: Việt Nam có lợi thế đặc biệt — VietQR ecosystem + mobile payment (MoMo, ZaloPay, ViettelPay) + social commerce qua TikTok/Facebook (&gt;200 triệu user trong khu vực). SME Việt Nam nên ưu tiên 4 layer: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payment integration</w:t>
      </w:r>
      <w:r>
        <w:t xml:space="preserve"> </w:t>
      </w:r>
      <w:r>
        <w:t xml:space="preserve">— accept mọi loại payment qua VietQR (đã miễn phí 100%, không như credit card 2-3%)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Social commerce optimization</w:t>
      </w:r>
      <w:r>
        <w:t xml:space="preserve"> </w:t>
      </w:r>
      <w:r>
        <w:t xml:space="preserve">— Facebook Live + TikTok Shop là kênh bán hàng chính cho retail SME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Cross-border e-commerce</w:t>
      </w:r>
      <w:r>
        <w:t xml:space="preserve"> </w:t>
      </w:r>
      <w:r>
        <w:t xml:space="preserve">— Shopee Asia Pacific + Amazon Vietnam Sellers Program để xuất khẩu micro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+ basic AI tools</w:t>
      </w:r>
      <w:r>
        <w:t xml:space="preserve"> </w:t>
      </w:r>
      <w:r>
        <w:t xml:space="preserve">— Google Workspace + Microsoft 365 + Make.com automation</w:t>
      </w:r>
      <w:r>
        <w:t xml:space="preserve"> </w:t>
      </w:r>
      <w:r>
        <w:t xml:space="preserve">→ Mức</w:t>
      </w:r>
      <w:r>
        <w:t xml:space="preserve"> </w:t>
      </w:r>
      <w:r>
        <w:rPr>
          <w:bCs/>
          <w:b/>
        </w:rPr>
        <w:t xml:space="preserve">Tier-1.5</w:t>
      </w:r>
      <w:r>
        <w:t xml:space="preserve"> </w:t>
      </w:r>
      <w:r>
        <w:t xml:space="preserve">— vượt website passive (Tier-1) nhưng chưa đến full-stack AI (Tier-2/3) — phù hợp với pattern thực tế Việt Nam và mức R&amp;D 6,1%.</w:t>
      </w:r>
    </w:p>
    <w:p>
      <w:pPr>
        <w:pStyle w:val="FirstParagraph"/>
      </w:pPr>
      <w:r>
        <w:rPr>
          <w:bCs/>
          <w:b/>
        </w:rPr>
        <w:t xml:space="preserve">Hàm ý cho CĐ2</w:t>
      </w:r>
      <w:r>
        <w:t xml:space="preserve">: bổ sung</w:t>
      </w:r>
      <w:r>
        <w:t xml:space="preserve"> </w:t>
      </w:r>
      <w:r>
        <w:rPr>
          <w:bCs/>
          <w:b/>
        </w:rPr>
        <w:t xml:space="preserve">biến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Digital_Tier_Vietnam</w:t>
      </w:r>
      <w:r>
        <w:t xml:space="preserve"> </w:t>
      </w:r>
      <w:r>
        <w:t xml:space="preserve">với 4 cấp (Tier-1 website, Tier-1.5 digital payment+social commerce, Tier-2 productive AI, Tier-3 full-stack AI) → test xem mỗi tier có productivity payoff khác nhau không. Kỳ vọng: Tier-1 không add productivity (saturated); Tier-1.5 add productivity ở SME-driven economies (VN, IDN, PHL); Tier-2 add productivity ở Manufacturing; Tier-3 add productivity ở ICT + Finance.</w:t>
      </w:r>
    </w:p>
    <w:p>
      <w:pPr>
        <w:pStyle w:val="BodyText"/>
      </w:pPr>
      <w:r>
        <w:rPr>
          <w:bCs/>
          <w:b/>
        </w:rPr>
        <w:t xml:space="preserve">(9) Hedging strategy — đa dạng hóa thị trường + buffer inventory + higher-value FDI partnership + financial hedging</w:t>
      </w:r>
    </w:p>
    <w:p>
      <w:pPr>
        <w:pStyle w:val="BlockText"/>
      </w:pPr>
      <w:r>
        <w:rPr>
          <w:bCs/>
          <w:b/>
        </w:rPr>
        <w:t xml:space="preserve">Bằng chứng nền tảng</w:t>
      </w:r>
      <w:r>
        <w:t xml:space="preserve">: §1.1 file 14 v3.11 Lớp 7 (bất định chính sách thuế quan Mỹ 2026); §6 v3.7 (front-loading effect + tariff uncertainty); §5.3 v3.6 (5 rủi ro Việt Nam).</w:t>
      </w:r>
    </w:p>
    <w:p>
      <w:pPr>
        <w:pStyle w:val="FirstParagraph"/>
      </w:pPr>
      <w:r>
        <w:t xml:space="preserve">Trong bối cảnh Mỹ chiếm xấp xỉ 30% kim ngạch xuất khẩu Việt Nam và bất định chính sách thuế quan 2026 gây áp lực kép (front-loading + trì hoãn đầu tư + phân hóa lớn vs SME), doanh nghiệp Việt Nam cần</w:t>
      </w:r>
      <w:r>
        <w:t xml:space="preserve"> </w:t>
      </w:r>
      <w:r>
        <w:rPr>
          <w:bCs/>
          <w:b/>
        </w:rPr>
        <w:t xml:space="preserve">hedging strategy 4 nguyên tắc</w:t>
      </w:r>
      <w:r>
        <w:t xml:space="preserve">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Cs/>
          <w:b/>
        </w:rPr>
        <w:t xml:space="preserve">Đa dạng hóa thị trường — giảm phụ thuộc Mỹ ~30% qua 5 hành lang thay thế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RCEP</w:t>
      </w:r>
      <w:r>
        <w:t xml:space="preserve"> </w:t>
      </w:r>
      <w:r>
        <w:t xml:space="preserve">(Regional Comprehensive Economic Partnership) — 15 thành viên gồm ASEAN+5 (China, Japan, Korea, Australia, New Zealand) — tổng GDP $26 ngàn tỷ, đối trọng lớn với Mỹ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CPTPP</w:t>
      </w:r>
      <w:r>
        <w:t xml:space="preserve"> </w:t>
      </w:r>
      <w:r>
        <w:t xml:space="preserve">(Comprehensive and Progressive Trans-Pacific Partnership) — 11 thành viên (Singapore, Japan, Australia, NZ, Mexico, Canada, Chile, Peru, Brunei, Malaysia, Việt Nam) — phân khúc cao cấp + dịch vụ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ACFTA</w:t>
      </w:r>
      <w:r>
        <w:t xml:space="preserve"> </w:t>
      </w:r>
      <w:r>
        <w:t xml:space="preserve">(ASEAN-China Free Trade Area) — đặc biệt cho electronics + textiles + agricultural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GCC partnership</w:t>
      </w:r>
      <w:r>
        <w:t xml:space="preserve"> </w:t>
      </w:r>
      <w:r>
        <w:t xml:space="preserve">(Gulf Cooperation Council — Saudi/Qatar/UAE/Kuwait/Bahrain/Oman) — đa dạng hóa sang Trung Đông sau xung đột giảm áp lực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India trade corridor</w:t>
      </w:r>
      <w:r>
        <w:t xml:space="preserve"> </w:t>
      </w:r>
      <w:r>
        <w:t xml:space="preserve">— thông qua India-Vietnam Comprehensive Strategic Partnership 2024 — thị trường 1,4 tỷ dân tăng nhanh</w:t>
      </w:r>
    </w:p>
    <w:p>
      <w:pPr>
        <w:pStyle w:val="FirstParagraph"/>
      </w:pPr>
      <w:r>
        <w:t xml:space="preserve">Mục tiêu: giảm tỷ trọng xuất khẩu sang Mỹ từ 30% → 22-25% trong 2026-2030.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Cs/>
          <w:b/>
        </w:rPr>
        <w:t xml:space="preserve">Lập kế hoạch đẩy nhanh giao hàng + tồn kho dự phòng (front-loading planning + buffer inventory)</w:t>
      </w:r>
      <w:r>
        <w:t xml:space="preserve"> </w:t>
      </w:r>
      <w:r>
        <w:t xml:space="preserve">— đối phó với bất định chính sách thuế quan: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Lập kế hoạch đẩy nhanh giao hàng (front-load planning)</w:t>
      </w:r>
      <w:r>
        <w:t xml:space="preserve">: doanh nghiệp xuất khẩu lớn lập kế hoạch giao hàng quý 1-2 2026 để tận dụng cửa sổ thuế 10% — KHÔNG vi phạm quy tắc chống bán phá giá (anti-dumping rules) vì là phản ứng chính sách (policy response)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Tồn kho dự phòng (buffer inventory)</w:t>
      </w:r>
      <w:r>
        <w:t xml:space="preserve"> </w:t>
      </w:r>
      <w:r>
        <w:t xml:space="preserve">ở thị trường Mỹ: duy trì</w:t>
      </w:r>
      <w:r>
        <w:t xml:space="preserve"> </w:t>
      </w:r>
      <w:r>
        <w:rPr>
          <w:bCs/>
          <w:b/>
        </w:rPr>
        <w:t xml:space="preserve">kho ngoại quan (warehouse)</w:t>
      </w:r>
      <w:r>
        <w:t xml:space="preserve"> </w:t>
      </w:r>
      <w:r>
        <w:t xml:space="preserve">với 60-90 ngày tồn kho để chống chịu gián đoạn ngắn hạn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Tái cấu trúc hợp đồng (contract restructuring)</w:t>
      </w:r>
      <w:r>
        <w:t xml:space="preserve">: chuyển sang hợp đồng định giá bằng USD (USD-denominated contracts) với</w:t>
      </w:r>
      <w:r>
        <w:t xml:space="preserve"> </w:t>
      </w:r>
      <w:r>
        <w:rPr>
          <w:bCs/>
          <w:b/>
        </w:rPr>
        <w:t xml:space="preserve">điều khoản tối huệ quốc (Most-Favored-Nation — MFN clauses)</w:t>
      </w:r>
      <w:r>
        <w:t xml:space="preserve"> </w:t>
      </w:r>
      <w:r>
        <w:t xml:space="preserve">để bảo vệ trước thay đổi thuế quan có hiệu lực hồi tố (retroactive tariff changes)</w:t>
      </w:r>
    </w:p>
    <w:p>
      <w:pPr>
        <w:pStyle w:val="FirstParagraph"/>
      </w:pPr>
      <w:r>
        <w:t xml:space="preserve">(c)</w:t>
      </w:r>
      <w:r>
        <w:t xml:space="preserve"> </w:t>
      </w:r>
      <w:r>
        <w:rPr>
          <w:bCs/>
          <w:b/>
        </w:rPr>
        <w:t xml:space="preserve">Higher-value FDI partnership thay assembly</w:t>
      </w:r>
      <w:r>
        <w:t xml:space="preserve"> </w:t>
      </w:r>
      <w:r>
        <w:t xml:space="preserve">— học từ §5.3 (d) GVC re-positioning: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TRÁNH</w:t>
      </w:r>
      <w:r>
        <w:t xml:space="preserve"> </w:t>
      </w:r>
      <w:r>
        <w:t xml:space="preserve">assembly-only FDI (low value-added, high tariff vulnerability) — Foxconn/Samsung assembly mass-production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ƯU TIÊN</w:t>
      </w:r>
      <w:r>
        <w:t xml:space="preserve"> </w:t>
      </w:r>
      <w:r>
        <w:t xml:space="preserve">R&amp;D + design FDI partnership — Singapore Pacific Tech Park model, Korean semiconductor packaging Hà Nội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Mục tiêu</w:t>
      </w:r>
      <w:r>
        <w:t xml:space="preserve">: tăng value-added per export USD từ ~30% (hiện tại) lên 45-50% trong 2026-2030 — phù hợp với Vietnam_HighValue_FDI_2026 (xem §5.3 hàm ý CĐ2)</w:t>
      </w:r>
    </w:p>
    <w:p>
      <w:pPr>
        <w:pStyle w:val="FirstParagraph"/>
      </w:pPr>
      <w:r>
        <w:t xml:space="preserve">(d)</w:t>
      </w:r>
      <w:r>
        <w:t xml:space="preserve"> </w:t>
      </w:r>
      <w:r>
        <w:rPr>
          <w:bCs/>
          <w:b/>
        </w:rPr>
        <w:t xml:space="preserve">Phòng ngừa tài chính cho rủi ro tỷ giá USD/VND (financial hedging)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Phòng ngừa rủi ro ngoại hối (forex hedging)</w:t>
      </w:r>
      <w:r>
        <w:t xml:space="preserve">:</w:t>
      </w:r>
      <w:r>
        <w:t xml:space="preserve"> </w:t>
      </w:r>
      <w:r>
        <w:rPr>
          <w:bCs/>
          <w:b/>
        </w:rPr>
        <w:t xml:space="preserve">hợp đồng kỳ hạn (forward contracts)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hoán đổi tiền tệ (currency swaps)</w:t>
      </w:r>
      <w:r>
        <w:t xml:space="preserve"> </w:t>
      </w:r>
      <w:r>
        <w:t xml:space="preserve">cho doanh nghiệp xuất khẩu trên 1 triệu USD/năm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Khoản phải thu đa tiền tệ (multi-currency receivables)</w:t>
      </w:r>
      <w:r>
        <w:t xml:space="preserve">: lập</w:t>
      </w:r>
      <w:r>
        <w:t xml:space="preserve"> </w:t>
      </w:r>
      <w:r>
        <w:rPr>
          <w:bCs/>
          <w:b/>
        </w:rPr>
        <w:t xml:space="preserve">hóa đơn đa tiền tệ (multi-currency invoicing)</w:t>
      </w:r>
      <w:r>
        <w:t xml:space="preserve"> </w:t>
      </w:r>
      <w:r>
        <w:t xml:space="preserve">với tỷ lệ 30% EUR + 30% JPY + 40% USD để giảm phơi nhiễm USD (dollar exposure)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Hợp tác phòng ngừa giữa các ngân hàng (bank consortium hedging)</w:t>
      </w:r>
      <w:r>
        <w:t xml:space="preserve">: Vietcombank + BIDV + Techcombank lập hợp tác cung cấp sản phẩm phòng ngừa chi phí thấp cho SME (~0,5-1% giá trị danh nghĩa — notional vs 1,5-2% hiện tại)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Phòng ngừa thông qua công nghệ tài chính (fintech-enabled hedging)</w:t>
      </w:r>
      <w:r>
        <w:t xml:space="preserve">: tận dụng MoMo + ZaloPay + ViettelPay với nhà cung cấp thanh khoản đặt tại Singapore (Singapore-based liquidity providers — Wise, Currencycloud)</w:t>
      </w:r>
    </w:p>
    <w:p>
      <w:pPr>
        <w:pStyle w:val="FirstParagraph"/>
      </w:pPr>
      <w:r>
        <w:rPr>
          <w:bCs/>
          <w:b/>
        </w:rPr>
        <w:t xml:space="preserve">Hàm ý cho CĐ2</w:t>
      </w:r>
      <w:r>
        <w:t xml:space="preserve">: bổ sung</w:t>
      </w:r>
      <w:r>
        <w:t xml:space="preserve"> </w:t>
      </w:r>
      <w:r>
        <w:rPr>
          <w:bCs/>
          <w:b/>
        </w:rPr>
        <w:t xml:space="preserve">biến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Hedging_Capability_Index</w:t>
      </w:r>
      <w:r>
        <w:t xml:space="preserve"> </w:t>
      </w:r>
      <w:r>
        <w:t xml:space="preserve">(proxy: market diversification HHI + buffer inventory days + forex hedging ratio + multi-currency invoicing %) để test xem doanh nghiệp có hedging capability cao có productivity payoff dài hạn ổn định hơn không (vs short-term boost rồi exhaustion). Robustness check #9 (hedging-adjusted) — bổ sung sau front-loading-adjusted (#8).</w:t>
      </w:r>
    </w:p>
    <w:bookmarkEnd w:id="37"/>
    <w:bookmarkStart w:id="38" w:name="Xf8ffcf8c237aded6eeab497ac26c31d885d381a"/>
    <w:p>
      <w:pPr>
        <w:pStyle w:val="Heading4"/>
      </w:pPr>
      <w:r>
        <w:t xml:space="preserve">7.3.4 Hàm ý cho Chuyên đề 2 và luận án</w:t>
      </w:r>
    </w:p>
    <w:p>
      <w:pPr>
        <w:pStyle w:val="FirstParagraph"/>
      </w:pPr>
      <w:r>
        <w:t xml:space="preserve">(Giữ nguyên từ v3.3 — 8 robustness checks. Xem commit cc33ed4.)</w:t>
      </w:r>
    </w:p>
    <w:bookmarkEnd w:id="38"/>
    <w:bookmarkEnd w:id="39"/>
    <w:bookmarkStart w:id="40" w:name="Xd6751fcd941cac399b01196917eb10d5a3f96de"/>
    <w:p>
      <w:pPr>
        <w:pStyle w:val="Heading3"/>
      </w:pPr>
      <w:r>
        <w:t xml:space="preserve">7.4 Hạn chế của chuyên đề</w:t>
      </w:r>
    </w:p>
    <w:p>
      <w:pPr>
        <w:pStyle w:val="FirstParagraph"/>
      </w:pPr>
      <w:r>
        <w:t xml:space="preserve">(Giữ nguyên từ v3.2 — 7 hạn chế.)</w:t>
      </w:r>
    </w:p>
    <w:bookmarkEnd w:id="40"/>
    <w:bookmarkStart w:id="41" w:name="Xc4757111c20a258654aa235c758872e831b52cb"/>
    <w:p>
      <w:pPr>
        <w:pStyle w:val="Heading3"/>
      </w:pPr>
      <w:r>
        <w:t xml:space="preserve">7.5 Kế hoạch hoàn thiện</w:t>
      </w:r>
    </w:p>
    <w:p>
      <w:pPr>
        <w:pStyle w:val="FirstParagraph"/>
      </w:pPr>
      <w:r>
        <w:t xml:space="preserve">(Giữ nguyên từ v3.1a — 4 giai đoạn 6/2026 → 9/2026.)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ài-liệu-tham-khảo"/>
    <w:p>
      <w:pPr>
        <w:pStyle w:val="Heading2"/>
      </w:pPr>
      <w:r>
        <w:t xml:space="preserve">TÀI LIỆU THAM KHẢO</w:t>
      </w:r>
    </w:p>
    <w:p>
      <w:pPr>
        <w:pStyle w:val="BlockText"/>
      </w:pPr>
      <w:r>
        <w:t xml:space="preserve">Trích dẫn theo APA 7th. Danh mục đầy đủ ở</w:t>
      </w:r>
      <w:r>
        <w:t xml:space="preserve"> </w:t>
      </w:r>
      <w:r>
        <w:rPr>
          <w:rStyle w:val="VerbatimChar"/>
        </w:rPr>
        <w:t xml:space="preserve">thesis/04_references_apa7.md</w:t>
      </w:r>
      <w:r>
        <w:t xml:space="preserve"> </w:t>
      </w:r>
      <w:r>
        <w:t xml:space="preserve">(v2.5).</w:t>
      </w:r>
    </w:p>
    <w:p>
      <w:r>
        <w:pict>
          <v:rect style="width:0;height:1.5pt" o:hralign="center" o:hrstd="t" o:hr="t"/>
        </w:pict>
      </w:r>
    </w:p>
    <w:bookmarkEnd w:id="43"/>
    <w:bookmarkStart w:id="46" w:name="phụ-lục"/>
    <w:p>
      <w:pPr>
        <w:pStyle w:val="Heading2"/>
      </w:pPr>
      <w:r>
        <w:t xml:space="preserve">PHỤ LỤC</w:t>
      </w:r>
    </w:p>
    <w:bookmarkStart w:id="44" w:name="X455ce858332f7a7b125a8542ec5352c1f9e8564"/>
    <w:p>
      <w:pPr>
        <w:pStyle w:val="Heading3"/>
      </w:pPr>
      <w:r>
        <w:t xml:space="preserve">Phụ lục A — Phạm vi thực tế của nhóm dữ liệu WBES</w:t>
      </w:r>
    </w:p>
    <w:p>
      <w:pPr>
        <w:pStyle w:val="FirstParagraph"/>
      </w:pPr>
      <w:r>
        <w:t xml:space="preserve">47 nước, 108 cặp QG×năm, 101.185 doanh nghiệp, 7 SIDS bao gồm Kiribati 2025.</w:t>
      </w:r>
    </w:p>
    <w:bookmarkEnd w:id="44"/>
    <w:bookmarkStart w:id="45" w:name="phụ-lục-b--g"/>
    <w:p>
      <w:pPr>
        <w:pStyle w:val="Heading3"/>
      </w:pPr>
      <w:r>
        <w:t xml:space="preserve">Phụ lục B – G</w:t>
      </w:r>
    </w:p>
    <w:p>
      <w:pPr>
        <w:pStyle w:val="FirstParagraph"/>
      </w:pPr>
      <w:r>
        <w:t xml:space="preserve">(Sẽ mở rộng giai đoạn 1–3 tháng 6–8/2026.)</w:t>
      </w:r>
    </w:p>
    <w:bookmarkEnd w:id="45"/>
    <w:bookmarkEnd w:id="46"/>
    <w:bookmarkEnd w:id="47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360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360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360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360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360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360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360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2026-05-25T00:23:22Z</dcterms:created>
  <dcterms:modified xsi:type="dcterms:W3CDTF">2026-05-25T00:23:22Z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