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phương-pháp-nghiên-cứu"/>
    <w:p>
      <w:pPr>
        <w:pStyle w:val="Heading1"/>
      </w:pPr>
      <w:r>
        <w:t xml:space="preserve">Phương pháp nghiên cứu</w:t>
      </w:r>
    </w:p>
    <w:p>
      <w:pPr>
        <w:pStyle w:val="FirstParagraph"/>
      </w:pPr>
      <w:r>
        <w:t xml:space="preserve">File này trình bày thiết kế nghiên cứu, nguồn dữ liệu, đo lường biến, mô hình phân tích và kiểm định độ vững. Mỗi thành phần đều được giải thích theo hai loại cơ sở:</w:t>
      </w:r>
    </w:p>
    <w:p>
      <w:pPr>
        <w:numPr>
          <w:ilvl w:val="0"/>
          <w:numId w:val="1001"/>
        </w:numPr>
        <w:pStyle w:val="Compact"/>
      </w:pPr>
      <w:r>
        <w:rPr>
          <w:bCs/>
          <w:b/>
        </w:rPr>
        <w:t xml:space="preserve">Cơ sở kế thừa</w:t>
      </w:r>
      <w:r>
        <w:t xml:space="preserve">: phương pháp đã được công nhận trong literature, kèm citation APA 7th.</w:t>
      </w:r>
    </w:p>
    <w:p>
      <w:pPr>
        <w:numPr>
          <w:ilvl w:val="0"/>
          <w:numId w:val="1001"/>
        </w:numPr>
        <w:pStyle w:val="Compact"/>
      </w:pPr>
      <w:r>
        <w:rPr>
          <w:bCs/>
          <w:b/>
        </w:rPr>
        <w:t xml:space="preserve">Đóng góp mới/điều chỉnh</w:t>
      </w:r>
      <w:r>
        <w:t xml:space="preserve">: những điểm mà luận án cải tiến hoặc tổ chức mới, kèm lập luận rõ ràng.</w:t>
      </w:r>
    </w:p>
    <w:bookmarkStart w:id="22" w:name="X56424e3208dc91a2885d1c297474f714b95bcea"/>
    <w:p>
      <w:pPr>
        <w:pStyle w:val="Heading2"/>
      </w:pPr>
      <w:r>
        <w:t xml:space="preserve">1. Thiết kế nghiên cứu tổng thể</w:t>
      </w:r>
    </w:p>
    <w:bookmarkStart w:id="20" w:name="X754c796eb9648f308f08c432f0050cd9b94c6c8"/>
    <w:p>
      <w:pPr>
        <w:pStyle w:val="Heading3"/>
      </w:pPr>
      <w:r>
        <w:t xml:space="preserve">1.1 Loại thiết kế</w:t>
      </w:r>
    </w:p>
    <w:p>
      <w:pPr>
        <w:pStyle w:val="FirstParagraph"/>
      </w:pPr>
      <w:r>
        <w:t xml:space="preserve">Luận án sử dụng</w:t>
      </w:r>
      <w:r>
        <w:t xml:space="preserve"> </w:t>
      </w:r>
      <w:r>
        <w:rPr>
          <w:bCs/>
          <w:b/>
        </w:rPr>
        <w:t xml:space="preserve">mixed synthesis-empirical design</w:t>
      </w:r>
      <w:r>
        <w:t xml:space="preserve"> </w:t>
      </w:r>
      <w:r>
        <w:t xml:space="preserve">gồm hai phase bổ sung cho nhau. Phase thứ nhất là meta-analysis tổng hợp literature để trả lời RQ1, còn phase thứ hai là phân tích thực nghiệm doanh nghiệp đa quốc gia để trả lời RQ2–RQ4. Hai phase đối thoại hai chiều: meta cung cấp baseline và gợi ý moderator cần kiểm định, còn empirical cung cấp bằng chứng bổ sung cho meta về bối cảnh châu Á và Pacific.</w:t>
      </w:r>
    </w:p>
    <w:p>
      <w:pPr>
        <w:pStyle w:val="BodyText"/>
      </w:pPr>
      <w:r>
        <w:rPr>
          <w:bCs/>
          <w:b/>
        </w:rPr>
        <w:t xml:space="preserve">Cơ sở kế thừa</w:t>
      </w:r>
      <w:r>
        <w:t xml:space="preserve">: Mixed design kết hợp meta và primary data đã được áp dụng trong quản trị chiến lược và IB (Borenstein et al., 2009; Hunter &amp; Schmidt, 2004; Combs et al., 2011).</w:t>
      </w:r>
    </w:p>
    <w:p>
      <w:pPr>
        <w:pStyle w:val="BodyText"/>
      </w:pPr>
      <w:r>
        <w:rPr>
          <w:bCs/>
          <w:b/>
        </w:rPr>
        <w:t xml:space="preserve">Đóng góp mới</w:t>
      </w:r>
      <w:r>
        <w:t xml:space="preserve">: Áp dụng mixed design cho một luận án duy nhất về internationalization–firm performance trong bối cảnh châu Á và Pacific với</w:t>
      </w:r>
      <w:r>
        <w:t xml:space="preserve"> </w:t>
      </w:r>
      <w:r>
        <w:rPr>
          <w:bCs/>
          <w:b/>
        </w:rPr>
        <w:t xml:space="preserve">47 nền kinh tế</w:t>
      </w:r>
      <w:r>
        <w:t xml:space="preserve"> </w:t>
      </w:r>
      <w:r>
        <w:t xml:space="preserve">là thiết kế hiếm gặp; đa số các luận án IB chỉ làm một trong hai phase. Quy mô 47 nước/101.185 doanh nghiệp là phạm vi địa lý lớn nhất từng có cho khu vực, mở rộng từ pool 17 nước trong Đỗ và Phan (2026 — VEFR).</w:t>
      </w:r>
    </w:p>
    <w:bookmarkEnd w:id="20"/>
    <w:bookmarkStart w:id="21" w:name="X248f0021a5a12709954fcf24a7f49cf9c0e965e"/>
    <w:p>
      <w:pPr>
        <w:pStyle w:val="Heading3"/>
      </w:pPr>
      <w:r>
        <w:t xml:space="preserve">1.2 Quy trình nghiên cứu</w:t>
      </w:r>
    </w:p>
    <w:p>
      <w:pPr>
        <w:pStyle w:val="FirstParagraph"/>
      </w:pPr>
      <w:r>
        <w:t xml:space="preserve">Quy trình đi theo sáu bước: (i) xác định khoảng trống nghiên cứu từ tổng quan và meta-analysis trước đây; (ii) xây dựng khung lý thuyết tích hợp đa tầng và hệ giả thuyết H1–H6; (iii) tiến hành meta-analysis cập nhật 1982–2026; (iv) thu thập và chuẩn hóa dữ liệu WBES cho</w:t>
      </w:r>
      <w:r>
        <w:t xml:space="preserve"> </w:t>
      </w:r>
      <w:r>
        <w:rPr>
          <w:bCs/>
          <w:b/>
        </w:rPr>
        <w:t xml:space="preserve">47 nền kinh tế châu Á và Pacific</w:t>
      </w:r>
      <w:r>
        <w:t xml:space="preserve"> </w:t>
      </w:r>
      <w:r>
        <w:t xml:space="preserve">sau khi hòa hợp 3 thế hệ schema (PICS3, Standardized, BREADY/BEE); (v) ước lượng mô hình thực nghiệm theo bối cảnh quốc gia và đa quốc gia; (vi) kiểm định độ vững và tích hợp kết quả để đóng góp lý thuyết.</w:t>
      </w:r>
    </w:p>
    <w:bookmarkEnd w:id="21"/>
    <w:bookmarkEnd w:id="22"/>
    <w:bookmarkStart w:id="26" w:name="Xb099187d4d77291265428c7dacb6385eb4b3527"/>
    <w:p>
      <w:pPr>
        <w:pStyle w:val="Heading2"/>
      </w:pPr>
      <w:r>
        <w:t xml:space="preserve">2. Phase 1: Meta-analysis 1982–2026</w:t>
      </w:r>
    </w:p>
    <w:bookmarkStart w:id="23" w:name="X1551a254f454544efc95505360b4c5c9d00b320"/>
    <w:p>
      <w:pPr>
        <w:pStyle w:val="Heading3"/>
      </w:pPr>
      <w:r>
        <w:t xml:space="preserve">2.1 Cơ sở kế thừa</w:t>
      </w:r>
    </w:p>
    <w:p>
      <w:pPr>
        <w:pStyle w:val="FirstParagraph"/>
      </w:pPr>
      <w:r>
        <w:t xml:space="preserve">Meta-analysis trong IB đã được thiết lập vững chắc qua nhiều thập kỷ (Hunter &amp; Schmidt, 2004; Borenstein et al., 2009). Phương pháp chuẩn bao gồm: xây dựng inclusion criteria theo PRISMA (Page et al., 2021), transmit hiệu ứng bằng Fisher's</w:t>
      </w:r>
      <w:r>
        <w:t xml:space="preserve"> </w:t>
      </w:r>
      <m:oMath>
        <m:r>
          <m:t>z</m:t>
        </m:r>
      </m:oMath>
      <w:r>
        <w:t xml:space="preserve">, tính pooled effect size theo random-effects, kiểm định heterogeneity bằng</w:t>
      </w:r>
      <w:r>
        <w:t xml:space="preserve"> </w:t>
      </w:r>
      <m:oMath>
        <m:r>
          <m:t>Q</m:t>
        </m:r>
      </m:oMath>
      <w:r>
        <w:t xml:space="preserve">-test và</w:t>
      </w:r>
      <w:r>
        <w:t xml:space="preserve"> </w:t>
      </w:r>
      <m:oMath>
        <m:sSup>
          <m:e>
            <m:r>
              <m:t>I</m:t>
            </m:r>
          </m:e>
          <m:sup>
            <m:r>
              <m:t>2</m:t>
            </m:r>
          </m:sup>
        </m:sSup>
      </m:oMath>
      <w:r>
        <w:t xml:space="preserve">, và đánh giá publication bias bằng Egger và Begg-Mazumdar (Egger et al., 1997; Begg &amp; Mazumdar, 1994). Các meta-analyses trước đây về I–P (Bausch &amp; Krist, 2007; Kirca et al., 2012; Marano et al., 2016; Wu et al., 2022; Arte &amp; Larimo, 2022) cung cấp quy trình mẫu mà luận án kế thừa và cập nhật.</w:t>
      </w:r>
    </w:p>
    <w:bookmarkEnd w:id="23"/>
    <w:bookmarkStart w:id="24" w:name="X0c1e6180491331dbef38f8b5cf97fc0ecad3881"/>
    <w:p>
      <w:pPr>
        <w:pStyle w:val="Heading3"/>
      </w:pPr>
      <w:r>
        <w:t xml:space="preserve">2.2 Đóng góp mới/điều chỉnh</w:t>
      </w:r>
    </w:p>
    <w:p>
      <w:pPr>
        <w:numPr>
          <w:ilvl w:val="0"/>
          <w:numId w:val="1002"/>
        </w:numPr>
        <w:pStyle w:val="Compact"/>
      </w:pPr>
      <w:r>
        <w:rPr>
          <w:bCs/>
          <w:b/>
        </w:rPr>
        <w:t xml:space="preserve">Mở rộng coverage time</w:t>
      </w:r>
      <w:r>
        <w:t xml:space="preserve">: từ 1977–2022 (bài ICBEF 2025) sang</w:t>
      </w:r>
      <w:r>
        <w:t xml:space="preserve"> </w:t>
      </w:r>
      <w:r>
        <w:rPr>
          <w:bCs/>
          <w:b/>
        </w:rPr>
        <w:t xml:space="preserve">1982–2026</w:t>
      </w:r>
      <w:r>
        <w:t xml:space="preserve">, bổ sung các nghiên cứu 2023–2026 liên quan đến digital transformation và EMNEs.</w:t>
      </w:r>
    </w:p>
    <w:p>
      <w:pPr>
        <w:numPr>
          <w:ilvl w:val="0"/>
          <w:numId w:val="1002"/>
        </w:numPr>
        <w:pStyle w:val="Compact"/>
      </w:pPr>
      <w:r>
        <w:rPr>
          <w:bCs/>
          <w:b/>
        </w:rPr>
        <w:t xml:space="preserve">Mở rộng moderator coverage</w:t>
      </w:r>
      <w:r>
        <w:t xml:space="preserve">: thêm cụm moderator về digital capability và 6 sub-regime ICRV, chưa được xem xét đầy đủ trong các meta-analyses trước.</w:t>
      </w:r>
    </w:p>
    <w:p>
      <w:pPr>
        <w:numPr>
          <w:ilvl w:val="0"/>
          <w:numId w:val="1002"/>
        </w:numPr>
        <w:pStyle w:val="Compact"/>
      </w:pPr>
      <w:r>
        <w:rPr>
          <w:bCs/>
          <w:b/>
        </w:rPr>
        <w:t xml:space="preserve">Pool phân tích đã xác minh</w:t>
      </w:r>
      <w:r>
        <w:t xml:space="preserve">: K=288 effect sizes / k=238 nghiên cứu (hand-coded baseline đã xác minh, sau WoS/Scopus screening), tăng đáng kể so với bản nền ICBEF 2025 (K=200 / k=113). Đây là tập dữ liệu đã được mã hóa thủ công và tái lập được toàn bộ bảng/hình trong bản thảo P6.</w:t>
      </w:r>
    </w:p>
    <w:p>
      <w:pPr>
        <w:numPr>
          <w:ilvl w:val="0"/>
          <w:numId w:val="1002"/>
        </w:numPr>
        <w:pStyle w:val="Compact"/>
      </w:pPr>
      <w:r>
        <w:rPr>
          <w:bCs/>
          <w:b/>
        </w:rPr>
        <w:t xml:space="preserve">Subgroup theo châu Á và Pacific</w:t>
      </w:r>
      <w:r>
        <w:t xml:space="preserve">: tách riêng nhóm nghiên cứu về doanh nghiệp châu Á và Pacific để cung cấp baseline trực tiếp cho phase empirical, đối chiếu với pool 17 nước trong Đỗ và Phan (2026 — VEFR).</w:t>
      </w:r>
    </w:p>
    <w:bookmarkEnd w:id="24"/>
    <w:bookmarkStart w:id="25" w:name="X8ff9d76b57ab4183f46a16fef6b447d1a7ef01d"/>
    <w:p>
      <w:pPr>
        <w:pStyle w:val="Heading3"/>
      </w:pPr>
      <w:r>
        <w:t xml:space="preserve">2.3 Quy trình PRISMA</w:t>
      </w:r>
    </w:p>
    <w:p>
      <w:pPr>
        <w:pStyle w:val="FirstParagraph"/>
      </w:pPr>
      <w:r>
        <w:t xml:space="preserve">Identification → Screening → Eligibility → Inclusion theo hướng dẫn PRISMA 2020 (Page et al., 2021). Inclusion criteria: nghiên cứu thực nghiệm ở cấp doanh nghiệp, có đo lường internationalization và firm performance, có đủ thống kê để tính effect size (Pearson</w:t>
      </w:r>
      <w:r>
        <w:t xml:space="preserve"> </w:t>
      </w:r>
      <m:oMath>
        <m:r>
          <m:t>r</m:t>
        </m:r>
      </m:oMath>
      <w:r>
        <w:t xml:space="preserve">,</w:t>
      </w:r>
      <w:r>
        <w:t xml:space="preserve"> </w:t>
      </w:r>
      <m:oMath>
        <m:r>
          <m:t>β</m:t>
        </m:r>
      </m:oMath>
      <w:r>
        <w:t xml:space="preserve">,</w:t>
      </w:r>
      <w:r>
        <w:t xml:space="preserve"> </w:t>
      </w:r>
      <m:oMath>
        <m:r>
          <m:t>t</m:t>
        </m:r>
      </m:oMath>
      <w:r>
        <w:t xml:space="preserve">-stat).</w:t>
      </w:r>
    </w:p>
    <w:bookmarkEnd w:id="25"/>
    <w:bookmarkEnd w:id="26"/>
    <w:bookmarkStart w:id="35" w:name="X6aa474f7b2e6804e45c9b533f4c4995c8a51f0e"/>
    <w:p>
      <w:pPr>
        <w:pStyle w:val="Heading2"/>
      </w:pPr>
      <w:r>
        <w:t xml:space="preserve">3. Phase 2: Multi-country empirical analysis</w:t>
      </w:r>
    </w:p>
    <w:bookmarkStart w:id="27" w:name="X84ced60e62ea90934832891098abf01a4d917e5"/>
    <w:p>
      <w:pPr>
        <w:pStyle w:val="Heading3"/>
      </w:pPr>
      <w:r>
        <w:t xml:space="preserve">3.1 Nguồn dữ liệu</w:t>
      </w:r>
    </w:p>
    <w:p>
      <w:pPr>
        <w:pStyle w:val="FirstParagraph"/>
      </w:pPr>
      <w:r>
        <w:t xml:space="preserve">Luận án sử dụng World Bank Enterprise Surveys cho</w:t>
      </w:r>
      <w:r>
        <w:t xml:space="preserve"> </w:t>
      </w:r>
      <w:r>
        <w:rPr>
          <w:bCs/>
          <w:b/>
        </w:rPr>
        <w:t xml:space="preserve">47 nền kinh tế châu Á và Pacific</w:t>
      </w:r>
      <w:r>
        <w:t xml:space="preserve"> </w:t>
      </w:r>
      <w:r>
        <w:t xml:space="preserve">trong giai đoạn</w:t>
      </w:r>
      <w:r>
        <w:t xml:space="preserve"> </w:t>
      </w:r>
      <w:r>
        <w:rPr>
          <w:bCs/>
          <w:b/>
        </w:rPr>
        <w:t xml:space="preserve">2009–2025</w:t>
      </w:r>
      <w:r>
        <w:t xml:space="preserve"> </w:t>
      </w:r>
      <w:r>
        <w:t xml:space="preserve">(101.185 doanh nghiệp · 108 cặp quốc gia × năm · 14 mốc khảo sát) (World Bank, n.d., 2019, 2023, 2026). WBES là bộ dữ liệu doanh nghiệp chuẩn hóa, phù hợp cho nghiên cứu so sánh đa quốc gia về firm-level outcomes (Aterido et al., 2011).</w:t>
      </w:r>
    </w:p>
    <w:p>
      <w:pPr>
        <w:pStyle w:val="BodyText"/>
      </w:pPr>
      <w:r>
        <w:rPr>
          <w:bCs/>
          <w:b/>
        </w:rPr>
        <w:t xml:space="preserve">Cơ sở kế thừa</w:t>
      </w:r>
      <w:r>
        <w:t xml:space="preserve">: WBES đã được sử dụng rộng rãi trong nghiên cứu IB về emerging markets (Ayyagari et al., 2011; Cuervo-Cazurra et al., 2018; Chen &amp; Meng, 2022), đồng thời đã được sử dụng trong bài nghiên cứu thực trạng emerging Asia với 17 nền kinh tế và ~40.633 quan sát doanh nghiệp (Đỗ &amp; Phan, 2026 — VEFR).</w:t>
      </w:r>
    </w:p>
    <w:p>
      <w:pPr>
        <w:pStyle w:val="BodyText"/>
      </w:pPr>
      <w:r>
        <w:rPr>
          <w:bCs/>
          <w:b/>
        </w:rPr>
        <w:t xml:space="preserve">Đóng góp mới</w:t>
      </w:r>
      <w:r>
        <w:t xml:space="preserve">: mở rộng quy mô từ 17 sang</w:t>
      </w:r>
      <w:r>
        <w:t xml:space="preserve"> </w:t>
      </w:r>
      <w:r>
        <w:rPr>
          <w:bCs/>
          <w:b/>
        </w:rPr>
        <w:t xml:space="preserve">47 nền kinh tế châu Á và Pacific</w:t>
      </w:r>
      <w:r>
        <w:t xml:space="preserve">, với 6 sub-regime ICRV (Advanced innovation-driven, Advanced resource-driven, Upper-middle, Emerging, Frontier, Pacific SIDS). Quy mô này là lớn nhất cho khu vực trong literature internationalization–performance, gồm cả boundary case Pacific SIDS (9 nước, n=1.469 (mẫu phân tích sau lọc missing)) cho phép kiểm định forced internationalization penalty (Đỗ &amp; Phan, 2026 — P8 manuscript).</w:t>
      </w:r>
    </w:p>
    <w:bookmarkEnd w:id="27"/>
    <w:bookmarkStart w:id="28" w:name="X627d9e57359624ba53d60ada46440408c767234"/>
    <w:p>
      <w:pPr>
        <w:pStyle w:val="Heading3"/>
      </w:pPr>
      <w:r>
        <w:t xml:space="preserve">3.2 Đo lường biến phụ thuộc — Hiệu quả hoạt động</w:t>
      </w:r>
    </w:p>
    <w:p>
      <w:pPr>
        <w:pStyle w:val="FirstParagraph"/>
      </w:pPr>
      <w:r>
        <w:rPr>
          <w:bCs/>
          <w:b/>
        </w:rPr>
        <w:t xml:space="preserve">Biến chính</w:t>
      </w:r>
      <w:r>
        <w:t xml:space="preserve">: Labor productivity đo bằng</w:t>
      </w:r>
      <w:r>
        <w:t xml:space="preserve"> </w:t>
      </w:r>
      <m:oMath>
        <m:r>
          <m:rPr>
            <m:sty m:val="p"/>
          </m:rPr>
          <m:t>ln</m:t>
        </m:r>
        <m:d>
          <m:dPr>
            <m:begChr m:val="("/>
            <m:endChr m:val=")"/>
            <m:sepChr m:val=""/>
            <m:grow/>
          </m:dPr>
          <m:e>
            <m:r>
              <m:rPr>
                <m:nor/>
                <m:sty m:val="p"/>
              </m:rPr>
              <m:t>annual sales</m:t>
            </m:r>
            <m:r>
              <m:rPr>
                <m:sty m:val="p"/>
              </m:rPr>
              <m:t>/</m:t>
            </m:r>
            <m:r>
              <m:rPr>
                <m:nor/>
                <m:sty m:val="p"/>
              </m:rPr>
              <m:t>permanent full-time employees</m:t>
            </m:r>
          </m:e>
        </m:d>
      </m:oMath>
      <w:r>
        <w:t xml:space="preserve">.</w:t>
      </w:r>
    </w:p>
    <w:p>
      <w:pPr>
        <w:pStyle w:val="BodyText"/>
      </w:pPr>
      <w:r>
        <w:rPr>
          <w:bCs/>
          <w:b/>
        </w:rPr>
        <w:t xml:space="preserve">Cơ sở kế thừa</w:t>
      </w:r>
      <w:r>
        <w:t xml:space="preserve">: Labor productivity được sử dụng rộng rãi trong nghiên cứu WBES và trong literature về firm productivity (Bloom et al., 2012; Hsieh &amp; Klenow, 2009). Chỉ tiêu này đã được vận hành hóa thành công trong bài thực trạng emerging Asia (Đỗ &amp; Phan, 2026 — VEFR).</w:t>
      </w:r>
    </w:p>
    <w:p>
      <w:pPr>
        <w:pStyle w:val="BodyText"/>
      </w:pPr>
      <w:r>
        <w:rPr>
          <w:bCs/>
          <w:b/>
        </w:rPr>
        <w:t xml:space="preserve">Lập luận chọn</w:t>
      </w:r>
      <w:r>
        <w:t xml:space="preserve">: WBES không phải bộ financial statement đầy đủ, nên labor productivity phù hợp hơn ROA/ROE/ROS trong bối cảnh đa quốc gia. Ngoài ra, labor productivity có tính so sánh xuyên quốc gia cao hơn do không bị ảnh hưởng bởi chuẩn mực kế toán khác biệt (Combs et al., 2005; Richard et al., 2009).</w:t>
      </w:r>
    </w:p>
    <w:p>
      <w:pPr>
        <w:pStyle w:val="BodyText"/>
      </w:pPr>
      <w:r>
        <w:rPr>
          <w:bCs/>
          <w:b/>
        </w:rPr>
        <w:t xml:space="preserve">Biến robustness</w:t>
      </w:r>
      <w:r>
        <w:t xml:space="preserve">: ROS, sales growth, employment growth,</w:t>
      </w:r>
      <w:r>
        <w:t xml:space="preserve"> </w:t>
      </w:r>
      <m:oMath>
        <m:r>
          <m:rPr>
            <m:sty m:val="p"/>
          </m:rPr>
          <m:t>ln</m:t>
        </m:r>
      </m:oMath>
      <w:r>
        <w:t xml:space="preserve">(annual sales).</w:t>
      </w:r>
    </w:p>
    <w:p>
      <w:pPr>
        <w:pStyle w:val="BodyText"/>
      </w:pPr>
      <w:r>
        <w:rPr>
          <w:bCs/>
          <w:b/>
        </w:rPr>
        <w:t xml:space="preserve">Đóng góp mới</w:t>
      </w:r>
      <w:r>
        <w:t xml:space="preserve">: lập luận rõ ràng về firm performance là khái niệm đa chiều và việc lựa chọn thước đo phải phù hợp với bối cảnh dữ liệu (xem</w:t>
      </w:r>
      <w:r>
        <w:t xml:space="preserve"> </w:t>
      </w:r>
      <w:r>
        <w:rPr>
          <w:rStyle w:val="VerbatimChar"/>
        </w:rPr>
        <w:t xml:space="preserve">02_theoretical_framework_vi.md</w:t>
      </w:r>
      <w:r>
        <w:t xml:space="preserve">).</w:t>
      </w:r>
    </w:p>
    <w:bookmarkEnd w:id="28"/>
    <w:bookmarkStart w:id="29" w:name="X15f8964cdacf2e18287cd2f7dddc106f078f343"/>
    <w:p>
      <w:pPr>
        <w:pStyle w:val="Heading3"/>
      </w:pPr>
      <w:r>
        <w:t xml:space="preserve">3.3 Đo lường biến độc lập — Quốc tế hóa</w:t>
      </w:r>
    </w:p>
    <w:p>
      <w:pPr>
        <w:pStyle w:val="FirstParagraph"/>
      </w:pPr>
      <w:r>
        <w:rPr>
          <w:bCs/>
          <w:b/>
        </w:rPr>
        <w:t xml:space="preserve">Biến chính</w:t>
      </w:r>
      <w:r>
        <w:t xml:space="preserve">: Foreign Sales To Total Sales (FSTS), đo bằng tỷ lệ doanh thu xuất khẩu trên tổng doanh thu. Mô hình có cả</w:t>
      </w:r>
      <w:r>
        <w:t xml:space="preserve"> </w:t>
      </w:r>
      <m:oMath>
        <m:r>
          <m:t>F</m:t>
        </m:r>
        <m:r>
          <m:t>S</m:t>
        </m:r>
        <m:r>
          <m:t>T</m:t>
        </m:r>
        <m:r>
          <m:t>S</m:t>
        </m:r>
      </m:oMath>
      <w:r>
        <w:t xml:space="preserve">,</w:t>
      </w:r>
      <w:r>
        <w:t xml:space="preserve"> </w:t>
      </w:r>
      <m:oMath>
        <m:r>
          <m:t>F</m:t>
        </m:r>
        <m:r>
          <m:t>S</m:t>
        </m:r>
        <m:r>
          <m:t>T</m:t>
        </m:r>
        <m:sSup>
          <m:e>
            <m:r>
              <m:t>S</m:t>
            </m:r>
          </m:e>
          <m:sup>
            <m:r>
              <m:t>2</m:t>
            </m:r>
          </m:sup>
        </m:sSup>
      </m:oMath>
      <w:r>
        <w:t xml:space="preserve">, và</w:t>
      </w:r>
      <w:r>
        <w:t xml:space="preserve"> </w:t>
      </w:r>
      <m:oMath>
        <m:r>
          <m:t>F</m:t>
        </m:r>
        <m:r>
          <m:t>S</m:t>
        </m:r>
        <m:r>
          <m:t>T</m:t>
        </m:r>
        <m:sSup>
          <m:e>
            <m:r>
              <m:t>S</m:t>
            </m:r>
          </m:e>
          <m:sup>
            <m:r>
              <m:t>3</m:t>
            </m:r>
          </m:sup>
        </m:sSup>
      </m:oMath>
      <w:r>
        <w:t xml:space="preserve"> </w:t>
      </w:r>
      <w:r>
        <w:t xml:space="preserve">để kiểm định phi tuyến S-curve / cubic.</w:t>
      </w:r>
    </w:p>
    <w:p>
      <w:pPr>
        <w:pStyle w:val="BodyText"/>
      </w:pPr>
      <w:r>
        <w:rPr>
          <w:bCs/>
          <w:b/>
        </w:rPr>
        <w:t xml:space="preserve">Cơ sở kế thừa</w:t>
      </w:r>
      <w:r>
        <w:t xml:space="preserve">: FSTS là thước đo internationalization phổ biến nhất trong I–P literature (Sullivan, 1994; Hitt et al., 2006). Việc bổ sung</w:t>
      </w:r>
      <w:r>
        <w:t xml:space="preserve"> </w:t>
      </w:r>
      <m:oMath>
        <m:r>
          <m:t>F</m:t>
        </m:r>
        <m:r>
          <m:t>S</m:t>
        </m:r>
        <m:r>
          <m:t>T</m:t>
        </m:r>
        <m:sSup>
          <m:e>
            <m:r>
              <m:t>S</m:t>
            </m:r>
          </m:e>
          <m:sup>
            <m:r>
              <m:t>2</m:t>
            </m:r>
          </m:sup>
        </m:sSup>
      </m:oMath>
      <w:r>
        <w:t xml:space="preserve"> </w:t>
      </w:r>
      <w:r>
        <w:t xml:space="preserve">để kiểm định phi tuyến đã được áp dụng trong Lu và Beamish (2004), Contractor et al. (2003), và Hitt et al. (1997). Specification cubic được Đỗ và Phan (2026 — JFAR) xác nhận có ý nghĩa thống kê ở Trung Quốc với turning point ~47,8% FSTS, làm baseline cho việc kiểm định mở rộng trong luận án.</w:t>
      </w:r>
    </w:p>
    <w:bookmarkEnd w:id="29"/>
    <w:bookmarkStart w:id="33" w:name="Xdd2644898f5d54c5cc66b5de84b6ed843e574dc"/>
    <w:p>
      <w:pPr>
        <w:pStyle w:val="Heading3"/>
      </w:pPr>
      <w:r>
        <w:t xml:space="preserve">3.4 Đo lường biến điều tiết</w:t>
      </w:r>
    </w:p>
    <w:bookmarkStart w:id="30" w:name="Xc9447eee4507cc41fc1bfd78b7a464443ed9908"/>
    <w:p>
      <w:pPr>
        <w:pStyle w:val="Heading4"/>
      </w:pPr>
      <w:r>
        <w:t xml:space="preserve">3.4.1 Digital constructs (TCI và DAI)</w:t>
      </w:r>
    </w:p>
    <w:p>
      <w:pPr>
        <w:pStyle w:val="FirstParagraph"/>
      </w:pPr>
      <w:r>
        <w:t xml:space="preserve">Luận án phân biệt rõ hai construct:</w:t>
      </w:r>
    </w:p>
    <w:p>
      <w:pPr>
        <w:numPr>
          <w:ilvl w:val="0"/>
          <w:numId w:val="1003"/>
        </w:numPr>
        <w:pStyle w:val="Compact"/>
      </w:pPr>
      <w:r>
        <w:rPr>
          <w:bCs/>
          <w:b/>
        </w:rPr>
        <w:t xml:space="preserve">Technological Capability Index (TCI)</w:t>
      </w:r>
      <w:r>
        <w:t xml:space="preserve">: chiều sâu năng lực công nghệ, tổng hợp từ foreign technology licensing, R&amp;D spending, product innovation, và quality certification.</w:t>
      </w:r>
    </w:p>
    <w:p>
      <w:pPr>
        <w:numPr>
          <w:ilvl w:val="0"/>
          <w:numId w:val="1003"/>
        </w:numPr>
        <w:pStyle w:val="Compact"/>
      </w:pPr>
      <w:r>
        <w:rPr>
          <w:bCs/>
          <w:b/>
        </w:rPr>
        <w:t xml:space="preserve">Digital Adoption Index (DAI)</w:t>
      </w:r>
      <w:r>
        <w:t xml:space="preserve">: mức độ chấp nhận số bề mặt, tổng hợp từ website, email, online sales (DAI_thin) hoặc bổ sung e-payment và e-supplier (DAI_rich).</w:t>
      </w:r>
    </w:p>
    <w:p>
      <w:pPr>
        <w:pStyle w:val="FirstParagraph"/>
      </w:pPr>
      <w:r>
        <w:rPr>
          <w:bCs/>
          <w:b/>
        </w:rPr>
        <w:t xml:space="preserve">Nguyên tắc non-overlapping</w:t>
      </w:r>
      <w:r>
        <w:t xml:space="preserve">: TCI và DAI không được chia sẻ component để bảo đảm construct purity. Đặc biệt, foreign technology licensing thuộc TCI chứ không được đồng thời tính vào DAI.</w:t>
      </w:r>
    </w:p>
    <w:p>
      <w:pPr>
        <w:pStyle w:val="BodyText"/>
      </w:pPr>
      <w:r>
        <w:rPr>
          <w:bCs/>
          <w:b/>
        </w:rPr>
        <w:t xml:space="preserve">Cơ sở kế thừa</w:t>
      </w:r>
      <w:r>
        <w:t xml:space="preserve">: Bhandari et al. (2023) phân biệt digitalization, internationalization và capability theo resource-orchestration logic; Verhoef et al. (2021) phân biệt three stages (digitization, digitalization, digital transformation). Pattern "digital shield effect" được Đỗ và Phan (2026 — VEFR) phát hiện trên 17 nước châu Á mới nổi.</w:t>
      </w:r>
    </w:p>
    <w:p>
      <w:pPr>
        <w:pStyle w:val="BodyText"/>
      </w:pPr>
      <w:r>
        <w:rPr>
          <w:bCs/>
          <w:b/>
        </w:rPr>
        <w:t xml:space="preserve">Đóng góp mới</w:t>
      </w:r>
      <w:r>
        <w:t xml:space="preserve">: Đưa ra</w:t>
      </w:r>
      <w:r>
        <w:t xml:space="preserve"> </w:t>
      </w:r>
      <w:r>
        <w:rPr>
          <w:bCs/>
          <w:b/>
        </w:rPr>
        <w:t xml:space="preserve">measurement harmonization protocol</w:t>
      </w:r>
      <w:r>
        <w:t xml:space="preserve"> </w:t>
      </w:r>
      <w:r>
        <w:t xml:space="preserve">trong bối cảnh WBES, đảm bảo construct purity ở 47 nền kinh tế châu Á và Pacific, với pipeline hòa hợp 3 thế hệ schema. Phân tách TCI và DAI theo (i) Bharadwaj et al. (2013) — IT capability vs digital business strategy có nomological nets khác nhau; (ii) phân tầng 3 cấp của Verhoef et al. (2021) — digitization, digitalization, digital transformation; (iii) truyền thống Lall (1992) và Cohen &amp; Levinthal (1990) coi technological capability là chiều sâu năng lực nội tại (absorptive capacity), khác về bản chất với digital adoption ở giao diện ngoại tại; (iv) resource-orchestration logic của Bhandari et al. (2023) cho I→P relationship; và (v) 4 tiêu chí formative composite của Coltman et al. (2008) — đảm bảo TCI và DAI là hai composite độc lập.</w:t>
      </w:r>
    </w:p>
    <w:bookmarkEnd w:id="30"/>
    <w:bookmarkStart w:id="31" w:name="X675dba3bc66f04bdb35ea3e98db6777f7453517"/>
    <w:p>
      <w:pPr>
        <w:pStyle w:val="Heading4"/>
      </w:pPr>
      <w:r>
        <w:t xml:space="preserve">3.4.2 Institutional variables</w:t>
      </w:r>
    </w:p>
    <w:p>
      <w:pPr>
        <w:pStyle w:val="FirstParagraph"/>
      </w:pPr>
      <w:r>
        <w:rPr>
          <w:bCs/>
          <w:b/>
        </w:rPr>
        <w:t xml:space="preserve">Biến chính</w:t>
      </w:r>
      <w:r>
        <w:t xml:space="preserve">: business obstacle index (tổng hợp từ các câu hỏi WBES về obstacles), country-level governance proxies (WGI Rule of Law, Kaufmann et al., 2011), 6 sub-regime ICRV (classification từ Khanna &amp; Palepu, 2010 mở rộng).</w:t>
      </w:r>
    </w:p>
    <w:p>
      <w:pPr>
        <w:pStyle w:val="BodyText"/>
      </w:pPr>
      <w:r>
        <w:rPr>
          <w:bCs/>
          <w:b/>
        </w:rPr>
        <w:t xml:space="preserve">Cơ sở kế thừa</w:t>
      </w:r>
      <w:r>
        <w:t xml:space="preserve">: Khanna và Palepu (2010) với institutional voids; North (1990) với institutional analysis; Marano et al. (2016) với meta-analytic evidence về institutional moderators.</w:t>
      </w:r>
    </w:p>
    <w:bookmarkEnd w:id="31"/>
    <w:bookmarkStart w:id="32" w:name="Xafb7051784bd2190b9c0ec64eb794b969a7e6b4"/>
    <w:p>
      <w:pPr>
        <w:pStyle w:val="Heading4"/>
      </w:pPr>
      <w:r>
        <w:t xml:space="preserve">3.4.3 Top manager characteristics</w:t>
      </w:r>
    </w:p>
    <w:p>
      <w:pPr>
        <w:pStyle w:val="FirstParagraph"/>
      </w:pPr>
      <w:r>
        <w:rPr>
          <w:bCs/>
          <w:b/>
        </w:rPr>
        <w:t xml:space="preserve">Biến chính</w:t>
      </w:r>
      <w:r>
        <w:t xml:space="preserve">: top manager experience (năm kinh nghiệm), top manager gender (female / male).</w:t>
      </w:r>
    </w:p>
    <w:p>
      <w:pPr>
        <w:pStyle w:val="BodyText"/>
      </w:pPr>
      <w:r>
        <w:rPr>
          <w:bCs/>
          <w:b/>
        </w:rPr>
        <w:t xml:space="preserve">Cơ sở kế thừa</w:t>
      </w:r>
      <w:r>
        <w:t xml:space="preserve">: Hambrick và Mason (1984), Hambrick (2007), Hsu et al. (2013), Post và Byron (2015).</w:t>
      </w:r>
    </w:p>
    <w:p>
      <w:pPr>
        <w:pStyle w:val="BodyText"/>
      </w:pPr>
      <w:r>
        <w:rPr>
          <w:bCs/>
          <w:b/>
        </w:rPr>
        <w:t xml:space="preserve">Điều kiện sử dụng</w:t>
      </w:r>
      <w:r>
        <w:t xml:space="preserve">: chỉ trong subset có đủ dữ liệu; nếu thiếu, đưa vào robustness chứ không bắt buộc trong mô hình chính.</w:t>
      </w:r>
    </w:p>
    <w:bookmarkEnd w:id="32"/>
    <w:bookmarkEnd w:id="33"/>
    <w:bookmarkStart w:id="34" w:name="X47e64c38922de9c9938d7912558eba6c86d3a28"/>
    <w:p>
      <w:pPr>
        <w:pStyle w:val="Heading3"/>
      </w:pPr>
      <w:r>
        <w:t xml:space="preserve">3.5 Biến kiểm soát</w:t>
      </w:r>
    </w:p>
    <w:p>
      <w:pPr>
        <w:pStyle w:val="FirstParagraph"/>
      </w:pPr>
      <m:oMath>
        <m:r>
          <m:rPr>
            <m:sty m:val="p"/>
          </m:rPr>
          <m:t>ln</m:t>
        </m:r>
      </m:oMath>
      <w:r>
        <w:t xml:space="preserve"> </w:t>
      </w:r>
      <w:r>
        <w:t xml:space="preserve">employment, firm age, foreign ownership dummy, sector dummy, country fixed effects, year fixed effects.</w:t>
      </w:r>
    </w:p>
    <w:p>
      <w:pPr>
        <w:pStyle w:val="BodyText"/>
      </w:pPr>
      <w:r>
        <w:rPr>
          <w:bCs/>
          <w:b/>
        </w:rPr>
        <w:t xml:space="preserve">Cơ sở kế thừa</w:t>
      </w:r>
      <w:r>
        <w:t xml:space="preserve">: chuẩn trong nghiên cứu WBES và IB (Aterido et al., 2011; Ayyagari et al., 2011).</w:t>
      </w:r>
    </w:p>
    <w:bookmarkEnd w:id="34"/>
    <w:bookmarkEnd w:id="35"/>
    <w:bookmarkStart w:id="49" w:name="X739c39ba72bd4ab9a65ae6cfaca8e78ae4b0f0d"/>
    <w:p>
      <w:pPr>
        <w:pStyle w:val="Heading2"/>
      </w:pPr>
      <w:r>
        <w:t xml:space="preserve">4. Mô hình phân tích</w:t>
      </w:r>
    </w:p>
    <w:bookmarkStart w:id="36" w:name="X4c78f5166bf22e57c1f525071727cb59025b68d"/>
    <w:p>
      <w:pPr>
        <w:pStyle w:val="Heading3"/>
      </w:pPr>
      <w:r>
        <w:t xml:space="preserve">4.1 Mô hình meta-analysis</w:t>
      </w:r>
    </w:p>
    <w:p>
      <w:pPr>
        <w:pStyle w:val="FirstParagraph"/>
      </w:pPr>
      <w:r>
        <w:t xml:space="preserve">Random-effects model dựa trên Fisher's</w:t>
      </w:r>
      <w:r>
        <w:t xml:space="preserve"> </w:t>
      </w:r>
      <m:oMath>
        <m:r>
          <m:t>z</m:t>
        </m:r>
      </m:oMath>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oMath>
      </m:oMathPara>
    </w:p>
    <w:p>
      <w:pPr>
        <w:pStyle w:val="FirstParagraph"/>
      </w:pPr>
      <w:r>
        <w:t xml:space="preserve">với</w:t>
      </w:r>
      <w:r>
        <w:t xml:space="preserve"> </w:t>
      </w:r>
      <m:oMath>
        <m:sSub>
          <m:e>
            <m:r>
              <m:t>r</m:t>
            </m:r>
          </m:e>
          <m:sub>
            <m:r>
              <m:t>i</m:t>
            </m:r>
          </m:sub>
        </m:sSub>
      </m:oMath>
      <w:r>
        <w:t xml:space="preserve"> </w:t>
      </w:r>
      <w:r>
        <w:t xml:space="preserve">là effect size của nghiên cứu</w:t>
      </w:r>
      <w:r>
        <w:t xml:space="preserve"> </w:t>
      </w:r>
      <m:oMath>
        <m:r>
          <m:t>i</m:t>
        </m:r>
      </m:oMath>
      <w:r>
        <w:t xml:space="preserve">. Pooled effect size tính theo inverse-variance weighting (Borenstein et al., 2009).</w:t>
      </w:r>
    </w:p>
    <w:p>
      <w:pPr>
        <w:pStyle w:val="BodyText"/>
      </w:pPr>
      <w:r>
        <w:t xml:space="preserve">Heterogeneity đo bằng</w:t>
      </w:r>
      <w:r>
        <w:t xml:space="preserve"> </w:t>
      </w:r>
      <m:oMath>
        <m:r>
          <m:t>Q</m:t>
        </m:r>
      </m:oMath>
      <w:r>
        <w:t xml:space="preserve">-test và</w:t>
      </w:r>
      <w:r>
        <w:t xml:space="preserve"> </w:t>
      </w:r>
      <m:oMath>
        <m:sSup>
          <m:e>
            <m:r>
              <m:t>I</m:t>
            </m:r>
          </m:e>
          <m:sup>
            <m:r>
              <m:t>2</m:t>
            </m:r>
          </m:sup>
        </m:sSup>
      </m:oMath>
      <w:r>
        <w:t xml:space="preserve"> </w:t>
      </w:r>
      <w:r>
        <w:t xml:space="preserve">(Higgins et al., 2003). Subgroup analysis và meta-regression để kiểm định moderators.</w:t>
      </w:r>
    </w:p>
    <w:p>
      <w:pPr>
        <w:pStyle w:val="BodyText"/>
      </w:pPr>
      <w:r>
        <w:rPr>
          <w:bCs/>
          <w:b/>
        </w:rPr>
        <w:t xml:space="preserve">Cơ sở kế thừa</w:t>
      </w:r>
      <w:r>
        <w:t xml:space="preserve">: chuẩn meta-analysis trong quản trị chiến lược (Combs et al., 2011; Aguinis et al., 2011).</w:t>
      </w:r>
    </w:p>
    <w:bookmarkEnd w:id="36"/>
    <w:bookmarkStart w:id="37" w:name="X27365d5351c4f2028e401b959ec157ce9c1b5c2"/>
    <w:p>
      <w:pPr>
        <w:pStyle w:val="Heading3"/>
      </w:pPr>
      <w:r>
        <w:t xml:space="preserve">4.2 Mô hình empirical — Tuyến tính cơ bản</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rPr>
                <m:sty m:val="b"/>
              </m:rPr>
              <m:t>X</m:t>
            </m:r>
          </m:e>
          <m:sub>
            <m:r>
              <m:t>i</m:t>
            </m:r>
          </m:sub>
        </m:sSub>
      </m:oMath>
      <w:r>
        <w:t xml:space="preserve"> </w:t>
      </w:r>
      <w:r>
        <w:t xml:space="preserve">là vector control variables.</w:t>
      </w:r>
    </w:p>
    <w:bookmarkEnd w:id="37"/>
    <w:bookmarkStart w:id="38" w:name="Xe9bba9a80ef10577157c3d15edb876549972c2d"/>
    <w:p>
      <w:pPr>
        <w:pStyle w:val="Heading3"/>
      </w:pPr>
      <w:r>
        <w:t xml:space="preserve">4.3 Mô hình phi tuyến (H1)</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w:t>
      </w:r>
      <w:r>
        <w:t xml:space="preserve">— inverted-U được xác nhận. Turning point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w:t>
      </w:r>
    </w:p>
    <w:p>
      <w:pPr>
        <w:pStyle w:val="BodyText"/>
      </w:pPr>
      <w:r>
        <w:t xml:space="preserve">Đối với Trung Quốc, mô hình mở rộng cubic theo specification đã được công bố:</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F</m:t>
          </m:r>
          <m:r>
            <m:t>S</m:t>
          </m:r>
          <m:r>
            <m:t>T</m:t>
          </m:r>
          <m:sSubSup>
            <m:e>
              <m:r>
                <m:t>S</m:t>
              </m:r>
            </m:e>
            <m:sub>
              <m:r>
                <m:t>i</m:t>
              </m:r>
            </m:sub>
            <m:sup>
              <m:r>
                <m:t>3</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rPr>
          <w:bCs/>
          <w:b/>
        </w:rPr>
        <w:t xml:space="preserve">Cơ sở kế thừa</w:t>
      </w:r>
      <w:r>
        <w:t xml:space="preserve">: Lu và Beamish (2004), Hitt et al. (1997), Contractor et al. (2003); Đỗ và Phan (2026 — JFAR) cho cubic specification ở China với turning point ~47,8% FSTS.</w:t>
      </w:r>
    </w:p>
    <w:p>
      <w:pPr>
        <w:pStyle w:val="BodyText"/>
      </w:pPr>
      <w:r>
        <w:rPr>
          <w:bCs/>
          <w:b/>
        </w:rPr>
        <w:t xml:space="preserve">Lind–Mehlum U-test</w:t>
      </w:r>
      <w:r>
        <w:t xml:space="preserve"> </w:t>
      </w:r>
      <w:r>
        <w:t xml:space="preserve">(Lind &amp; Mehlum, 2010; Haans et al., 2016) để xác nhận chặt inverted-U: kiểm định slope dương ở bên trái và slope âm ở bên phải của domain</w:t>
      </w:r>
      <w:r>
        <w:t xml:space="preserve"> </w:t>
      </w:r>
      <m:oMath>
        <m:r>
          <m:t>F</m:t>
        </m:r>
        <m:r>
          <m:t>S</m:t>
        </m:r>
        <m:r>
          <m:t>T</m:t>
        </m:r>
        <m:r>
          <m:t>S</m:t>
        </m:r>
      </m:oMath>
      <w:r>
        <w:t xml:space="preserve">.</w:t>
      </w:r>
    </w:p>
    <w:bookmarkEnd w:id="38"/>
    <w:bookmarkStart w:id="41" w:name="X51b5e48835a9a5e2281d2341b4476bdb9f6a4ee"/>
    <w:p>
      <w:pPr>
        <w:pStyle w:val="Heading3"/>
      </w:pPr>
      <w:r>
        <w:t xml:space="preserve">4.4 Mô hình moderation (H2–H6)</w:t>
      </w:r>
    </w:p>
    <w:bookmarkStart w:id="39" w:name="two-way-interaction-h2-h3"/>
    <w:p>
      <w:pPr>
        <w:pStyle w:val="Heading4"/>
      </w:pPr>
      <w:r>
        <w:t xml:space="preserve">Two-way interaction (H2, H3)</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M</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M</m:t>
                  </m:r>
                </m:e>
                <m:sub>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M</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t>M</m:t>
            </m:r>
          </m:e>
          <m:sub>
            <m:r>
              <m:t>i</m:t>
            </m:r>
          </m:sub>
        </m:sSub>
      </m:oMath>
      <w:r>
        <w:t xml:space="preserve"> </w:t>
      </w:r>
      <w:r>
        <w:t xml:space="preserve">là moderator (TCI hoặc DAI).</w:t>
      </w:r>
    </w:p>
    <w:bookmarkEnd w:id="39"/>
    <w:bookmarkStart w:id="40" w:name="three-way-interaction-synthesis"/>
    <w:p>
      <w:pPr>
        <w:pStyle w:val="Heading4"/>
      </w:pPr>
      <w:r>
        <w:t xml:space="preserve">Three-way interaction (synthesis)</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D</m:t>
              </m:r>
            </m:e>
            <m:sub>
              <m:r>
                <m:t>i</m:t>
              </m:r>
            </m:sub>
          </m:sSub>
          <m:r>
            <m:rPr>
              <m:sty m:val="p"/>
            </m:rPr>
            <m:t>+</m:t>
          </m:r>
          <m:sSub>
            <m:e>
              <m:r>
                <m:t>β</m:t>
              </m:r>
            </m:e>
            <m:sub>
              <m:r>
                <m:t>4</m:t>
              </m:r>
            </m:sub>
          </m:sSub>
          <m:sSub>
            <m:e>
              <m:r>
                <m:t>I</m:t>
              </m:r>
            </m:e>
            <m:sub>
              <m:r>
                <m:t>i</m:t>
              </m:r>
            </m:sub>
          </m:sSub>
          <m:r>
            <m:rPr>
              <m:sty m:val="p"/>
            </m:rPr>
            <m:t>+</m:t>
          </m:r>
          <m:sSub>
            <m:e>
              <m:r>
                <m:t>β</m:t>
              </m:r>
            </m:e>
            <m:sub>
              <m:r>
                <m:t>5</m:t>
              </m:r>
            </m:sub>
          </m:sSub>
          <m:sSub>
            <m:e>
              <m:r>
                <m:t>M</m:t>
              </m:r>
            </m:e>
            <m:sub>
              <m:r>
                <m:t>i</m:t>
              </m:r>
            </m:sub>
          </m:sSub>
          <m:r>
            <m:rPr>
              <m:sty m:val="p"/>
            </m:rPr>
            <m:t>+</m:t>
          </m:r>
          <m:r>
            <m:rPr>
              <m:sty m:val="p"/>
            </m:rPr>
            <m:t>∑</m:t>
          </m:r>
          <m:r>
            <m:rPr>
              <m:nor/>
              <m:sty m:val="p"/>
            </m:rPr>
            <m:t>interactions</m:t>
          </m:r>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r>
          <m:t>D</m:t>
        </m:r>
      </m:oMath>
      <w:r>
        <w:t xml:space="preserve"> </w:t>
      </w:r>
      <w:r>
        <w:t xml:space="preserve">= digital,</w:t>
      </w:r>
      <w:r>
        <w:t xml:space="preserve"> </w:t>
      </w:r>
      <m:oMath>
        <m:r>
          <m:t>I</m:t>
        </m:r>
      </m:oMath>
      <w:r>
        <w:t xml:space="preserve"> </w:t>
      </w:r>
      <w:r>
        <w:t xml:space="preserve">= institutional,</w:t>
      </w:r>
      <w:r>
        <w:t xml:space="preserve"> </w:t>
      </w:r>
      <m:oMath>
        <m:r>
          <m:t>M</m:t>
        </m:r>
      </m:oMath>
      <w:r>
        <w:t xml:space="preserve"> </w:t>
      </w:r>
      <w:r>
        <w:t xml:space="preserve">= manager.</w:t>
      </w:r>
    </w:p>
    <w:p>
      <w:pPr>
        <w:pStyle w:val="BodyText"/>
      </w:pPr>
      <w:r>
        <w:rPr>
          <w:bCs/>
          <w:b/>
        </w:rPr>
        <w:t xml:space="preserve">Cơ sở kế thừa</w:t>
      </w:r>
      <w:r>
        <w:t xml:space="preserve">: chuẩn moderation trong quản trị chiến lược (Aiken &amp; West, 1991; Dawson, 2014).</w:t>
      </w:r>
    </w:p>
    <w:p>
      <w:pPr>
        <w:pStyle w:val="BodyText"/>
      </w:pPr>
      <w:r>
        <w:rPr>
          <w:bCs/>
          <w:b/>
        </w:rPr>
        <w:t xml:space="preserve">Đóng góp mới</w:t>
      </w:r>
      <w:r>
        <w:t xml:space="preserve">: three-way moderation digital × institutional × manager trong bối cảnh châu Á và Pacific với 47 nước chưa được kiểm định trước đây.</w:t>
      </w:r>
    </w:p>
    <w:bookmarkEnd w:id="40"/>
    <w:bookmarkEnd w:id="41"/>
    <w:bookmarkStart w:id="42" w:name="Xb324e1905a61cd1592d7ebf92cf5cd7957d9e09"/>
    <w:p>
      <w:pPr>
        <w:pStyle w:val="Heading3"/>
      </w:pPr>
      <w:r>
        <w:t xml:space="preserve">4.5 Mô hình temporal heterogeneity (H6)</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Y</m:t>
              </m:r>
            </m:e>
            <m:sub>
              <m:r>
                <m:t>2024</m:t>
              </m:r>
              <m:r>
                <m:rPr>
                  <m:sty m:val="p"/>
                </m:rPr>
                <m:t>,</m:t>
              </m:r>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Y</m:t>
                  </m:r>
                </m:e>
                <m:sub>
                  <m:r>
                    <m:t>2024</m:t>
                  </m:r>
                  <m:r>
                    <m:rPr>
                      <m:sty m:val="p"/>
                    </m:rPr>
                    <m:t>,</m:t>
                  </m:r>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Y</m:t>
                  </m:r>
                </m:e>
                <m:sub>
                  <m:r>
                    <m:t>2024</m:t>
                  </m:r>
                  <m:r>
                    <m:rPr>
                      <m:sty m:val="p"/>
                    </m:rPr>
                    <m:t>,</m:t>
                  </m:r>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4</m:t>
            </m:r>
          </m:sub>
        </m:sSub>
      </m:oMath>
      <w:r>
        <w:t xml:space="preserve"> </w:t>
      </w:r>
      <w:r>
        <w:t xml:space="preserve">hoặc</w:t>
      </w:r>
      <w:r>
        <w:t xml:space="preserve"> </w:t>
      </w:r>
      <m:oMath>
        <m:sSub>
          <m:e>
            <m:r>
              <m:t>β</m:t>
            </m:r>
          </m:e>
          <m:sub>
            <m:r>
              <m:t>5</m:t>
            </m:r>
          </m:sub>
        </m:sSub>
      </m:oMath>
      <w:r>
        <w:t xml:space="preserve"> </w:t>
      </w:r>
      <w:r>
        <w:t xml:space="preserve">có ý nghĩa, hình dạng đường quan hệ đã dịch chuyển giữa hai mốc thời gian.</w:t>
      </w:r>
    </w:p>
    <w:p>
      <w:pPr>
        <w:pStyle w:val="BodyText"/>
      </w:pPr>
      <w:r>
        <w:rPr>
          <w:bCs/>
          <w:b/>
        </w:rPr>
        <w:t xml:space="preserve">Cơ sở kế thừa</w:t>
      </w:r>
      <w:r>
        <w:t xml:space="preserve">: Wu et al. (2022) với twenty-year evolution; Xiao et al. (2013) với China-specific contingencies; Đỗ và Phan (2026 — JFAR) làm baseline cubic 2012.</w:t>
      </w:r>
    </w:p>
    <w:p>
      <w:pPr>
        <w:pStyle w:val="BodyText"/>
      </w:pPr>
      <w:r>
        <w:rPr>
          <w:bCs/>
          <w:b/>
        </w:rPr>
        <w:t xml:space="preserve">Đóng góp mới</w:t>
      </w:r>
      <w:r>
        <w:t xml:space="preserve">: áp dụng cho China 2012 và 2024 để kiểm định stability của cubic turning point (~47,8% FSTS) sau hơn một thập kỷ chuyển đổi số.</w:t>
      </w:r>
    </w:p>
    <w:bookmarkEnd w:id="42"/>
    <w:bookmarkStart w:id="43" w:name="Xb935b07a7139bdf4772bb962fde35bc1f7deef3"/>
    <w:p>
      <w:pPr>
        <w:pStyle w:val="Heading3"/>
      </w:pPr>
      <w:r>
        <w:t xml:space="preserve">4.5.1 Mô hình cụ thể — Nghiên cứu 3 (Việt Nam, WBES 2009/2015/2023)</w:t>
      </w:r>
    </w:p>
    <w:p>
      <w:pPr>
        <w:pStyle w:val="FirstParagraph"/>
      </w:pPr>
      <w:r>
        <w:t xml:space="preserve">Nghiên cứu 3 sử dụng chuỗi mô hình lồng nhau M0–M8 ước lượng riêng theo từng sóng khảo sát (2009, 2015, 2023) và gộp pooled. Ký hiệu tiếng Việt:</w:t>
      </w:r>
    </w:p>
    <w:p>
      <w:pPr>
        <w:numPr>
          <w:ilvl w:val="0"/>
          <w:numId w:val="1004"/>
        </w:numPr>
        <w:pStyle w:val="Compact"/>
      </w:pPr>
      <w:r>
        <w:rPr>
          <w:bCs/>
          <w:b/>
        </w:rPr>
        <w:t xml:space="preserve">lnNSLD_it</w:t>
      </w:r>
      <w:r>
        <w:t xml:space="preserve"> </w:t>
      </w:r>
      <w:r>
        <w:t xml:space="preserve">= lnLP_it: log năng suất lao động (ln doanh thu PPP / lao động thường xuyên)</w:t>
      </w:r>
    </w:p>
    <w:p>
      <w:pPr>
        <w:numPr>
          <w:ilvl w:val="0"/>
          <w:numId w:val="1004"/>
        </w:numPr>
        <w:pStyle w:val="Compact"/>
      </w:pPr>
      <w:r>
        <w:rPr>
          <w:bCs/>
          <w:b/>
        </w:rPr>
        <w:t xml:space="preserve">CDDXK_c_it</w:t>
      </w:r>
      <w:r>
        <w:t xml:space="preserve"> </w:t>
      </w:r>
      <w:r>
        <w:t xml:space="preserve">= FSTS_c_it: cường độ xuất khẩu điều chỉnh trung bình trong sóng (mean-centred)</w:t>
      </w:r>
    </w:p>
    <w:p>
      <w:pPr>
        <w:numPr>
          <w:ilvl w:val="0"/>
          <w:numId w:val="1004"/>
        </w:numPr>
        <w:pStyle w:val="Compact"/>
      </w:pPr>
      <w:r>
        <w:rPr>
          <w:bCs/>
          <w:b/>
        </w:rPr>
        <w:t xml:space="preserve">CDDXK_c²_it</w:t>
      </w:r>
      <w:r>
        <w:t xml:space="preserve"> </w:t>
      </w:r>
      <w:r>
        <w:t xml:space="preserve">= FSTS_c²_it: bình phương cường độ xuất khẩu điều chỉnh</w:t>
      </w:r>
    </w:p>
    <w:p>
      <w:pPr>
        <w:numPr>
          <w:ilvl w:val="0"/>
          <w:numId w:val="1004"/>
        </w:numPr>
        <w:pStyle w:val="Compact"/>
      </w:pPr>
      <w:r>
        <w:rPr>
          <w:bCs/>
          <w:b/>
        </w:rPr>
        <w:t xml:space="preserve">NLCN_z_it</w:t>
      </w:r>
      <w:r>
        <w:t xml:space="preserve"> </w:t>
      </w:r>
      <w:r>
        <w:t xml:space="preserve">= TCI_z_it: năng lực công nghệ (chuẩn hoá z trong sóng)</w:t>
      </w:r>
    </w:p>
    <w:p>
      <w:pPr>
        <w:numPr>
          <w:ilvl w:val="0"/>
          <w:numId w:val="1004"/>
        </w:numPr>
        <w:pStyle w:val="Compact"/>
      </w:pPr>
      <w:r>
        <w:rPr>
          <w:bCs/>
          <w:b/>
        </w:rPr>
        <w:t xml:space="preserve">CSS_z_it</w:t>
      </w:r>
      <w:r>
        <w:t xml:space="preserve"> </w:t>
      </w:r>
      <w:r>
        <w:t xml:space="preserve">= DAI_z_it: chỉ số số hoá cơ sở — Tier-1 (chuẩn hoá z trong sóng)</w:t>
      </w:r>
    </w:p>
    <w:p>
      <w:pPr>
        <w:numPr>
          <w:ilvl w:val="0"/>
          <w:numId w:val="1004"/>
        </w:numPr>
        <w:pStyle w:val="Compact"/>
      </w:pPr>
      <w:r>
        <w:rPr>
          <w:bCs/>
          <w:b/>
        </w:rPr>
        <w:t xml:space="preserve">lnLD, TuoiDN, SoHuuNuocNgoai</w:t>
      </w:r>
      <w:r>
        <w:t xml:space="preserve">: kiểm soát quy mô, tuổi, sở hữu</w:t>
      </w:r>
    </w:p>
    <w:p>
      <w:pPr>
        <w:numPr>
          <w:ilvl w:val="0"/>
          <w:numId w:val="1004"/>
        </w:numPr>
        <w:pStyle w:val="Compact"/>
      </w:pPr>
      <w:r>
        <w:rPr>
          <w:bCs/>
          <w:b/>
        </w:rPr>
        <w:t xml:space="preserve">δ_s</w:t>
      </w:r>
      <w:r>
        <w:t xml:space="preserve">: hiệu ứng cố định ngành (1-digit ISIC);</w:t>
      </w:r>
      <w:r>
        <w:t xml:space="preserve"> </w:t>
      </w:r>
      <w:r>
        <w:rPr>
          <w:bCs/>
          <w:b/>
        </w:rPr>
        <w:t xml:space="preserve">λ_t</w:t>
      </w:r>
      <w:r>
        <w:t xml:space="preserve">: hiệu ứng cố định sóng (chỉ pooled)</w:t>
      </w:r>
    </w:p>
    <w:p>
      <w:pPr>
        <w:pStyle w:val="FirstParagraph"/>
      </w:pPr>
      <w:r>
        <w:rPr>
          <w:bCs/>
          <w:b/>
        </w:rPr>
        <w:t xml:space="preserve">M0 — Mô hình cơ sở (biến kiểm soát):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γ</m:t>
              </m:r>
            </m:e>
            <m:sub>
              <m:r>
                <m:t>1</m:t>
              </m:r>
            </m:sub>
          </m:sSub>
          <m:r>
            <m:rPr>
              <m:sty m:val="p"/>
            </m:rPr>
            <m:t>ln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M1 — Quốc tế hoá tuyến tính:</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M2 — Quốc tế hoá phi tuyến (kiểm định H1 — inverted-U):</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t xml:space="preserve">H1:</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điểm quay</w:t>
      </w:r>
      <w:r>
        <w:t xml:space="preserve"> </w:t>
      </w: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xác nhận bởi kiểm định Lind–Mehlum (2010).</w:t>
      </w:r>
    </w:p>
    <w:p>
      <w:pPr>
        <w:pStyle w:val="BodyText"/>
      </w:pPr>
      <w:r>
        <w:rPr>
          <w:bCs/>
          <w:b/>
        </w:rPr>
        <w:t xml:space="preserve">M3 —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M4 — Điều tiết CSS/DAI (H4 thăm dò):</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M5 — NLCN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M6 — CSS/DAI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M7 — Cả hai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M8 — Mô hình đầy đủ (trực tiếp + điều tiết CSS):</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sSub>
            <m:e>
              <m:r>
                <m:t>β</m:t>
              </m:r>
            </m:e>
            <m:sub>
              <m:r>
                <m:t>5</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6</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iCs/>
          <w:i/>
        </w:rPr>
        <w:t xml:space="preserve">Tất cả mô hình đều ước lượng bằng OLS với sai số chuẩn vững HC1. Hiệu ứng cố định sóng</w:t>
      </w:r>
      <w:r>
        <w:rPr>
          <w:iCs/>
          <w:i/>
        </w:rPr>
        <w:t xml:space="preserve"> </w:t>
      </w:r>
      <m:oMath>
        <m:sSub>
          <m:e>
            <m:r>
              <m:t>λ</m:t>
            </m:r>
          </m:e>
          <m:sub>
            <m:r>
              <m:t>t</m:t>
            </m:r>
          </m:sub>
        </m:sSub>
      </m:oMath>
      <w:r>
        <w:rPr>
          <w:iCs/>
          <w:i/>
        </w:rPr>
        <w:t xml:space="preserve"> </w:t>
      </w:r>
      <w:r>
        <w:rPr>
          <w:iCs/>
          <w:i/>
        </w:rPr>
        <w:t xml:space="preserve">chỉ áp dụng trong mô hình pooled. Mô hình được ước lượng riêng cho 3 sóng và gộp (N = 989 / 956 / 1.013 / 2.958).</w:t>
      </w:r>
    </w:p>
    <w:p>
      <w:pPr>
        <w:pStyle w:val="BodyText"/>
      </w:pPr>
      <w:r>
        <w:rPr>
          <w:bCs/>
          <w:b/>
        </w:rPr>
        <w:t xml:space="preserve">Bảng định nghĩa biến — Nghiên cứu 3 (Việt Nam):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Biến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 ln(doanh thu PPP / lao động thường xuyên)</w:t>
            </w:r>
          </w:p>
        </w:tc>
        <w:tc>
          <w:tcPr/>
          <w:p>
            <w:pPr>
              <w:pStyle w:val="Compact"/>
              <w:jc w:val="left"/>
            </w:pPr>
            <w:r>
              <w:t xml:space="preserve">Biến phụ thuộc</w:t>
            </w:r>
          </w:p>
        </w:tc>
      </w:tr>
      <w:tr>
        <w:tc>
          <w:tcPr/>
          <w:p>
            <w:pPr>
              <w:pStyle w:val="Compact"/>
              <w:jc w:val="left"/>
            </w:pPr>
            <w:r>
              <w:t xml:space="preserve">CDDXK</w:t>
            </w:r>
          </w:p>
        </w:tc>
        <w:tc>
          <w:tcPr/>
          <w:p>
            <w:pPr>
              <w:pStyle w:val="Compact"/>
              <w:jc w:val="left"/>
            </w:pPr>
            <w:r>
              <w:t xml:space="preserve">d3c</w:t>
            </w:r>
          </w:p>
        </w:tc>
        <w:tc>
          <w:tcPr/>
          <w:p>
            <w:pPr>
              <w:pStyle w:val="Compact"/>
              <w:jc w:val="left"/>
            </w:pPr>
            <w:r>
              <w:t xml:space="preserve">d3c / 100: cường độ xuất khẩu trực tiếp (0–1)</w:t>
            </w:r>
          </w:p>
        </w:tc>
        <w:tc>
          <w:tcPr/>
          <w:p>
            <w:pPr>
              <w:pStyle w:val="Compact"/>
              <w:jc w:val="left"/>
            </w:pPr>
            <w:r>
              <w:t xml:space="preserve">Biến độc lập</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CDDXK − trung bình sóng: chuẩn hoá điều chỉnh</w:t>
            </w:r>
          </w:p>
        </w:tc>
        <w:tc>
          <w:tcPr/>
          <w:p>
            <w:pPr>
              <w:pStyle w:val="Compact"/>
              <w:jc w:val="left"/>
            </w:pPr>
            <w:r>
              <w:t xml:space="preserve">Biến độc lập (centred)</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 hạng phi tuyến</w:t>
            </w:r>
          </w:p>
        </w:tc>
        <w:tc>
          <w:tcPr/>
          <w:p>
            <w:pPr>
              <w:pStyle w:val="Compact"/>
              <w:jc w:val="left"/>
            </w:pPr>
            <w:r>
              <w:t xml:space="preserve">Kiểm định inverted-U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trong sóng của TB(b8₀₁, e6₀₁): chứng chỉ chất lượng + công nghệ ngoại</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 trong sóng của c22b₀₁: hiện diện website</w:t>
            </w:r>
          </w:p>
        </w:tc>
        <w:tc>
          <w:tcPr/>
          <w:p>
            <w:pPr>
              <w:pStyle w:val="Compact"/>
              <w:jc w:val="left"/>
            </w:pPr>
            <w:r>
              <w:t xml:space="preserve">Số hoá Tier-1 (H4 thăm dò)</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 log số lao động thường xuyên</w:t>
            </w:r>
          </w:p>
        </w:tc>
        <w:tc>
          <w:tcPr/>
          <w:p>
            <w:pPr>
              <w:pStyle w:val="Compact"/>
              <w:jc w:val="left"/>
            </w:pPr>
            <w:r>
              <w:t xml:space="preserve">Kiểm soát: 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 số năm hoạt động</w:t>
            </w:r>
          </w:p>
        </w:tc>
        <w:tc>
          <w:tcPr/>
          <w:p>
            <w:pPr>
              <w:pStyle w:val="Compact"/>
              <w:jc w:val="left"/>
            </w:pPr>
            <w:r>
              <w:t xml:space="preserve">Kiểm soát: 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 có vốn nước ngoài</w:t>
            </w:r>
          </w:p>
        </w:tc>
        <w:tc>
          <w:tcPr/>
          <w:p>
            <w:pPr>
              <w:pStyle w:val="Compact"/>
              <w:jc w:val="left"/>
            </w:pPr>
            <w:r>
              <w:t xml:space="preserve">Kiểm soát: hình thức sở hữu</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ngành 1-chữ số ISIC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chỉ báo sóng khảo sát (chỉ pooled)</w:t>
            </w:r>
          </w:p>
        </w:tc>
        <w:tc>
          <w:tcPr/>
          <w:p>
            <w:pPr>
              <w:pStyle w:val="Compact"/>
              <w:jc w:val="left"/>
            </w:pPr>
            <w:r>
              <w:t xml:space="preserve">Hiệu ứng cố định thời kỳ</w:t>
            </w:r>
          </w:p>
        </w:tc>
      </w:tr>
    </w:tbl>
    <w:bookmarkEnd w:id="43"/>
    <w:bookmarkStart w:id="44" w:name="X1a84e23bcffcf0b809a67054bf546d98a0649dd"/>
    <w:p>
      <w:pPr>
        <w:pStyle w:val="Heading3"/>
      </w:pPr>
      <w:r>
        <w:t xml:space="preserve">4.5.2 Mô hình cụ thể — Nghiên cứu 4 (Singapore, WBES 2023)</w:t>
      </w:r>
    </w:p>
    <w:p>
      <w:pPr>
        <w:pStyle w:val="FirstParagraph"/>
      </w:pPr>
      <w:r>
        <w:t xml:space="preserve">Nghiên cứu 4 sử dụng dữ liệu mặt cắt ngang WBES Singapore 2023 (N = 623). Thiết kế đơn sóng, không có thành phần λ_t. Ký hiệu tiếng Việt:</w:t>
      </w:r>
    </w:p>
    <w:p>
      <w:pPr>
        <w:numPr>
          <w:ilvl w:val="0"/>
          <w:numId w:val="1005"/>
        </w:numPr>
        <w:pStyle w:val="Compact"/>
      </w:pPr>
      <w:r>
        <w:rPr>
          <w:bCs/>
          <w:b/>
        </w:rPr>
        <w:t xml:space="preserve">lnNSLD_i</w:t>
      </w:r>
      <w:r>
        <w:t xml:space="preserve"> </w:t>
      </w:r>
      <w:r>
        <w:t xml:space="preserve">= lnLP_i: log năng suất lao động (ln doanh thu PPP / lao động thường xuyên)</w:t>
      </w:r>
    </w:p>
    <w:p>
      <w:pPr>
        <w:numPr>
          <w:ilvl w:val="0"/>
          <w:numId w:val="1005"/>
        </w:numPr>
        <w:pStyle w:val="Compact"/>
      </w:pPr>
      <w:r>
        <w:rPr>
          <w:bCs/>
          <w:b/>
        </w:rPr>
        <w:t xml:space="preserve">CDDXK_i</w:t>
      </w:r>
      <w:r>
        <w:t xml:space="preserve"> </w:t>
      </w:r>
      <w:r>
        <w:t xml:space="preserve">= FSTS_i: cường độ xuất khẩu trực tiếp (d3c / 100)</w:t>
      </w:r>
    </w:p>
    <w:p>
      <w:pPr>
        <w:numPr>
          <w:ilvl w:val="0"/>
          <w:numId w:val="1005"/>
        </w:numPr>
        <w:pStyle w:val="Compact"/>
      </w:pPr>
      <w:r>
        <w:rPr>
          <w:bCs/>
          <w:b/>
        </w:rPr>
        <w:t xml:space="preserve">CDDXK_c_i</w:t>
      </w:r>
      <w:r>
        <w:t xml:space="preserve"> </w:t>
      </w:r>
      <w:r>
        <w:t xml:space="preserve">= FSTS_c_i: CDDXK trung bình mẫu; CDDXK_c² là bình phương</w:t>
      </w:r>
    </w:p>
    <w:p>
      <w:pPr>
        <w:numPr>
          <w:ilvl w:val="0"/>
          <w:numId w:val="1005"/>
        </w:numPr>
        <w:pStyle w:val="Compact"/>
      </w:pPr>
      <w:r>
        <w:rPr>
          <w:bCs/>
          <w:b/>
        </w:rPr>
        <w:t xml:space="preserve">NLCN_z_i</w:t>
      </w:r>
      <w:r>
        <w:t xml:space="preserve"> </w:t>
      </w:r>
      <w:r>
        <w:t xml:space="preserve">= TCI_z_i: năng lực công nghệ — z-std của trung bình(b8₀₁, e6₀₁)</w:t>
      </w:r>
    </w:p>
    <w:p>
      <w:pPr>
        <w:numPr>
          <w:ilvl w:val="0"/>
          <w:numId w:val="1005"/>
        </w:numPr>
        <w:pStyle w:val="Compact"/>
      </w:pPr>
      <w:r>
        <w:rPr>
          <w:bCs/>
          <w:b/>
        </w:rPr>
        <w:t xml:space="preserve">CSS_z_i</w:t>
      </w:r>
      <w:r>
        <w:t xml:space="preserve"> </w:t>
      </w:r>
      <w:r>
        <w:t xml:space="preserve">= DAI_z_i: chỉ số số hoá</w:t>
      </w:r>
      <w:r>
        <w:t xml:space="preserve"> </w:t>
      </w:r>
      <w:r>
        <w:rPr>
          <w:bCs/>
          <w:b/>
        </w:rPr>
        <w:t xml:space="preserve">Tier-1+2</w:t>
      </w:r>
      <w:r>
        <w:t xml:space="preserve"> </w:t>
      </w:r>
      <w:r>
        <w:t xml:space="preserve">— z-std của trung bình(c22b₀₁, k33₀₁, k38₀₁); khác P3 ở chỗ bao gồm e-payment hai chiều (Tier-2)</w:t>
      </w:r>
    </w:p>
    <w:p>
      <w:pPr>
        <w:numPr>
          <w:ilvl w:val="0"/>
          <w:numId w:val="1005"/>
        </w:numPr>
        <w:pStyle w:val="Compact"/>
      </w:pPr>
      <w:r>
        <w:rPr>
          <w:bCs/>
          <w:b/>
        </w:rPr>
        <w:t xml:space="preserve">lnLD_i</w:t>
      </w:r>
      <w:r>
        <w:t xml:space="preserve">,</w:t>
      </w:r>
      <w:r>
        <w:t xml:space="preserve"> </w:t>
      </w:r>
      <w:r>
        <w:rPr>
          <w:bCs/>
          <w:b/>
        </w:rPr>
        <w:t xml:space="preserve">TuoiDN_i</w:t>
      </w:r>
      <w:r>
        <w:t xml:space="preserve">,</w:t>
      </w:r>
      <w:r>
        <w:t xml:space="preserve"> </w:t>
      </w:r>
      <w:r>
        <w:rPr>
          <w:bCs/>
          <w:b/>
        </w:rPr>
        <w:t xml:space="preserve">SoHuuNN_i</w:t>
      </w:r>
      <w:r>
        <w:t xml:space="preserve">: biến kiểm soát tương tự P3</w:t>
      </w:r>
    </w:p>
    <w:p>
      <w:pPr>
        <w:numPr>
          <w:ilvl w:val="0"/>
          <w:numId w:val="1005"/>
        </w:numPr>
        <w:pStyle w:val="Compact"/>
      </w:pPr>
      <w:r>
        <w:rPr>
          <w:bCs/>
          <w:b/>
        </w:rPr>
        <w:t xml:space="preserve">δ_s</w:t>
      </w:r>
      <w:r>
        <w:t xml:space="preserve">: sector fixed effects (ISIC 1-chữ số)</w:t>
      </w:r>
    </w:p>
    <w:p>
      <w:pPr>
        <w:numPr>
          <w:ilvl w:val="0"/>
          <w:numId w:val="1005"/>
        </w:numPr>
        <w:pStyle w:val="Compact"/>
      </w:pPr>
      <w:r>
        <w:rPr>
          <w:bCs/>
          <w:b/>
        </w:rPr>
        <w:t xml:space="preserve">IMR_i</w:t>
      </w:r>
      <w:r>
        <w:t xml:space="preserve"> </w:t>
      </w:r>
      <w:r>
        <w:t xml:space="preserve">= nghịch đảo tỷ lệ Mills từ mô hình probit tham gia xuất khẩu (kiểm tra độ nhạy Heckman)</w:t>
      </w:r>
    </w:p>
    <w:p>
      <w:pPr>
        <w:pStyle w:val="FirstParagraph"/>
      </w:pPr>
      <w:r>
        <w:rPr>
          <w:bCs/>
          <w:b/>
        </w:rPr>
        <w:t xml:space="preserve">Chuỗi mô hình lồng nhau M0–M5:</w:t>
      </w:r>
    </w:p>
    <w:p>
      <w:pPr>
        <w:pStyle w:val="BlockText"/>
      </w:pPr>
      <w:r>
        <w:t xml:space="preserve">M0 (Baseline):</w:t>
      </w:r>
      <w:r>
        <w:t xml:space="preserve"> </w:t>
      </w:r>
      <w:r>
        <w:t xml:space="preserve">lnNSLD_i = α + γ₁ lnLD_i + γ₂ TuoiDN_i + γ₃ SoHuuNN_i + δ_s + ε_i</w:t>
      </w:r>
    </w:p>
    <w:p>
      <w:pPr>
        <w:pStyle w:val="BlockText"/>
      </w:pPr>
      <w:r>
        <w:t xml:space="preserve">M1 (Tuyến tính FSTS):</w:t>
      </w:r>
      <w:r>
        <w:t xml:space="preserve"> </w:t>
      </w:r>
      <w:r>
        <w:t xml:space="preserve">lnNSLD_i = α + β₁ CDDXK_c_i + γ·X_i + δ_s + ε_i</w:t>
      </w:r>
    </w:p>
    <w:p>
      <w:pPr>
        <w:pStyle w:val="BlockText"/>
      </w:pPr>
      <w:r>
        <w:t xml:space="preserve">M2 (Bậc hai FSTS — kiểm định H1):</w:t>
      </w:r>
      <w:r>
        <w:t xml:space="preserve"> </w:t>
      </w:r>
      <w:r>
        <w:t xml:space="preserve">lnNSLD_i = α + β₁ CDDXK_c_i + β₂ CDDXK_c²_i + γ·X_i + δ_s + ε_i</w:t>
      </w:r>
      <w:r>
        <w:t xml:space="preserve"> </w:t>
      </w:r>
      <w:r>
        <w:t xml:space="preserve">H1: β₁ &gt; 0, β₂ &lt; 0; TP* = −β₁/(2β₂) ≈ 82% FSTS [CI bootstrap [53%, 253%]]</w:t>
      </w:r>
      <w:r>
        <w:t xml:space="preserve"> </w:t>
      </w:r>
      <w:r>
        <w:t xml:space="preserve">Lưu ý: Lind–Mehlum p = 0,303 — không bác bỏ tuyến tính trong phạm vi dữ liệu quan sát; đây là kết quả thông tin tích cực theo khung bão hòa (saturation framework)</w:t>
      </w:r>
    </w:p>
    <w:p>
      <w:pPr>
        <w:pStyle w:val="BlockText"/>
      </w:pPr>
      <w:r>
        <w:t xml:space="preserve">M3 (+ NLCN — H1-TCI trực tiếp):</w:t>
      </w:r>
      <w:r>
        <w:t xml:space="preserve"> </w:t>
      </w:r>
      <w:r>
        <w:t xml:space="preserve">lnNSLD_i = α + β₁ CDDXK_c + β₂ CDDXK_c² + β₃ NLCN_z + γ·X + δ_s + ε</w:t>
      </w:r>
    </w:p>
    <w:p>
      <w:pPr>
        <w:pStyle w:val="BlockText"/>
      </w:pPr>
      <w:r>
        <w:t xml:space="preserve">M4 (+ CSS trực tiếp):</w:t>
      </w:r>
      <w:r>
        <w:t xml:space="preserve"> </w:t>
      </w:r>
      <w:r>
        <w:t xml:space="preserve">lnNSLD_i = α + β₁ CDDXK_c + β₂ CDDXK_c² + β₃ NLCN_z + β₄ CSS_z + γ·X + δ_s + ε</w:t>
      </w:r>
    </w:p>
    <w:p>
      <w:pPr>
        <w:pStyle w:val="BlockText"/>
      </w:pPr>
      <w:r>
        <w:t xml:space="preserve">M5 (Mô hình đầy đủ — kiểm định H3):</w:t>
      </w:r>
      <w:r>
        <w:t xml:space="preserve"> </w:t>
      </w:r>
      <w:r>
        <w:t xml:space="preserve">lnNSLD_i = α + β₁ CDDXK_c + β₂ CDDXK_c² + β₃ NLCN_z + β₄ CSS_z</w:t>
      </w:r>
      <w:r>
        <w:t xml:space="preserve"> </w:t>
      </w:r>
      <w:r>
        <w:t xml:space="preserve">+ β₅(CDDXK_c × CSS_z) + β₆(CDDXK_c² × CSS_z) + γ·X + δ_s + ε</w:t>
      </w:r>
      <w:r>
        <w:t xml:space="preserve"> </w:t>
      </w:r>
      <w:r>
        <w:t xml:space="preserve">H3: β₆ &gt; 0 — DAI khuếch đại lợi nhuận I→P ở cường độ xuất khẩu cao (coordination platform mechanism; Stallkamp &amp; Schotter, 2021)</w:t>
      </w:r>
      <w:r>
        <w:t xml:space="preserve"> </w:t>
      </w:r>
      <w:r>
        <w:t xml:space="preserve">Kết quả: β₆ = +3,119 (p = 0,005) trong mẫu đầy đủ; β₆ = +2,821 (p = 0,003, F-test) trong mẫu chỉ xuất khẩu (N = 84, lưu ý: công suất thống kê ≈ 16%)</w:t>
      </w:r>
    </w:p>
    <w:p>
      <w:pPr>
        <w:pStyle w:val="FirstParagraph"/>
      </w:pPr>
      <w:r>
        <w:rPr>
          <w:bCs/>
          <w:b/>
        </w:rPr>
        <w:t xml:space="preserve">Bảng định nghĩa biến — Nghiên cứu 4 (Singapore):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mean(FSTS): centred</w:t>
            </w:r>
          </w:p>
        </w:tc>
        <w:tc>
          <w:tcPr/>
          <w:p>
            <w:pPr>
              <w:pStyle w:val="Compact"/>
              <w:jc w:val="left"/>
            </w:pPr>
            <w:r>
              <w:t xml:space="preserve">Biến độc lập</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của TB(b8₀₁, e6₀₁)</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 k33, k38</w:t>
            </w:r>
          </w:p>
        </w:tc>
        <w:tc>
          <w:tcPr/>
          <w:p>
            <w:pPr>
              <w:pStyle w:val="Compact"/>
              <w:jc w:val="left"/>
            </w:pPr>
            <w:r>
              <w:t xml:space="preserve">z-std của TB(c22b₀₁, k33₀₁, k38₀₁) —</w:t>
            </w:r>
            <w:r>
              <w:t xml:space="preserve"> </w:t>
            </w:r>
            <w:r>
              <w:rPr>
                <w:bCs/>
                <w:b/>
              </w:rPr>
              <w:t xml:space="preserve">Tier-1+2</w:t>
            </w:r>
          </w:p>
        </w:tc>
        <w:tc>
          <w:tcPr/>
          <w:p>
            <w:pPr>
              <w:pStyle w:val="Compact"/>
              <w:jc w:val="left"/>
            </w:pPr>
            <w:r>
              <w:t xml:space="preserve">Số hoá Tier-1+2 (H3)</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IMR</w:t>
            </w:r>
          </w:p>
        </w:tc>
        <w:tc>
          <w:tcPr/>
          <w:p>
            <w:pPr>
              <w:pStyle w:val="Compact"/>
              <w:jc w:val="left"/>
            </w:pPr>
            <w:r>
              <w:t xml:space="preserve">probit selection</w:t>
            </w:r>
          </w:p>
        </w:tc>
        <w:tc>
          <w:tcPr/>
          <w:p>
            <w:pPr>
              <w:pStyle w:val="Compact"/>
              <w:jc w:val="left"/>
            </w:pPr>
            <w:r>
              <w:t xml:space="preserve">Nghịch đảo tỷ lệ Mills (kiểm tra Heckman)</w:t>
            </w:r>
          </w:p>
        </w:tc>
        <w:tc>
          <w:tcPr/>
          <w:p>
            <w:pPr>
              <w:pStyle w:val="Compact"/>
              <w:jc w:val="left"/>
            </w:pPr>
            <w:r>
              <w:t xml:space="preserve">Kiểm soát chọn lựa tham gia xuất khẩu</w:t>
            </w:r>
          </w:p>
        </w:tc>
      </w:tr>
      <w:tr>
        <w:tc>
          <w:tcPr/>
          <w:p>
            <w:pPr>
              <w:pStyle w:val="Compact"/>
              <w:jc w:val="left"/>
            </w:pPr>
            <w:r>
              <w:t xml:space="preserve">δ_s</w:t>
            </w:r>
          </w:p>
        </w:tc>
        <w:tc>
          <w:tcPr/>
          <w:p>
            <w:pPr>
              <w:pStyle w:val="Compact"/>
              <w:jc w:val="left"/>
            </w:pPr>
            <w:r>
              <w:t xml:space="preserve">a4b</w:t>
            </w:r>
          </w:p>
        </w:tc>
        <w:tc>
          <w:tcPr/>
          <w:p>
            <w:pPr>
              <w:pStyle w:val="Compact"/>
              <w:jc w:val="left"/>
            </w:pPr>
            <w:r>
              <w:t xml:space="preserve">Sector FE (ISIC 1-chữ số)</w:t>
            </w:r>
          </w:p>
        </w:tc>
        <w:tc>
          <w:tcPr/>
          <w:p>
            <w:pPr>
              <w:pStyle w:val="Compact"/>
              <w:jc w:val="left"/>
            </w:pPr>
            <w:r>
              <w:t xml:space="preserve">Hiệu ứng cố định ngành</w:t>
            </w:r>
          </w:p>
        </w:tc>
      </w:tr>
    </w:tbl>
    <w:p>
      <w:r>
        <w:pict>
          <v:rect style="width:0;height:1.5pt" o:hralign="center" o:hrstd="t" o:hr="t"/>
        </w:pict>
      </w:r>
    </w:p>
    <w:bookmarkEnd w:id="44"/>
    <w:bookmarkStart w:id="45" w:name="X9ef80487c12e0f5dad14bc0925ba05bca166c52"/>
    <w:p>
      <w:pPr>
        <w:pStyle w:val="Heading3"/>
      </w:pPr>
      <w:r>
        <w:t xml:space="preserve">4.5.3 Mô hình cụ thể — Nghiên cứu 5 (Trung Quốc, WBES 2012 và 2024)</w:t>
      </w:r>
    </w:p>
    <w:p>
      <w:pPr>
        <w:pStyle w:val="FirstParagraph"/>
      </w:pPr>
      <w:r>
        <w:t xml:space="preserve">Nghiên cứu 5 sử dụng hai sóng WBES Trung Quốc (2012: N = 2.610; 2024: N = 1.934; pooled N = 4.544). Thiết kế đa sóng không panel (217 doanh nghiệp xuất hiện cả hai sóng tạo thành "panel core" được sử dụng cho cluster-robust SE). Ký hiệu tiếng Việt:</w:t>
      </w:r>
    </w:p>
    <w:p>
      <w:pPr>
        <w:numPr>
          <w:ilvl w:val="0"/>
          <w:numId w:val="1006"/>
        </w:numPr>
        <w:pStyle w:val="Compact"/>
      </w:pPr>
      <w:r>
        <w:rPr>
          <w:bCs/>
          <w:b/>
        </w:rPr>
        <w:t xml:space="preserve">lnNSLD_it</w:t>
      </w:r>
      <w:r>
        <w:t xml:space="preserve"> </w:t>
      </w:r>
      <w:r>
        <w:t xml:space="preserve">= lnLP_it: log năng suất lao động (biến phụ thuộc)</w:t>
      </w:r>
    </w:p>
    <w:p>
      <w:pPr>
        <w:numPr>
          <w:ilvl w:val="0"/>
          <w:numId w:val="1006"/>
        </w:numPr>
        <w:pStyle w:val="Compact"/>
      </w:pPr>
      <w:r>
        <w:rPr>
          <w:bCs/>
          <w:b/>
        </w:rPr>
        <w:t xml:space="preserve">CDDXK_c_it</w:t>
      </w:r>
      <w:r>
        <w:t xml:space="preserve"> </w:t>
      </w:r>
      <w:r>
        <w:t xml:space="preserve">= FSTS_c_it: cường độ xuất khẩu centred theo trung bình sóng</w:t>
      </w:r>
    </w:p>
    <w:p>
      <w:pPr>
        <w:numPr>
          <w:ilvl w:val="0"/>
          <w:numId w:val="1006"/>
        </w:numPr>
        <w:pStyle w:val="Compact"/>
      </w:pPr>
      <w:r>
        <w:rPr>
          <w:bCs/>
          <w:b/>
        </w:rPr>
        <w:t xml:space="preserve">NLCN_z_it</w:t>
      </w:r>
      <w:r>
        <w:t xml:space="preserve"> </w:t>
      </w:r>
      <w:r>
        <w:t xml:space="preserve">= TCI_full_z_it: năng lực công nghệ toàn diện — z-std của TB(b8₀₁, e6₀₁, b4₀₁, b7a₀₁); mở rộng hơn P3</w:t>
      </w:r>
    </w:p>
    <w:p>
      <w:pPr>
        <w:numPr>
          <w:ilvl w:val="0"/>
          <w:numId w:val="1006"/>
        </w:numPr>
        <w:pStyle w:val="Compact"/>
      </w:pPr>
      <w:r>
        <w:rPr>
          <w:bCs/>
          <w:b/>
        </w:rPr>
        <w:t xml:space="preserve">CSS_z_it</w:t>
      </w:r>
      <w:r>
        <w:t xml:space="preserve"> </w:t>
      </w:r>
      <w:r>
        <w:t xml:space="preserve">= DAI_core_it: chỉ số số hoá cơ bản — chỉ c22b₀₁ (Tier-1 mỏng, single-item binary)</w:t>
      </w:r>
    </w:p>
    <w:p>
      <w:pPr>
        <w:numPr>
          <w:ilvl w:val="0"/>
          <w:numId w:val="1006"/>
        </w:numPr>
        <w:pStyle w:val="Compact"/>
      </w:pPr>
      <w:r>
        <w:rPr>
          <w:bCs/>
          <w:b/>
        </w:rPr>
        <w:t xml:space="preserve">lnLD_it</w:t>
      </w:r>
      <w:r>
        <w:t xml:space="preserve">,</w:t>
      </w:r>
      <w:r>
        <w:t xml:space="preserve"> </w:t>
      </w:r>
      <w:r>
        <w:rPr>
          <w:bCs/>
          <w:b/>
        </w:rPr>
        <w:t xml:space="preserve">TuoiDN_it</w:t>
      </w:r>
      <w:r>
        <w:t xml:space="preserve">,</w:t>
      </w:r>
      <w:r>
        <w:t xml:space="preserve"> </w:t>
      </w:r>
      <w:r>
        <w:rPr>
          <w:bCs/>
          <w:b/>
        </w:rPr>
        <w:t xml:space="preserve">SoHuuNN_it</w:t>
      </w:r>
      <w:r>
        <w:t xml:space="preserve">: biến kiểm soát</w:t>
      </w:r>
    </w:p>
    <w:p>
      <w:pPr>
        <w:numPr>
          <w:ilvl w:val="0"/>
          <w:numId w:val="1006"/>
        </w:numPr>
        <w:pStyle w:val="Compact"/>
      </w:pPr>
      <w:r>
        <w:rPr>
          <w:bCs/>
          <w:b/>
        </w:rPr>
        <w:t xml:space="preserve">δ_s</w:t>
      </w:r>
      <w:r>
        <w:t xml:space="preserve">: sector fixed effects;</w:t>
      </w:r>
      <w:r>
        <w:t xml:space="preserve"> </w:t>
      </w:r>
      <w:r>
        <w:rPr>
          <w:bCs/>
          <w:b/>
        </w:rPr>
        <w:t xml:space="preserve">λ_t</w:t>
      </w:r>
      <w:r>
        <w:t xml:space="preserve">: wave fixed effects (pooled)</w:t>
      </w:r>
    </w:p>
    <w:p>
      <w:pPr>
        <w:pStyle w:val="FirstParagraph"/>
      </w:pPr>
      <w:r>
        <w:rPr>
          <w:bCs/>
          <w:b/>
        </w:rPr>
        <w:t xml:space="preserve">Chuỗi mô hình lồng nhau M0–M6:</w:t>
      </w:r>
    </w:p>
    <w:p>
      <w:pPr>
        <w:pStyle w:val="BlockText"/>
      </w:pPr>
      <w:r>
        <w:t xml:space="preserve">M0 (Baseline):</w:t>
      </w:r>
      <w:r>
        <w:t xml:space="preserve"> </w:t>
      </w:r>
      <w:r>
        <w:t xml:space="preserve">lnNSLD_it = α + γ₁ lnLD_it + γ₂ TuoiDN_it + γ₃ SoHuuNN_it + δ_s + λ_t + ε_it</w:t>
      </w:r>
    </w:p>
    <w:p>
      <w:pPr>
        <w:pStyle w:val="BlockText"/>
      </w:pPr>
      <w:r>
        <w:t xml:space="preserve">M1 (Tuyến tính FSTS):</w:t>
      </w:r>
      <w:r>
        <w:t xml:space="preserve"> </w:t>
      </w:r>
      <w:r>
        <w:t xml:space="preserve">lnNSLD_it = α + β₁ CDDXK_c_it + γ·X_it + δ_s + λ_t + ε_it</w:t>
      </w:r>
    </w:p>
    <w:p>
      <w:pPr>
        <w:pStyle w:val="BlockText"/>
      </w:pPr>
      <w:r>
        <w:t xml:space="preserve">M2 (Bậc hai FSTS — kiểm định H1):</w:t>
      </w:r>
      <w:r>
        <w:t xml:space="preserve"> </w:t>
      </w:r>
      <w:r>
        <w:t xml:space="preserve">lnNSLD_it = α + β₁ CDDXK_c_it + β₂ CDDXK_c²_it + γ·X_it + δ_s + λ_t + ε_it</w:t>
      </w:r>
      <w:r>
        <w:t xml:space="preserve"> </w:t>
      </w:r>
      <w:r>
        <w:t xml:space="preserve">H1: β₁ &gt; 0, β₂ &lt; 0; TP* = −β₁/(2β₂) — điểm uốn 49,4% (2012), 47,2% (2024), và 48,8% (pooled)</w:t>
      </w:r>
      <w:r>
        <w:t xml:space="preserve"> </w:t>
      </w:r>
      <w:r>
        <w:t xml:space="preserve">Kiểm định ổn định cấu trúc: Paternoster (1998) z-test: z(FSTS) = +0,82 (p = 0,412); z(FSTS²) = −0,61 (p = 0,545) → không bác bỏ bình đẳng hệ số giữa hai sóng</w:t>
      </w:r>
    </w:p>
    <w:p>
      <w:pPr>
        <w:pStyle w:val="BlockText"/>
      </w:pPr>
      <w:r>
        <w:t xml:space="preserve">M3 (+ NLCN trực tiếp — H2 level-shift):</w:t>
      </w:r>
      <w:r>
        <w:t xml:space="preserve"> </w:t>
      </w:r>
      <w:r>
        <w:t xml:space="preserve">lnNSLD_it = α + β₁ CDDXK_c + β₂ CDDXK_c² + β₃ NLCN_z + γ·X + δ_s + λ_t + ε</w:t>
      </w:r>
      <w:r>
        <w:t xml:space="preserve"> </w:t>
      </w:r>
      <w:r>
        <w:t xml:space="preserve">Kết quả: β₃ = +0,28 (2012, p &lt; 0,001), +0,43 (2024, p &lt; 0,001) — TCI là "bộ tăng mức" (level-shifter), không điều tiết độ cong</w:t>
      </w:r>
    </w:p>
    <w:p>
      <w:pPr>
        <w:pStyle w:val="BlockText"/>
      </w:pPr>
      <w:r>
        <w:t xml:space="preserve">M4 (+ CSS trực tiếp):</w:t>
      </w:r>
      <w:r>
        <w:t xml:space="preserve"> </w:t>
      </w:r>
      <w:r>
        <w:t xml:space="preserve">lnNSLD_it = α + β₁ CDDXK_c + β₂ CDDXK_c² + β₃ NLCN_z + β₄ CSS_z + γ·X + δ_s + λ_t + ε</w:t>
      </w:r>
    </w:p>
    <w:p>
      <w:pPr>
        <w:pStyle w:val="BlockText"/>
      </w:pPr>
      <w:r>
        <w:t xml:space="preserve">M5 (Kiểm định ổn định xuyên sóng — H2b):</w:t>
      </w:r>
      <w:r>
        <w:t xml:space="preserve"> </w:t>
      </w:r>
      <w:r>
        <w:t xml:space="preserve">Ước lượng M2 riêng biệt cho 2012 và 2024, sau đó áp dụng:</w:t>
      </w:r>
      <w:r>
        <w:t xml:space="preserve"> </w:t>
      </w:r>
      <w:r>
        <w:t xml:space="preserve">z = (β̂₁,2012 − β̂₁,2024) / √(SE²₁,2012 + SE²₁,2024)</w:t>
      </w:r>
      <w:r>
        <w:t xml:space="preserve"> </w:t>
      </w:r>
      <w:r>
        <w:t xml:space="preserve">(Paternoster et al., 1998) — tương tự cho β₂ (FSTS²)</w:t>
      </w:r>
    </w:p>
    <w:p>
      <w:pPr>
        <w:pStyle w:val="BlockText"/>
      </w:pPr>
      <w:r>
        <w:t xml:space="preserve">M6 (Điều tiết ba chiều — kiểm định H3/H4a/H4b):</w:t>
      </w:r>
      <w:r>
        <w:t xml:space="preserve"> </w:t>
      </w:r>
      <w:r>
        <w:t xml:space="preserve">lnNSLD_it = α + β₁ CDDXK_c + β₂ CDDXK_c² + β₃ NLCN_z + β₄ CSS_z</w:t>
      </w:r>
      <w:r>
        <w:t xml:space="preserve"> </w:t>
      </w:r>
      <w:r>
        <w:t xml:space="preserve">+ β₅(CDDXK_c × NLCN_z) + β₆(CDDXK_c² × NLCN_z)</w:t>
      </w:r>
      <w:r>
        <w:t xml:space="preserve"> </w:t>
      </w:r>
      <w:r>
        <w:t xml:space="preserve">+ β₇(CDDXK_c × wave) + β₈(CDDXK_c² × wave) + γ·X + δ_s + λ_t + ε</w:t>
      </w:r>
      <w:r>
        <w:t xml:space="preserve"> </w:t>
      </w:r>
      <w:r>
        <w:t xml:space="preserve">F-tests: F1 (dịch chuyển độ cong xuyên sóng), F2 (điều tiết năng lực), F3 (dịch chuyển điều kiện)</w:t>
      </w:r>
      <w:r>
        <w:t xml:space="preserve"> </w:t>
      </w:r>
      <w:r>
        <w:t xml:space="preserve">Kết quả: F2 = 3,26 (p = 0,039, không qua Bonferroni α* = 0,017) → H4b (null capability-curvature moderation) được chấp nhận</w:t>
      </w:r>
    </w:p>
    <w:p>
      <w:pPr>
        <w:pStyle w:val="FirstParagraph"/>
      </w:pPr>
      <w:r>
        <w:rPr>
          <w:bCs/>
          <w:b/>
        </w:rPr>
        <w:t xml:space="preserve">Bảng định nghĩa biến — Nghiên cứu 5 (Trung Quốc):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mean_wave(FSTS)</w:t>
            </w:r>
          </w:p>
        </w:tc>
        <w:tc>
          <w:tcPr/>
          <w:p>
            <w:pPr>
              <w:pStyle w:val="Compact"/>
              <w:jc w:val="left"/>
            </w:pPr>
            <w:r>
              <w:t xml:space="preserve">Biến độc lập</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 b4, b7a</w:t>
            </w:r>
          </w:p>
        </w:tc>
        <w:tc>
          <w:tcPr/>
          <w:p>
            <w:pPr>
              <w:pStyle w:val="Compact"/>
              <w:jc w:val="left"/>
            </w:pPr>
            <w:r>
              <w:t xml:space="preserve">z-std của TB(b8₀₁, e6₀₁, b4₀₁, b7a₀₁) — TCI toàn diện</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c22b₀₁ —</w:t>
            </w:r>
            <w:r>
              <w:t xml:space="preserve"> </w:t>
            </w:r>
            <w:r>
              <w:rPr>
                <w:bCs/>
                <w:b/>
              </w:rPr>
              <w:t xml:space="preserve">Tier-1 đơn biến</w:t>
            </w:r>
            <w:r>
              <w:t xml:space="preserve"> </w:t>
            </w:r>
            <w:r>
              <w:t xml:space="preserve">(binary)</w:t>
            </w:r>
          </w:p>
        </w:tc>
        <w:tc>
          <w:tcPr/>
          <w:p>
            <w:pPr>
              <w:pStyle w:val="Compact"/>
              <w:jc w:val="left"/>
            </w:pPr>
            <w:r>
              <w:t xml:space="preserve">Số hoá Tier-1 mỏng (kiểm soát)</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δ_s</w:t>
            </w:r>
          </w:p>
        </w:tc>
        <w:tc>
          <w:tcPr/>
          <w:p>
            <w:pPr>
              <w:pStyle w:val="Compact"/>
              <w:jc w:val="left"/>
            </w:pPr>
            <w:r>
              <w:t xml:space="preserve">ISIC sector</w:t>
            </w:r>
          </w:p>
        </w:tc>
        <w:tc>
          <w:tcPr/>
          <w:p>
            <w:pPr>
              <w:pStyle w:val="Compact"/>
              <w:jc w:val="left"/>
            </w:pPr>
            <w:r>
              <w:t xml:space="preserve">Sector FE</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wave (2012/2024)</w:t>
            </w:r>
          </w:p>
        </w:tc>
        <w:tc>
          <w:tcPr/>
          <w:p>
            <w:pPr>
              <w:pStyle w:val="Compact"/>
              <w:jc w:val="left"/>
            </w:pPr>
            <w:r>
              <w:t xml:space="preserve">Wave FE (chỉ pooled)</w:t>
            </w:r>
          </w:p>
        </w:tc>
        <w:tc>
          <w:tcPr/>
          <w:p>
            <w:pPr>
              <w:pStyle w:val="Compact"/>
              <w:jc w:val="left"/>
            </w:pPr>
            <w:r>
              <w:t xml:space="preserve">Hiệu ứng cố định thời kỳ</w:t>
            </w:r>
          </w:p>
        </w:tc>
      </w:tr>
    </w:tbl>
    <w:p>
      <w:pPr>
        <w:pStyle w:val="BodyText"/>
      </w:pPr>
      <w:r>
        <w:rPr>
          <w:iCs/>
          <w:i/>
        </w:rPr>
        <w:t xml:space="preserve">Ghi chú: 217 doanh nghiệp xuất hiện cả hai sóng ("panel core") tạo thêm nhận dạng biến thiên trong mẫu trong khi clustered SE theo idstd xử lý tương quan nội nhóm. DAI Trung Quốc chỉ là Tier-1 đơn biến — không đủ để kiểm định CDCM; hàm ý chính sách và lý thuyết khác với P4 Singapore (Tier-1+2).</w:t>
      </w:r>
    </w:p>
    <w:p>
      <w:r>
        <w:pict>
          <v:rect style="width:0;height:1.5pt" o:hralign="center" o:hrstd="t" o:hr="t"/>
        </w:pict>
      </w:r>
    </w:p>
    <w:bookmarkEnd w:id="45"/>
    <w:bookmarkStart w:id="46" w:name="X4e8b67ecad9724beebae0d23d08617f128f911b"/>
    <w:p>
      <w:pPr>
        <w:pStyle w:val="Heading3"/>
      </w:pPr>
      <w:r>
        <w:t xml:space="preserve">4.5.4 Mô hình cụ thể — Nghiên cứu 7 (Đa quốc gia châu Á, WBES 2003–2025)</w:t>
      </w:r>
    </w:p>
    <w:p>
      <w:pPr>
        <w:pStyle w:val="FirstParagraph"/>
      </w:pPr>
      <w:r>
        <w:t xml:space="preserve">Nghiên cứu 7 là kiểm định quy mô lớn nhất của luận án, sử dụng dữ liệu WBES từ</w:t>
      </w:r>
      <w:r>
        <w:t xml:space="preserve"> </w:t>
      </w:r>
      <w:r>
        <w:rPr>
          <w:bCs/>
          <w:b/>
        </w:rPr>
        <w:t xml:space="preserve">49 nền kinh tế châu Á và Thái Bình Dương</w:t>
      </w:r>
      <w:r>
        <w:t xml:space="preserve"> </w:t>
      </w:r>
      <w:r>
        <w:t xml:space="preserve">(102 cặp quốc gia × năm, 2003–2025). Mẫu phân tích toàn phần đạt N = 84.910 (M0–M2) đến N = 29.840 (M11 full). Thiết kế hierarchical OLS với HC1 robust standard errors, clustered theo country-year. Ký hiệu tiếng Việt:</w:t>
      </w:r>
    </w:p>
    <w:p>
      <w:pPr>
        <w:numPr>
          <w:ilvl w:val="0"/>
          <w:numId w:val="1007"/>
        </w:numPr>
        <w:pStyle w:val="Compact"/>
      </w:pPr>
      <w:r>
        <w:rPr>
          <w:bCs/>
          <w:b/>
        </w:rPr>
        <w:t xml:space="preserve">lnNSLD_it</w:t>
      </w:r>
      <w:r>
        <w:t xml:space="preserve">: ln(năng suất lao động) = ln(doanh thu / lao động thường trực) — biến phụ thuộc</w:t>
      </w:r>
    </w:p>
    <w:p>
      <w:pPr>
        <w:numPr>
          <w:ilvl w:val="0"/>
          <w:numId w:val="1007"/>
        </w:numPr>
        <w:pStyle w:val="Compact"/>
      </w:pPr>
      <w:r>
        <w:rPr>
          <w:bCs/>
          <w:b/>
        </w:rPr>
        <w:t xml:space="preserve">CDDXK_c_it</w:t>
      </w:r>
      <w:r>
        <w:t xml:space="preserve">: cường độ xuất khẩu mean-centred — FSTS_c = (d3c/100) − mean_pool(FSTS)</w:t>
      </w:r>
    </w:p>
    <w:p>
      <w:pPr>
        <w:numPr>
          <w:ilvl w:val="0"/>
          <w:numId w:val="1007"/>
        </w:numPr>
        <w:pStyle w:val="Compact"/>
      </w:pPr>
      <w:r>
        <w:rPr>
          <w:bCs/>
          <w:b/>
        </w:rPr>
        <w:t xml:space="preserve">CDDXK_c²_it</w:t>
      </w:r>
      <w:r>
        <w:t xml:space="preserve">: CDDXK_c bình phương — kiểm định phi tuyến</w:t>
      </w:r>
    </w:p>
    <w:p>
      <w:pPr>
        <w:numPr>
          <w:ilvl w:val="0"/>
          <w:numId w:val="1007"/>
        </w:numPr>
        <w:pStyle w:val="Compact"/>
      </w:pPr>
      <w:r>
        <w:rPr>
          <w:bCs/>
          <w:b/>
        </w:rPr>
        <w:t xml:space="preserve">NLCN_z_it</w:t>
      </w:r>
      <w:r>
        <w:t xml:space="preserve">: năng lực công nghệ z-standardised — TCI_z = z-std(b8, e6)</w:t>
      </w:r>
    </w:p>
    <w:p>
      <w:pPr>
        <w:numPr>
          <w:ilvl w:val="0"/>
          <w:numId w:val="1007"/>
        </w:numPr>
        <w:pStyle w:val="Compact"/>
      </w:pPr>
      <w:r>
        <w:rPr>
          <w:bCs/>
          <w:b/>
        </w:rPr>
        <w:t xml:space="preserve">CSS_z_it</w:t>
      </w:r>
      <w:r>
        <w:t xml:space="preserve">: chỉ số số hoá z-standardised — DAI_z = z-std(website + e-pay, Tier 1+2: c22b/e1, k33)</w:t>
      </w:r>
    </w:p>
    <w:p>
      <w:pPr>
        <w:numPr>
          <w:ilvl w:val="0"/>
          <w:numId w:val="1007"/>
        </w:numPr>
        <w:pStyle w:val="Compact"/>
      </w:pPr>
      <w:r>
        <w:rPr>
          <w:bCs/>
          <w:b/>
        </w:rPr>
        <w:t xml:space="preserve">KNQLy_it</w:t>
      </w:r>
      <w:r>
        <w:t xml:space="preserve">: kinh nghiệm nhà quản lý trong ngành (năm, b7)</w:t>
      </w:r>
    </w:p>
    <w:p>
      <w:pPr>
        <w:numPr>
          <w:ilvl w:val="0"/>
          <w:numId w:val="1007"/>
        </w:numPr>
        <w:pStyle w:val="Compact"/>
      </w:pPr>
      <w:r>
        <w:rPr>
          <w:bCs/>
          <w:b/>
        </w:rPr>
        <w:t xml:space="preserve">NQL_nu_it</w:t>
      </w:r>
      <w:r>
        <w:t xml:space="preserve">: top manager là nữ (binary, b7a/b6a)</w:t>
      </w:r>
    </w:p>
    <w:p>
      <w:pPr>
        <w:numPr>
          <w:ilvl w:val="0"/>
          <w:numId w:val="1007"/>
        </w:numPr>
        <w:pStyle w:val="Compact"/>
      </w:pPr>
      <w:r>
        <w:rPr>
          <w:bCs/>
          <w:b/>
        </w:rPr>
        <w:t xml:space="preserve">ICRV_j</w:t>
      </w:r>
      <w:r>
        <w:t xml:space="preserve">: phân loại chế độ thể chế ICRV (integer 1–6, Advanced→SIDS)</w:t>
      </w:r>
    </w:p>
    <w:p>
      <w:pPr>
        <w:numPr>
          <w:ilvl w:val="0"/>
          <w:numId w:val="1007"/>
        </w:numPr>
        <w:pStyle w:val="Compact"/>
      </w:pPr>
      <w:r>
        <w:rPr>
          <w:bCs/>
          <w:b/>
        </w:rPr>
        <w:t xml:space="preserve">lnLD_it</w:t>
      </w:r>
      <w:r>
        <w:t xml:space="preserve">: ln(lao động thường trực) — kiểm soát quy mô doanh nghiệp</w:t>
      </w:r>
    </w:p>
    <w:p>
      <w:pPr>
        <w:numPr>
          <w:ilvl w:val="0"/>
          <w:numId w:val="1007"/>
        </w:numPr>
        <w:pStyle w:val="Compact"/>
      </w:pPr>
      <w:r>
        <w:rPr>
          <w:bCs/>
          <w:b/>
        </w:rPr>
        <w:t xml:space="preserve">TuoiDN_it</w:t>
      </w:r>
      <w:r>
        <w:t xml:space="preserve">: tuổi doanh nghiệp (năm_khảo_sát − b5)</w:t>
      </w:r>
    </w:p>
    <w:p>
      <w:pPr>
        <w:numPr>
          <w:ilvl w:val="0"/>
          <w:numId w:val="1007"/>
        </w:numPr>
        <w:pStyle w:val="Compact"/>
      </w:pPr>
      <w:r>
        <w:rPr>
          <w:bCs/>
          <w:b/>
        </w:rPr>
        <w:t xml:space="preserve">SoHuuNN_it</w:t>
      </w:r>
      <w:r>
        <w:t xml:space="preserve">: tỷ lệ sở hữu nước ngoài (b6a/100)</w:t>
      </w:r>
    </w:p>
    <w:p>
      <w:pPr>
        <w:numPr>
          <w:ilvl w:val="0"/>
          <w:numId w:val="1007"/>
        </w:numPr>
        <w:pStyle w:val="Compact"/>
      </w:pPr>
      <w:r>
        <w:rPr>
          <w:bCs/>
          <w:b/>
        </w:rPr>
        <w:t xml:space="preserve">δ_ct</w:t>
      </w:r>
      <w:r>
        <w:t xml:space="preserve">: country × year fixed effects (M5)</w:t>
      </w:r>
    </w:p>
    <w:p>
      <w:pPr>
        <w:pStyle w:val="FirstParagraph"/>
      </w:pPr>
      <w:r>
        <w:rPr>
          <w:bCs/>
          <w:b/>
        </w:rPr>
        <w:t xml:space="preserve">Chuỗi mô hình lồng nhau M0–M11:</w:t>
      </w:r>
    </w:p>
    <w:p>
      <w:pPr>
        <w:pStyle w:val="BodyText"/>
      </w:pPr>
      <w:r>
        <w:rPr>
          <w:bCs/>
          <w:b/>
        </w:rPr>
        <w:t xml:space="preserve">M0</w:t>
      </w:r>
      <w:r>
        <w:t xml:space="preserve"> </w:t>
      </w:r>
      <w:r>
        <w:t xml:space="preserve">(tuyến tính baseline):</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(phi tuyến — kiểm định H1):</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ε</m:t>
              </m:r>
            </m:e>
            <m:sub>
              <m:r>
                <m:t>i</m:t>
              </m:r>
              <m:r>
                <m:t>t</m:t>
              </m:r>
            </m:sub>
          </m:sSub>
        </m:oMath>
      </m:oMathPara>
    </w:p>
    <w:p>
      <w:pPr>
        <w:pStyle w:val="FirstParagraph"/>
      </w:pPr>
      <m:oMathPara>
        <m:oMathParaPr>
          <m:jc m:val="center"/>
        </m:oMathParaP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r>
            <m:rPr>
              <m:sty m:val="p"/>
            </m:rPr>
            <m:t>;</m:t>
          </m:r>
          <m:r>
            <m:t> </m:t>
          </m:r>
          <m:r>
            <m:rPr>
              <m:nor/>
              <m:sty m:val="p"/>
            </m:rPr>
            <m:t>Lind–Mehlum </m:t>
          </m:r>
          <m:r>
            <m:t>p</m:t>
          </m:r>
          <m:r>
            <m:rPr>
              <m:sty m:val="p"/>
            </m:rPr>
            <m:t>&lt;</m:t>
          </m:r>
          <m:r>
            <m:rPr>
              <m:sty m:val="p"/>
            </m:rPr>
            <m:t>,</m:t>
          </m:r>
          <m:r>
            <m:t>001</m:t>
          </m:r>
          <m:r>
            <m:rPr>
              <m:sty m:val="p"/>
            </m:rPr>
            <m:t>⇒</m:t>
          </m:r>
          <m:r>
            <m:t>T</m:t>
          </m:r>
          <m:r>
            <m:t>P</m:t>
          </m:r>
          <m:r>
            <m:rPr>
              <m:sty m:val="p"/>
            </m:rPr>
            <m:t>≈</m:t>
          </m:r>
          <m:r>
            <m:t>36</m:t>
          </m:r>
          <m:r>
            <m:rPr>
              <m:sty m:val="p"/>
            </m:rPr>
            <m:t>%</m:t>
          </m:r>
        </m:oMath>
      </m:oMathPara>
    </w:p>
    <w:p>
      <w:pPr>
        <w:pStyle w:val="FirstParagraph"/>
      </w:pPr>
      <w:r>
        <w:rPr>
          <w:bCs/>
          <w:b/>
        </w:rPr>
        <w:t xml:space="preserve">M3</w:t>
      </w:r>
      <w:r>
        <w:t xml:space="preserve"> </w:t>
      </w:r>
      <w:r>
        <w:t xml:space="preserve">(M2 + kiểm soát cơ bản):</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(M3 + country-year FE — kiểm định vững mạnh nhất):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δ</m:t>
              </m:r>
            </m:e>
            <m:sub>
              <m:r>
                <m:t>c</m:t>
              </m:r>
              <m:r>
                <m:t>t</m:t>
              </m:r>
            </m:sub>
          </m:sSub>
          <m:r>
            <m:rPr>
              <m:sty m:val="p"/>
            </m:rPr>
            <m:t>+</m:t>
          </m:r>
          <m:sSub>
            <m:e>
              <m:r>
                <m:t>ε</m:t>
              </m:r>
            </m:e>
            <m:sub>
              <m:r>
                <m:t>i</m:t>
              </m:r>
              <m:r>
                <m:t>t</m:t>
              </m:r>
            </m:sub>
          </m:sSub>
        </m:oMath>
      </m:oMathPara>
    </w:p>
    <w:p>
      <w:pPr>
        <w:pStyle w:val="FirstParagraph"/>
      </w:pPr>
      <m:oMathPara>
        <m:oMathParaPr>
          <m:jc m:val="center"/>
        </m:oMathParaPr>
        <m:oMath>
          <m:sSup>
            <m:e>
              <m:r>
                <m:rPr>
                  <m:nor/>
                  <m:sty m:val="p"/>
                </m:rPr>
                <m:t>AdjR</m:t>
              </m:r>
            </m:e>
            <m:sup>
              <m:r>
                <m:t>2</m:t>
              </m:r>
            </m:sup>
          </m:sSup>
          <m:r>
            <m:rPr>
              <m:sty m:val="p"/>
            </m:rPr>
            <m:t>=</m:t>
          </m:r>
          <m:r>
            <m:rPr>
              <m:sty m:val="p"/>
            </m:rPr>
            <m:t>,</m:t>
          </m:r>
          <m:r>
            <m:t>677</m:t>
          </m:r>
          <m:r>
            <m:rPr>
              <m:sty m:val="p"/>
            </m:rPr>
            <m:t>;</m:t>
          </m:r>
          <m:r>
            <m:t> </m:t>
          </m:r>
          <m:r>
            <m:t>T</m:t>
          </m:r>
          <m:r>
            <m:t>P</m:t>
          </m:r>
          <m:r>
            <m:rPr>
              <m:sty m:val="p"/>
            </m:rPr>
            <m:t>≈</m:t>
          </m:r>
          <m:r>
            <m:t>40</m:t>
          </m:r>
          <m:r>
            <m:rPr>
              <m:sty m:val="p"/>
            </m:rPr>
            <m:t>%</m:t>
          </m:r>
        </m:oMath>
      </m:oMathPara>
    </w:p>
    <w:p>
      <w:pPr>
        <w:pStyle w:val="FirstParagraph"/>
      </w:pPr>
      <w:r>
        <w:rPr>
          <w:bCs/>
          <w:b/>
        </w:rPr>
        <w:t xml:space="preserve">M7</w:t>
      </w:r>
      <w:r>
        <w:t xml:space="preserve"> </w:t>
      </w:r>
      <w:r>
        <w:t xml:space="preserve">(M3 + điều tiết NLCN —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oMath>
      </m:oMathPara>
    </w:p>
    <w:p>
      <w:pPr>
        <w:pStyle w:val="FirstParagraph"/>
      </w:pPr>
      <m:oMathPara>
        <m:oMathParaPr>
          <m:jc m:val="center"/>
        </m:oMathParaPr>
        <m:oMath>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t>γ</m:t>
          </m:r>
          <m:r>
            <m:rPr>
              <m:sty m:val="p"/>
            </m:rPr>
            <m:t>⋅</m:t>
          </m:r>
          <m:r>
            <m:t>X</m:t>
          </m:r>
          <m:r>
            <m:rPr>
              <m:sty m:val="p"/>
            </m:rPr>
            <m:t>+</m:t>
          </m:r>
          <m:r>
            <m:t>ε</m:t>
          </m:r>
        </m:oMath>
      </m:oMathPara>
    </w:p>
    <w:p>
      <w:pPr>
        <w:pStyle w:val="FirstParagraph"/>
      </w:pPr>
      <w:r>
        <w:rPr>
          <w:bCs/>
          <w:b/>
        </w:rPr>
        <w:t xml:space="preserve">M8</w:t>
      </w:r>
      <w:r>
        <w:t xml:space="preserve"> </w:t>
      </w:r>
      <w:r>
        <w:t xml:space="preserve">(M7 + điều tiết CSS — kiểm định H3):</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H3: </m:t>
          </m:r>
          <m:sSub>
            <m:e>
              <m:acc>
                <m:accPr>
                  <m:chr m:val="̂"/>
                </m:accPr>
                <m:e>
                  <m:r>
                    <m:t>β</m:t>
                  </m:r>
                </m:e>
              </m:acc>
            </m:e>
            <m:sub>
              <m:r>
                <m:t>7</m:t>
              </m:r>
            </m:sub>
          </m:sSub>
          <m:r>
            <m:rPr>
              <m:sty m:val="p"/>
            </m:rPr>
            <m:t>&lt;</m:t>
          </m:r>
          <m:r>
            <m:t>0</m:t>
          </m:r>
          <m:r>
            <m:t> </m:t>
          </m:r>
          <m:d>
            <m:dPr>
              <m:begChr m:val="("/>
              <m:endChr m:val=")"/>
              <m:sepChr m:val=""/>
              <m:grow/>
            </m:dPr>
            <m:e>
              <m:r>
                <m:t>p</m:t>
              </m:r>
              <m:r>
                <m:rPr>
                  <m:sty m:val="p"/>
                </m:rPr>
                <m:t>&lt;</m:t>
              </m:r>
              <m:r>
                <m:rPr>
                  <m:sty m:val="p"/>
                </m:rPr>
                <m:t>,</m:t>
              </m:r>
              <m:r>
                <m:t>001</m:t>
              </m:r>
            </m:e>
          </m:d>
          <m:r>
            <m:rPr>
              <m:sty m:val="p"/>
            </m:rPr>
            <m:t>;</m:t>
          </m:r>
          <m:r>
            <m:t> </m:t>
          </m:r>
          <m:sSub>
            <m:e>
              <m:acc>
                <m:accPr>
                  <m:chr m:val="̂"/>
                </m:accPr>
                <m:e>
                  <m:r>
                    <m:t>β</m:t>
                  </m:r>
                </m:e>
              </m:acc>
            </m:e>
            <m:sub>
              <m:r>
                <m:t>8</m:t>
              </m:r>
            </m:sub>
          </m:sSub>
          <m:r>
            <m:rPr>
              <m:sty m:val="p"/>
            </m:rPr>
            <m:t>&gt;</m:t>
          </m:r>
          <m:r>
            <m:t>0</m:t>
          </m:r>
          <m:r>
            <m:t> </m:t>
          </m:r>
          <m:d>
            <m:dPr>
              <m:begChr m:val="("/>
              <m:endChr m:val=")"/>
              <m:sepChr m:val=""/>
              <m:grow/>
            </m:dPr>
            <m:e>
              <m:r>
                <m:t>p</m:t>
              </m:r>
              <m:r>
                <m:rPr>
                  <m:sty m:val="p"/>
                </m:rPr>
                <m:t>&lt;</m:t>
              </m:r>
              <m:r>
                <m:rPr>
                  <m:sty m:val="p"/>
                </m:rPr>
                <m:t>,</m:t>
              </m:r>
              <m:r>
                <m:t>01</m:t>
              </m:r>
            </m:e>
          </m:d>
          <m:r>
            <m:rPr>
              <m:sty m:val="p"/>
            </m:rPr>
            <m:t>→</m:t>
          </m:r>
          <m:r>
            <m:rPr>
              <m:nor/>
              <m:sty m:val="p"/>
            </m:rPr>
            <m:t>DAI nén sườn tăng, giảm nhẹ sườn giảm</m:t>
          </m:r>
        </m:oMath>
      </m:oMathPara>
    </w:p>
    <w:p>
      <w:pPr>
        <w:pStyle w:val="FirstParagraph"/>
      </w:pPr>
      <w:r>
        <w:rPr>
          <w:bCs/>
          <w:b/>
        </w:rPr>
        <w:t xml:space="preserve">M9</w:t>
      </w:r>
      <w:r>
        <w:t xml:space="preserve"> </w:t>
      </w:r>
      <w:r>
        <w:t xml:space="preserve">(M8 + đặc điểm nhà quản lý — kiểm định H4):</w:t>
      </w:r>
    </w:p>
    <w:p>
      <w:pPr>
        <w:pStyle w:val="BodyText"/>
      </w:pPr>
      <m:oMathPara>
        <m:oMathParaPr>
          <m:jc m:val="center"/>
        </m:oMathParaPr>
        <m:oMath>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sSub>
            <m:e>
              <m:r>
                <m:t>β</m:t>
              </m:r>
            </m:e>
            <m:sub>
              <m:r>
                <m:t>11</m:t>
              </m:r>
            </m:sub>
          </m:sSub>
          <m:d>
            <m:dPr>
              <m:begChr m:val="("/>
              <m:endChr m:val=")"/>
              <m:sepChr m:val=""/>
              <m:grow/>
            </m:dPr>
            <m:e>
              <m:r>
                <m:t>C</m:t>
              </m:r>
              <m:r>
                <m:t>D</m:t>
              </m:r>
              <m:r>
                <m:t>D</m:t>
              </m:r>
              <m:r>
                <m:t>X</m:t>
              </m:r>
              <m:r>
                <m:t>K</m:t>
              </m:r>
              <m:r>
                <m:rPr>
                  <m:sty m:val="p"/>
                </m:rPr>
                <m:t>_</m:t>
              </m:r>
              <m:r>
                <m:t>c</m:t>
              </m:r>
              <m:r>
                <m:rPr>
                  <m:sty m:val="p"/>
                </m:rPr>
                <m:t>×</m:t>
              </m:r>
              <m:r>
                <m:t>K</m:t>
              </m:r>
              <m:r>
                <m:t>N</m:t>
              </m:r>
              <m:r>
                <m:t>Q</m:t>
              </m:r>
              <m:r>
                <m:t>L</m:t>
              </m:r>
              <m:r>
                <m:t>y</m:t>
              </m:r>
            </m:e>
          </m:d>
          <m:r>
            <m:rPr>
              <m:sty m:val="p"/>
            </m:rPr>
            <m:t>+</m:t>
          </m:r>
          <m:r>
            <m:t>γ</m:t>
          </m:r>
          <m:r>
            <m:rPr>
              <m:sty m:val="p"/>
            </m:rPr>
            <m:t>⋅</m:t>
          </m:r>
          <m:r>
            <m:t>X</m:t>
          </m:r>
          <m:r>
            <m:rPr>
              <m:sty m:val="p"/>
            </m:rPr>
            <m:t>+</m:t>
          </m:r>
          <m:r>
            <m:t>ε</m:t>
          </m:r>
        </m:oMath>
      </m:oMathPara>
    </w:p>
    <w:p>
      <w:pPr>
        <w:pStyle w:val="FirstParagraph"/>
      </w:pPr>
      <m:oMathPara>
        <m:oMathParaPr>
          <m:jc m:val="center"/>
        </m:oMathParaPr>
        <m:oMath>
          <m:sSub>
            <m:e>
              <m:acc>
                <m:accPr>
                  <m:chr m:val="̂"/>
                </m:accPr>
                <m:e>
                  <m:r>
                    <m:t>β</m:t>
                  </m:r>
                </m:e>
              </m:acc>
            </m:e>
            <m:sub>
              <m:r>
                <m:t>10</m:t>
              </m:r>
            </m:sub>
          </m:sSub>
          <m:r>
            <m:rPr>
              <m:sty m:val="p"/>
            </m:rPr>
            <m:t>=</m:t>
          </m:r>
          <m:r>
            <m:rPr>
              <m:sty m:val="p"/>
            </m:rPr>
            <m:t>+</m:t>
          </m:r>
          <m:r>
            <m:t>0</m:t>
          </m:r>
          <m:r>
            <m:rPr>
              <m:sty m:val="p"/>
            </m:rPr>
            <m:t>,</m:t>
          </m:r>
          <m:sSup>
            <m:e>
              <m:r>
                <m:t>185</m:t>
              </m:r>
            </m:e>
            <m:sup>
              <m:r>
                <m:rPr>
                  <m:sty m:val="p"/>
                </m:rPr>
                <m:t>*</m:t>
              </m:r>
              <m:r>
                <m:rPr>
                  <m:sty m:val="p"/>
                </m:rPr>
                <m:t>*</m:t>
              </m:r>
              <m:r>
                <m:rPr>
                  <m:sty m:val="p"/>
                </m:rPr>
                <m:t>*</m:t>
              </m:r>
            </m:sup>
          </m:sSup>
          <m:r>
            <m:rPr>
              <m:nor/>
              <m:sty m:val="p"/>
            </m:rPr>
            <m:t> (top manager nữ: lợi thế hiệu quả  17–20%cross-context)</m:t>
          </m:r>
        </m:oMath>
      </m:oMathPara>
    </w:p>
    <w:p>
      <w:pPr>
        <w:pStyle w:val="FirstParagraph"/>
      </w:pPr>
      <w:r>
        <w:rPr>
          <w:bCs/>
          <w:b/>
        </w:rPr>
        <w:t xml:space="preserve">M10</w:t>
      </w:r>
      <w:r>
        <w:t xml:space="preserve"> </w:t>
      </w:r>
      <w:r>
        <w:t xml:space="preserve">(M3 + điều tiết ICRV — kiểm định H5):</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11</m:t>
              </m:r>
            </m:sub>
          </m:sSub>
          <m:r>
            <m:t>I</m:t>
          </m:r>
          <m:r>
            <m:t>C</m:t>
          </m:r>
          <m:r>
            <m:t>R</m:t>
          </m:r>
          <m:sSub>
            <m:e>
              <m:r>
                <m:t>V</m:t>
              </m:r>
            </m:e>
            <m:sub>
              <m:r>
                <m:t>j</m:t>
              </m:r>
            </m:sub>
          </m:sSub>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H5: </m:t>
          </m:r>
          <m:r>
            <m:t>T</m:t>
          </m:r>
          <m:r>
            <m:t>P</m:t>
          </m:r>
          <m:r>
            <m:rPr>
              <m:nor/>
              <m:sty m:val="p"/>
            </m:rPr>
            <m:t> tăng khi ICRV tăng (thể chế yếu hơn): Group I</m:t>
          </m:r>
          <m:r>
            <m:rPr>
              <m:sty m:val="p"/>
            </m:rPr>
            <m:t>≈</m:t>
          </m:r>
          <m:r>
            <m:t>28</m:t>
          </m:r>
          <m:r>
            <m:rPr>
              <m:sty m:val="p"/>
            </m:rPr>
            <m:t>%</m:t>
          </m:r>
          <m:r>
            <m:rPr>
              <m:sty m:val="p"/>
            </m:rPr>
            <m:t>,</m:t>
          </m:r>
          <m:r>
            <m:t> </m:t>
          </m:r>
          <m:r>
            <m:rPr>
              <m:nor/>
              <m:sty m:val="p"/>
            </m:rPr>
            <m:t>Group V–VI</m:t>
          </m:r>
          <m:r>
            <m:rPr>
              <m:sty m:val="p"/>
            </m:rPr>
            <m:t>≈</m:t>
          </m:r>
          <m:r>
            <m:t>55</m:t>
          </m:r>
          <m:r>
            <m:rPr>
              <m:sty m:val="p"/>
            </m:rPr>
            <m:t>%</m:t>
          </m:r>
        </m:oMath>
      </m:oMathPara>
    </w:p>
    <w:p>
      <w:pPr>
        <w:pStyle w:val="FirstParagraph"/>
      </w:pPr>
      <w:r>
        <w:rPr>
          <w:bCs/>
          <w:b/>
        </w:rPr>
        <w:t xml:space="preserve">M11</w:t>
      </w:r>
      <w:r>
        <w:t xml:space="preserve"> </w:t>
      </w:r>
      <w:r>
        <w:t xml:space="preserve">(full three-way — kiểm định H7-P7):</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r>
            <m:rPr>
              <m:sty m:val="p"/>
            </m:rPr>
            <m:t>+</m:t>
          </m:r>
          <m:sSub>
            <m:e>
              <m:r>
                <m:t>β</m:t>
              </m:r>
            </m:e>
            <m:sub>
              <m:r>
                <m:t>11</m:t>
              </m:r>
            </m:sub>
          </m:sSub>
          <m:r>
            <m:t>I</m:t>
          </m:r>
          <m:r>
            <m:t>C</m:t>
          </m:r>
          <m:r>
            <m:t>R</m:t>
          </m:r>
          <m:r>
            <m:t>V</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oMath>
      </m:oMathPara>
    </w:p>
    <w:p>
      <w:pPr>
        <w:pStyle w:val="FirstParagraph"/>
      </w:pPr>
      <m:oMathPara>
        <m:oMathParaPr>
          <m:jc m:val="center"/>
        </m:oMathParaPr>
        <m:oMath>
          <m:r>
            <m:rPr>
              <m:sty m:val="p"/>
            </m:rPr>
            <m:t>+</m:t>
          </m:r>
          <m:sSub>
            <m:e>
              <m:r>
                <m:t>β</m:t>
              </m:r>
            </m:e>
            <m:sub>
              <m:r>
                <m:t>14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r>
                <m:rPr>
                  <m:sty m:val="p"/>
                </m:rPr>
                <m:t>×</m:t>
              </m:r>
              <m:r>
                <m:t>I</m:t>
              </m:r>
              <m:r>
                <m:t>C</m:t>
              </m:r>
              <m:r>
                <m:t>R</m:t>
              </m:r>
              <m:r>
                <m:t>V</m:t>
              </m:r>
            </m:e>
          </m:d>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r>
            <m:t>γ</m:t>
          </m:r>
          <m:r>
            <m:rPr>
              <m:sty m:val="p"/>
            </m:rPr>
            <m:t>⋅</m:t>
          </m:r>
          <m:r>
            <m:t>X</m:t>
          </m:r>
          <m:r>
            <m:rPr>
              <m:sty m:val="p"/>
            </m:rPr>
            <m:t>+</m:t>
          </m:r>
          <m:sSub>
            <m:e>
              <m:r>
                <m:t>δ</m:t>
              </m:r>
            </m:e>
            <m:sub>
              <m:r>
                <m:t>c</m:t>
              </m:r>
              <m:r>
                <m:t>t</m:t>
              </m:r>
            </m:sub>
          </m:sSub>
          <m:r>
            <m:rPr>
              <m:sty m:val="p"/>
            </m:rPr>
            <m:t>+</m:t>
          </m:r>
          <m:r>
            <m:t>ε</m:t>
          </m:r>
        </m:oMath>
      </m:oMathPara>
    </w:p>
    <w:p>
      <w:pPr>
        <w:pStyle w:val="FirstParagraph"/>
      </w:pPr>
      <m:oMathPara>
        <m:oMathParaPr>
          <m:jc m:val="center"/>
        </m:oMathParaPr>
        <m:oMath>
          <m:r>
            <m:rPr>
              <m:nor/>
              <m:sty m:val="p"/>
            </m:rPr>
            <m:t>DAI</m:t>
          </m:r>
          <m:r>
            <m:rPr>
              <m:sty m:val="p"/>
            </m:rPr>
            <m:t>×</m:t>
          </m:r>
          <m:r>
            <m:rPr>
              <m:nor/>
              <m:sty m:val="p"/>
            </m:rPr>
            <m:t>ICRV: </m:t>
          </m:r>
          <m:r>
            <m:t>p</m:t>
          </m:r>
          <m:r>
            <m:rPr>
              <m:sty m:val="p"/>
            </m:rPr>
            <m:t>=</m:t>
          </m:r>
          <m:r>
            <m:rPr>
              <m:sty m:val="p"/>
            </m:rPr>
            <m:t>,</m:t>
          </m:r>
          <m:sSup>
            <m:e>
              <m:r>
                <m:t>012</m:t>
              </m:r>
            </m:e>
            <m:sup>
              <m:r>
                <m:rPr>
                  <m:sty m:val="p"/>
                </m:rPr>
                <m:t>*</m:t>
              </m:r>
            </m:sup>
          </m:sSup>
          <m:r>
            <m:rPr>
              <m:sty m:val="p"/>
            </m:rPr>
            <m:t>;</m:t>
          </m:r>
          <m:r>
            <m:t> </m:t>
          </m:r>
          <m:r>
            <m:rPr>
              <m:nor/>
              <m:sty m:val="p"/>
            </m:rPr>
            <m:t>three-way NS</m:t>
          </m:r>
          <m:r>
            <m:rPr>
              <m:sty m:val="p"/>
            </m:rPr>
            <m:t>;</m:t>
          </m:r>
          <m:r>
            <m:t> </m:t>
          </m:r>
          <m:r>
            <m:t>T</m:t>
          </m:r>
          <m:r>
            <m:t>P</m:t>
          </m:r>
          <m:r>
            <m:rPr>
              <m:sty m:val="p"/>
            </m:rPr>
            <m:t>=</m:t>
          </m:r>
          <m:r>
            <m:t>34</m:t>
          </m:r>
          <m:r>
            <m:rPr>
              <m:sty m:val="p"/>
            </m:rPr>
            <m:t>,</m:t>
          </m:r>
          <m:r>
            <m:t>6</m:t>
          </m:r>
          <m:r>
            <m:rPr>
              <m:sty m:val="p"/>
            </m:rPr>
            <m:t>%</m:t>
          </m:r>
          <m:r>
            <m:rPr>
              <m:sty m:val="p"/>
            </m:rPr>
            <m:t>,</m:t>
          </m:r>
          <m:r>
            <m:t> </m:t>
          </m:r>
          <m:r>
            <m:rPr>
              <m:nor/>
              <m:sty m:val="p"/>
            </m:rPr>
            <m:t>LM </m:t>
          </m:r>
          <m:r>
            <m:t>p</m:t>
          </m:r>
          <m:r>
            <m:rPr>
              <m:sty m:val="p"/>
            </m:rPr>
            <m:t>=</m:t>
          </m:r>
          <m:r>
            <m:rPr>
              <m:sty m:val="p"/>
            </m:rPr>
            <m:t>,</m:t>
          </m:r>
          <m:r>
            <m:t>002</m:t>
          </m:r>
        </m:oMath>
      </m:oMathPara>
    </w:p>
    <w:p>
      <w:pPr>
        <w:pStyle w:val="FirstParagraph"/>
      </w:pPr>
      <w:r>
        <w:rPr>
          <w:bCs/>
          <w:b/>
        </w:rPr>
        <w:t xml:space="preserve">Bảng định nghĩa biến — Nghiên cứu 7 (đa quốc gia)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d2/n3, l1</w:t>
            </w:r>
          </w:p>
        </w:tc>
        <w:tc>
          <w:tcPr/>
          <w:p>
            <w:pPr>
              <w:pStyle w:val="Compact"/>
              <w:jc w:val="left"/>
            </w:pPr>
            <w:r>
              <w:t xml:space="preserve">ln(doanh thu/lao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mean_pool(FSTS): centred</w:t>
            </w:r>
          </w:p>
        </w:tc>
        <w:tc>
          <w:tcPr/>
          <w:p>
            <w:pPr>
              <w:pStyle w:val="Compact"/>
              <w:jc w:val="left"/>
            </w:pPr>
            <w:r>
              <w:t xml:space="preserve">Biến độc lập (I)</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chất lượng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c22b/e1, k33</w:t>
            </w:r>
          </w:p>
        </w:tc>
        <w:tc>
          <w:tcPr/>
          <w:p>
            <w:pPr>
              <w:pStyle w:val="Compact"/>
              <w:jc w:val="left"/>
            </w:pPr>
            <w:r>
              <w:t xml:space="preserve">z-std(website + e-payment): Tier 1+2</w:t>
            </w:r>
          </w:p>
        </w:tc>
        <w:tc>
          <w:tcPr/>
          <w:p>
            <w:pPr>
              <w:pStyle w:val="Compact"/>
              <w:jc w:val="left"/>
            </w:pPr>
            <w:r>
              <w:t xml:space="preserve">Số hoá (DAI)</w:t>
            </w:r>
          </w:p>
        </w:tc>
      </w:tr>
      <w:tr>
        <w:tc>
          <w:tcPr/>
          <w:p>
            <w:pPr>
              <w:pStyle w:val="Compact"/>
              <w:jc w:val="left"/>
            </w:pPr>
            <w:r>
              <w:t xml:space="preserve">KNQLy</w:t>
            </w:r>
          </w:p>
        </w:tc>
        <w:tc>
          <w:tcPr/>
          <w:p>
            <w:pPr>
              <w:pStyle w:val="Compact"/>
              <w:jc w:val="left"/>
            </w:pPr>
            <w:r>
              <w:t xml:space="preserve">b7</w:t>
            </w:r>
          </w:p>
        </w:tc>
        <w:tc>
          <w:tcPr/>
          <w:p>
            <w:pPr>
              <w:pStyle w:val="Compact"/>
              <w:jc w:val="left"/>
            </w:pPr>
            <w:r>
              <w:t xml:space="preserve">năm kinh nghiệm nhà quản lý trong ngành</w:t>
            </w:r>
          </w:p>
        </w:tc>
        <w:tc>
          <w:tcPr/>
          <w:p>
            <w:pPr>
              <w:pStyle w:val="Compact"/>
              <w:jc w:val="left"/>
            </w:pPr>
            <w:r>
              <w:t xml:space="preserve">Quản trị</w:t>
            </w:r>
          </w:p>
        </w:tc>
      </w:tr>
      <w:tr>
        <w:tc>
          <w:tcPr/>
          <w:p>
            <w:pPr>
              <w:pStyle w:val="Compact"/>
              <w:jc w:val="left"/>
            </w:pPr>
            <w:r>
              <w:t xml:space="preserve">NQL_nu</w:t>
            </w:r>
          </w:p>
        </w:tc>
        <w:tc>
          <w:tcPr/>
          <w:p>
            <w:pPr>
              <w:pStyle w:val="Compact"/>
              <w:jc w:val="left"/>
            </w:pPr>
            <w:r>
              <w:t xml:space="preserve">b7a/b6a</w:t>
            </w:r>
          </w:p>
        </w:tc>
        <w:tc>
          <w:tcPr/>
          <w:p>
            <w:pPr>
              <w:pStyle w:val="Compact"/>
              <w:jc w:val="left"/>
            </w:pPr>
            <w:r>
              <w:t xml:space="preserve">1 nếu top manager là nữ</w:t>
            </w:r>
          </w:p>
        </w:tc>
        <w:tc>
          <w:tcPr/>
          <w:p>
            <w:pPr>
              <w:pStyle w:val="Compact"/>
              <w:jc w:val="left"/>
            </w:pPr>
            <w:r>
              <w:t xml:space="preserve">Quản trị</w:t>
            </w:r>
          </w:p>
        </w:tc>
      </w:tr>
      <w:tr>
        <w:tc>
          <w:tcPr/>
          <w:p>
            <w:pPr>
              <w:pStyle w:val="Compact"/>
              <w:jc w:val="left"/>
            </w:pPr>
            <w:r>
              <w:t xml:space="preserve">ICRV</w:t>
            </w:r>
          </w:p>
        </w:tc>
        <w:tc>
          <w:tcPr/>
          <w:p>
            <w:pPr>
              <w:pStyle w:val="Compact"/>
              <w:jc w:val="left"/>
            </w:pPr>
            <w:r>
              <w:t xml:space="preserve">phân loại</w:t>
            </w:r>
          </w:p>
        </w:tc>
        <w:tc>
          <w:tcPr/>
          <w:p>
            <w:pPr>
              <w:pStyle w:val="Compact"/>
              <w:jc w:val="left"/>
            </w:pPr>
            <w:r>
              <w:t xml:space="preserve">integer 1–6 (Advanced Innovation→SIDS)</w:t>
            </w:r>
          </w:p>
        </w:tc>
        <w:tc>
          <w:tcPr/>
          <w:p>
            <w:pPr>
              <w:pStyle w:val="Compact"/>
              <w:jc w:val="left"/>
            </w:pPr>
            <w:r>
              <w:t xml:space="preserve">Thể chế</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Control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Control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 (0–1)</w:t>
            </w:r>
          </w:p>
        </w:tc>
        <w:tc>
          <w:tcPr/>
          <w:p>
            <w:pPr>
              <w:pStyle w:val="Compact"/>
              <w:jc w:val="left"/>
            </w:pPr>
            <w:r>
              <w:t xml:space="preserve">Control (sở hữu)</w:t>
            </w:r>
          </w:p>
        </w:tc>
      </w:tr>
      <w:tr>
        <w:tc>
          <w:tcPr/>
          <w:p>
            <w:pPr>
              <w:pStyle w:val="Compact"/>
              <w:jc w:val="left"/>
            </w:pPr>
            <w:r>
              <w:t xml:space="preserve">δ_ct</w:t>
            </w:r>
          </w:p>
        </w:tc>
        <w:tc>
          <w:tcPr/>
          <w:p>
            <w:pPr>
              <w:pStyle w:val="Compact"/>
              <w:jc w:val="left"/>
            </w:pPr>
            <w:r>
              <w:t xml:space="preserve">—</w:t>
            </w:r>
          </w:p>
        </w:tc>
        <w:tc>
          <w:tcPr/>
          <w:p>
            <w:pPr>
              <w:pStyle w:val="Compact"/>
              <w:jc w:val="left"/>
            </w:pPr>
            <w:r>
              <w:t xml:space="preserve">country × year FE</w:t>
            </w:r>
          </w:p>
        </w:tc>
        <w:tc>
          <w:tcPr/>
          <w:p>
            <w:pPr>
              <w:pStyle w:val="Compact"/>
              <w:jc w:val="left"/>
            </w:pPr>
            <w:r>
              <w:t xml:space="preserve">Fixed effects</w:t>
            </w:r>
          </w:p>
        </w:tc>
      </w:tr>
    </w:tbl>
    <w:p>
      <w:pPr>
        <w:pStyle w:val="BodyText"/>
      </w:pPr>
      <w:r>
        <w:rPr>
          <w:iCs/>
          <w:i/>
        </w:rPr>
        <w:t xml:space="preserve">Ghi chú: Mẫu phân tích giảm dần từ N = 84.910 (M2) → 38.342 (M3, thêm kiểm soát) → 29.840 (M11, thêm manager + ICRV + three-way). DAI P7 là Tier 1+2 khi k33 có mặt, Tier-1 only khi thiếu — khác với P3 Vietnam (Tier-1 only) và đồng nhất với P4 Singapore (Tier-1+2). ICRV là biến điều tiết liên tục (integer), không phải dummies, nhằm giữ N đủ lớn trong M10–M11.</w:t>
      </w:r>
    </w:p>
    <w:bookmarkEnd w:id="46"/>
    <w:bookmarkStart w:id="47" w:name="Xedb6f4dc9b49a0f3b96ee48ef2b76553c0f737a"/>
    <w:p>
      <w:pPr>
        <w:pStyle w:val="Heading3"/>
      </w:pPr>
      <w:r>
        <w:t xml:space="preserve">4.5.5 Mô hình cụ thể — Nghiên cứu 8 (Pacific SIDS, WBES 2009–2025)</w:t>
      </w:r>
    </w:p>
    <w:p>
      <w:pPr>
        <w:pStyle w:val="FirstParagraph"/>
      </w:pPr>
      <w:r>
        <w:rPr>
          <w:bCs/>
          <w:b/>
        </w:rPr>
        <w:t xml:space="preserve">Bối cảnh</w:t>
      </w:r>
      <w:r>
        <w:t xml:space="preserve">: 9 nền kinh tế Pacific SIDS (Fiji, Kiribati, Papua New Guinea, Samoa, Solomon Islands, Timor-Leste, Tonga, Vanuatu, Comoros), N = 1.469 doanh nghiệp (mẫu phân tích sau lọc missing lnNSLD và CDDXK), trong đó 187 nhà xuất khẩu (12,7%). Phân loại ICRV Regime IV/V (Frontier + Pacific SIDS).</w:t>
      </w:r>
    </w:p>
    <w:p>
      <w:pPr>
        <w:pStyle w:val="BodyText"/>
      </w:pPr>
      <w:r>
        <w:rPr>
          <w:bCs/>
          <w:b/>
        </w:rPr>
        <w:t xml:space="preserve">Ký hiệu tiếng Việt — Nghiên cứu 8</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Biến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ln(d2/l1): ln(doanh thu PPP/lao động)</w:t>
            </w:r>
          </w:p>
        </w:tc>
        <w:tc>
          <w:tcPr/>
          <w:p>
            <w:pPr>
              <w:pStyle w:val="Compact"/>
              <w:jc w:val="left"/>
            </w:pPr>
            <w:r>
              <w:t xml:space="preserve">Biến phụ thuộc</w:t>
            </w:r>
          </w:p>
        </w:tc>
      </w:tr>
      <w:tr>
        <w:tc>
          <w:tcPr/>
          <w:p>
            <w:pPr>
              <w:pStyle w:val="Compact"/>
              <w:jc w:val="left"/>
            </w:pPr>
            <w:r>
              <w:t xml:space="preserve">CDDXK</w:t>
            </w:r>
          </w:p>
        </w:tc>
        <w:tc>
          <w:tcPr/>
          <w:p>
            <w:pPr>
              <w:pStyle w:val="Compact"/>
              <w:jc w:val="left"/>
            </w:pPr>
            <w:r>
              <w:t xml:space="preserve">d3c</w:t>
            </w:r>
          </w:p>
        </w:tc>
        <w:tc>
          <w:tcPr/>
          <w:p>
            <w:pPr>
              <w:pStyle w:val="Compact"/>
              <w:jc w:val="left"/>
            </w:pPr>
            <w:r>
              <w:t xml:space="preserve">d3c/100</w:t>
            </w:r>
          </w:p>
        </w:tc>
        <w:tc>
          <w:tcPr/>
          <w:p>
            <w:pPr>
              <w:pStyle w:val="Compact"/>
              <w:jc w:val="left"/>
            </w:pPr>
            <w:r>
              <w:t xml:space="preserve">Cường độ xuất khẩu (FSTS)</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CDDXK − trung bình_wave(CDDXK): trung tâm hóa</w:t>
            </w:r>
          </w:p>
        </w:tc>
        <w:tc>
          <w:tcPr/>
          <w:p>
            <w:pPr>
              <w:pStyle w:val="Compact"/>
              <w:jc w:val="left"/>
            </w:pPr>
            <w:r>
              <w:t xml:space="preserve">Biến độc lập chính</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z-std(mean(b8, e6)): chứng nhận + công nghệ nước ngoài</w:t>
            </w:r>
          </w:p>
        </w:tc>
        <w:tc>
          <w:tcPr/>
          <w:p>
            <w:pPr>
              <w:pStyle w:val="Compact"/>
              <w:jc w:val="left"/>
            </w:pPr>
            <w:r>
              <w:t xml:space="preserve">Năng lực công nghệ (TCI)</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z-std(c22b): website (Tier-1 proxy, static)</w:t>
            </w:r>
          </w:p>
        </w:tc>
        <w:tc>
          <w:tcPr/>
          <w:p>
            <w:pPr>
              <w:pStyle w:val="Compact"/>
              <w:jc w:val="left"/>
            </w:pPr>
            <w:r>
              <w:t xml:space="preserve">Chỉ số số hoá (DAI, Tier-1)</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Control (quy mô DN)</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Control (tuổi DN)</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tỷ lệ sở hữu nước ngoài (%)</w:t>
            </w:r>
          </w:p>
        </w:tc>
        <w:tc>
          <w:tcPr/>
          <w:p>
            <w:pPr>
              <w:pStyle w:val="Compact"/>
              <w:jc w:val="left"/>
            </w:pPr>
            <w:r>
              <w:t xml:space="preserve">Control (sở hữu)</w:t>
            </w:r>
          </w:p>
        </w:tc>
      </w:tr>
      <w:tr>
        <w:tc>
          <w:tcPr/>
          <w:p>
            <w:pPr>
              <w:pStyle w:val="Compact"/>
              <w:jc w:val="left"/>
            </w:pPr>
            <w:r>
              <w:t xml:space="preserve">δ_c</w:t>
            </w:r>
          </w:p>
        </w:tc>
        <w:tc>
          <w:tcPr/>
          <w:p>
            <w:pPr>
              <w:pStyle w:val="Compact"/>
              <w:jc w:val="left"/>
            </w:pPr>
            <w:r>
              <w:t xml:space="preserve">—</w:t>
            </w:r>
          </w:p>
        </w:tc>
        <w:tc>
          <w:tcPr/>
          <w:p>
            <w:pPr>
              <w:pStyle w:val="Compact"/>
              <w:jc w:val="left"/>
            </w:pPr>
            <w:r>
              <w:t xml:space="preserve">country fixed effects</w:t>
            </w:r>
          </w:p>
        </w:tc>
        <w:tc>
          <w:tcPr/>
          <w:p>
            <w:pPr>
              <w:pStyle w:val="Compact"/>
              <w:jc w:val="left"/>
            </w:pPr>
            <w:r>
              <w:t xml:space="preserve">FE quốc gia</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wave/year fixed effects</w:t>
            </w:r>
          </w:p>
        </w:tc>
        <w:tc>
          <w:tcPr/>
          <w:p>
            <w:pPr>
              <w:pStyle w:val="Compact"/>
              <w:jc w:val="left"/>
            </w:pPr>
            <w:r>
              <w:t xml:space="preserve">FE năm khảo sát</w:t>
            </w:r>
          </w:p>
        </w:tc>
      </w:tr>
    </w:tbl>
    <w:p>
      <w:pPr>
        <w:pStyle w:val="BodyText"/>
      </w:pPr>
      <w:r>
        <w:rPr>
          <w:bCs/>
          <w:b/>
        </w:rPr>
        <w:t xml:space="preserve">Chuỗi mô hình M0–M3</w:t>
      </w:r>
      <w:r>
        <w:t xml:space="preserve">:</w:t>
      </w:r>
    </w:p>
    <w:p>
      <w:pPr>
        <w:pStyle w:val="BodyText"/>
      </w:pPr>
      <w:r>
        <w:t xml:space="preserve">M0 (Controls baseline):</w:t>
      </w:r>
      <w:r>
        <w:t xml:space="preserve"> </w:t>
      </w:r>
      <w:r>
        <w:t xml:space="preserve">lnNSLD_it = α + γ₁ lnLD_it + γ₂ TuoiDN_it + γ₃ SoHuuNN_it + δ_c + λ_t + ε_it</w:t>
      </w:r>
    </w:p>
    <w:p>
      <w:pPr>
        <w:pStyle w:val="BodyText"/>
      </w:pPr>
      <w:r>
        <w:t xml:space="preserve">M1 (Tuyến tính — kiểm định H1 FIP):</w:t>
      </w:r>
      <w:r>
        <w:t xml:space="preserve"> </w:t>
      </w:r>
      <w:r>
        <w:t xml:space="preserve">lnNSLD_it = α + β₁ CDDXK_c_it + γ·X_it + δ_c + λ_t + ε_it</w:t>
      </w:r>
      <w:r>
        <w:t xml:space="preserve"> </w:t>
      </w:r>
      <w:r>
        <w:t xml:space="preserve">→</w:t>
      </w:r>
      <w:r>
        <w:t xml:space="preserve"> </w:t>
      </w:r>
      <w:r>
        <w:rPr>
          <w:bCs/>
          <w:b/>
        </w:rPr>
        <w:t xml:space="preserve">H1 FIP: β₁ &lt; 0, không có điểm uốn</w:t>
      </w:r>
      <w:r>
        <w:t xml:space="preserve"> </w:t>
      </w:r>
      <w:r>
        <w:t xml:space="preserve">[β₁ = −0,404, SE = 0,188, p = .032*]</w:t>
      </w:r>
    </w:p>
    <w:p>
      <w:pPr>
        <w:pStyle w:val="BodyText"/>
      </w:pPr>
      <w:r>
        <w:t xml:space="preserve">M2 (Phi tuyến — kiểm định hình dạng đường cong):</w:t>
      </w:r>
      <w:r>
        <w:t xml:space="preserve"> </w:t>
      </w:r>
      <w:r>
        <w:t xml:space="preserve">lnNSLD_it = α + β₁ CDDXK_c_it + β₂ CDDXK_c²_it + γ·X_it + δ_c + λ_t + ε_it</w:t>
      </w:r>
      <w:r>
        <w:t xml:space="preserve"> </w:t>
      </w:r>
      <w:r>
        <w:t xml:space="preserve">→ β₁ và β₂ đều không có ý nghĩa thống kê → xác nhận quan hệ âm đơn điệu, không có điểm uốn</w:t>
      </w:r>
    </w:p>
    <w:p>
      <w:pPr>
        <w:pStyle w:val="BodyText"/>
      </w:pPr>
      <w:r>
        <w:t xml:space="preserve">M3 (+ Năng lực — kiểm định H2 null):</w:t>
      </w:r>
      <w:r>
        <w:t xml:space="preserve"> </w:t>
      </w:r>
      <w:r>
        <w:t xml:space="preserve">lnNSLD_it = α + β₁ CDDXK_c_it + β₂ CDDXK_c²_it + β₃ NLCN_z_it + β₄ CSS_z_it + γ·X_it + δ_c + λ_t + ε_it</w:t>
      </w:r>
      <w:r>
        <w:t xml:space="preserve"> </w:t>
      </w:r>
      <w:r>
        <w:t xml:space="preserve">→ NLCN_z: β = +0,058, p = .495 (n.s.); CSS_z: β = +0,062, p = .402 (n.s.)</w:t>
      </w:r>
      <w:r>
        <w:t xml:space="preserve"> </w:t>
      </w:r>
      <w:r>
        <w:t xml:space="preserve">→</w:t>
      </w:r>
      <w:r>
        <w:t xml:space="preserve"> </w:t>
      </w:r>
      <w:r>
        <w:rPr>
          <w:bCs/>
          <w:b/>
        </w:rPr>
        <w:t xml:space="preserve">H2: Năng lực doanh nghiệp không điều tiết được quan hệ CDDXK–lnNSLD trong bối cảnh SIDS</w:t>
      </w:r>
    </w:p>
    <w:p>
      <w:pPr>
        <w:pStyle w:val="BodyText"/>
      </w:pPr>
      <w:r>
        <w:rPr>
          <w:bCs/>
          <w:b/>
        </w:rPr>
        <w:t xml:space="preserve">Robustness</w:t>
      </w:r>
      <w:r>
        <w:t xml:space="preserve">:</w:t>
      </w:r>
    </w:p>
    <w:p>
      <w:pPr>
        <w:pStyle w:val="BodyText"/>
      </w:pPr>
      <w:r>
        <w:t xml:space="preserve">M_yearFE (chỉ year FE, không country FE):</w:t>
      </w:r>
      <w:r>
        <w:t xml:space="preserve"> </w:t>
      </w:r>
      <w:r>
        <w:t xml:space="preserve">lnNSLD_it = α + β₁ CDDXK_it + γ·X_it + λ_t + ε_it</w:t>
      </w:r>
      <w:r>
        <w:t xml:space="preserve"> </w:t>
      </w:r>
      <w:r>
        <w:t xml:space="preserve">→ β₁ = −1,236, SE = 0,269, p &lt; .001 (tác động mạnh hơn khi không kiểm soát heterogeneity quốc gia)</w:t>
      </w:r>
    </w:p>
    <w:p>
      <w:pPr>
        <w:pStyle w:val="BodyText"/>
      </w:pPr>
      <w:r>
        <w:t xml:space="preserve">M_bivariate (không controls):</w:t>
      </w:r>
      <w:r>
        <w:t xml:space="preserve"> </w:t>
      </w:r>
      <w:r>
        <w:t xml:space="preserve">lnNSLD_it = α + β₁ CDDXK_it + ε_it</w:t>
      </w:r>
      <w:r>
        <w:t xml:space="preserve"> </w:t>
      </w:r>
      <w:r>
        <w:t xml:space="preserve">→ β₁ = −1,596, SE = 0,263, p &lt; .001</w:t>
      </w:r>
    </w:p>
    <w:p>
      <w:pPr>
        <w:pStyle w:val="BodyText"/>
      </w:pPr>
      <w:r>
        <w:t xml:space="preserve">Exporters-only (N = 187 nhà xuất khẩu):</w:t>
      </w:r>
      <w:r>
        <w:t xml:space="preserve"> </w:t>
      </w:r>
      <w:r>
        <w:t xml:space="preserve">→ β₁(CDDXK_c) = −0,901, SE = 0,398, p = .027* — xác nhận FIP ngay trong nhóm đang xuất khẩu</w:t>
      </w:r>
    </w:p>
    <w:p>
      <w:pPr>
        <w:pStyle w:val="BodyText"/>
      </w:pPr>
      <w:r>
        <w:rPr>
          <w:bCs/>
          <w:b/>
        </w:rPr>
        <w:t xml:space="preserve">Kết quả chính</w:t>
      </w:r>
      <w:r>
        <w:t xml:space="preserve">:</w:t>
      </w:r>
    </w:p>
    <w:p>
      <w:pPr>
        <w:pStyle w:val="BodyText"/>
      </w:pPr>
      <w:r>
        <w:rPr>
          <w:bCs/>
          <w:b/>
        </w:rPr>
        <w:t xml:space="preserve">Gánh nặng quốc tế hóa bắt buộc (Forced Internationalization Penalty — FIP)</w:t>
      </w:r>
      <w:r>
        <w:t xml:space="preserve"> </w:t>
      </w:r>
      <w:r>
        <w:t xml:space="preserve">được xác nhận: quan hệ âm đơn điệu giữa cường độ xuất khẩu và năng suất lao động tại 9 nền kinh tế Pacific SIDS, không có điểm uốn trong phạm vi dữ liệu quan sát (CDDXK trung bình = 0,060).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Mô hình</w:t>
            </w:r>
          </w:p>
        </w:tc>
        <w:tc>
          <w:tcPr/>
          <w:p>
            <w:pPr>
              <w:pStyle w:val="Compact"/>
              <w:jc w:val="left"/>
            </w:pPr>
            <w:r>
              <w:t xml:space="preserve">N</w:t>
            </w:r>
          </w:p>
        </w:tc>
        <w:tc>
          <w:tcPr/>
          <w:p>
            <w:pPr>
              <w:pStyle w:val="Compact"/>
              <w:jc w:val="left"/>
            </w:pPr>
            <w:r>
              <w:t xml:space="preserve">β(CDDXK_c)</w:t>
            </w:r>
          </w:p>
        </w:tc>
        <w:tc>
          <w:tcPr/>
          <w:p>
            <w:pPr>
              <w:pStyle w:val="Compact"/>
              <w:jc w:val="left"/>
            </w:pPr>
            <w:r>
              <w:t xml:space="preserve">SE</w:t>
            </w:r>
          </w:p>
        </w:tc>
        <w:tc>
          <w:tcPr/>
          <w:p>
            <w:pPr>
              <w:pStyle w:val="Compact"/>
              <w:jc w:val="left"/>
            </w:pPr>
            <w:r>
              <w:t xml:space="preserve">p</w:t>
            </w:r>
          </w:p>
        </w:tc>
        <w:tc>
          <w:tcPr/>
          <w:p>
            <w:pPr>
              <w:pStyle w:val="Compact"/>
              <w:jc w:val="left"/>
            </w:pPr>
            <w:r>
              <w:t xml:space="preserve">Kết luận</w:t>
            </w:r>
          </w:p>
        </w:tc>
      </w:tr>
      <w:tr>
        <w:tc>
          <w:tcPr/>
          <w:p>
            <w:pPr>
              <w:pStyle w:val="Compact"/>
              <w:jc w:val="left"/>
            </w:pPr>
            <w:r>
              <w:t xml:space="preserve">M1 (country+year FE)</w:t>
            </w:r>
          </w:p>
        </w:tc>
        <w:tc>
          <w:tcPr/>
          <w:p>
            <w:pPr>
              <w:pStyle w:val="Compact"/>
              <w:jc w:val="left"/>
            </w:pPr>
            <w:r>
              <w:t xml:space="preserve">1.469</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.032*</w:t>
            </w:r>
          </w:p>
        </w:tc>
        <w:tc>
          <w:tcPr/>
          <w:p>
            <w:pPr>
              <w:pStyle w:val="Compact"/>
              <w:jc w:val="left"/>
            </w:pPr>
            <w:r>
              <w:rPr>
                <w:bCs/>
                <w:b/>
              </w:rPr>
              <w:t xml:space="preserve">FIP xác nhận</w:t>
            </w:r>
          </w:p>
        </w:tc>
      </w:tr>
      <w:tr>
        <w:tc>
          <w:tcPr/>
          <w:p>
            <w:pPr>
              <w:pStyle w:val="Compact"/>
              <w:jc w:val="left"/>
            </w:pPr>
            <w:r>
              <w:t xml:space="preserve">M2 (phi tuyến)</w:t>
            </w:r>
          </w:p>
        </w:tc>
        <w:tc>
          <w:tcPr/>
          <w:p>
            <w:pPr>
              <w:pStyle w:val="Compact"/>
              <w:jc w:val="left"/>
            </w:pPr>
            <w:r>
              <w:t xml:space="preserve">1.469</w:t>
            </w:r>
          </w:p>
        </w:tc>
        <w:tc>
          <w:tcPr/>
          <w:p>
            <w:pPr>
              <w:pStyle w:val="Compact"/>
              <w:jc w:val="left"/>
            </w:pPr>
            <w:r>
              <w:t xml:space="preserve">n.s.</w:t>
            </w:r>
          </w:p>
        </w:tc>
        <w:tc>
          <w:tcPr/>
          <w:p>
            <w:pPr>
              <w:pStyle w:val="Compact"/>
              <w:jc w:val="left"/>
            </w:pPr>
            <w:r>
              <w:t xml:space="preserve">—</w:t>
            </w:r>
          </w:p>
        </w:tc>
        <w:tc>
          <w:tcPr/>
          <w:p>
            <w:pPr>
              <w:pStyle w:val="Compact"/>
              <w:jc w:val="left"/>
            </w:pPr>
            <w:r>
              <w:t xml:space="preserve">.265</w:t>
            </w:r>
          </w:p>
        </w:tc>
        <w:tc>
          <w:tcPr/>
          <w:p>
            <w:pPr>
              <w:pStyle w:val="Compact"/>
              <w:jc w:val="left"/>
            </w:pPr>
            <w:r>
              <w:t xml:space="preserve">Không có điểm uốn</w:t>
            </w:r>
          </w:p>
        </w:tc>
      </w:tr>
      <w:tr>
        <w:tc>
          <w:tcPr/>
          <w:p>
            <w:pPr>
              <w:pStyle w:val="Compact"/>
              <w:jc w:val="left"/>
            </w:pPr>
            <w:r>
              <w:t xml:space="preserve">M3 (+ năng lực, N giảm)</w:t>
            </w:r>
          </w:p>
        </w:tc>
        <w:tc>
          <w:tcPr/>
          <w:p>
            <w:pPr>
              <w:pStyle w:val="Compact"/>
              <w:jc w:val="left"/>
            </w:pPr>
            <w:r>
              <w:t xml:space="preserve">526</w:t>
            </w:r>
          </w:p>
        </w:tc>
        <w:tc>
          <w:tcPr/>
          <w:p>
            <w:pPr>
              <w:pStyle w:val="Compact"/>
              <w:jc w:val="left"/>
            </w:pPr>
            <w:r>
              <w:t xml:space="preserve">−0,974</w:t>
            </w:r>
          </w:p>
        </w:tc>
        <w:tc>
          <w:tcPr/>
          <w:p>
            <w:pPr>
              <w:pStyle w:val="Compact"/>
              <w:jc w:val="left"/>
            </w:pPr>
            <w:r>
              <w:t xml:space="preserve">0,850</w:t>
            </w:r>
          </w:p>
        </w:tc>
        <w:tc>
          <w:tcPr/>
          <w:p>
            <w:pPr>
              <w:pStyle w:val="Compact"/>
              <w:jc w:val="left"/>
            </w:pPr>
            <w:r>
              <w:t xml:space="preserve">.252</w:t>
            </w:r>
          </w:p>
        </w:tc>
        <w:tc>
          <w:tcPr/>
          <w:p>
            <w:pPr>
              <w:pStyle w:val="Compact"/>
              <w:jc w:val="left"/>
            </w:pPr>
            <w:r>
              <w:t xml:space="preserve">FIP giữ chiều âm</w:t>
            </w:r>
          </w:p>
        </w:tc>
      </w:tr>
      <w:tr>
        <w:tc>
          <w:tcPr/>
          <w:p>
            <w:pPr>
              <w:pStyle w:val="Compact"/>
              <w:jc w:val="left"/>
            </w:pPr>
            <w:r>
              <w:t xml:space="preserve">M_yearFE</w:t>
            </w:r>
          </w:p>
        </w:tc>
        <w:tc>
          <w:tcPr/>
          <w:p>
            <w:pPr>
              <w:pStyle w:val="Compact"/>
              <w:jc w:val="left"/>
            </w:pPr>
            <w:r>
              <w:t xml:space="preserve">1.469</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&lt;.001***</w:t>
            </w:r>
          </w:p>
        </w:tc>
        <w:tc>
          <w:tcPr/>
          <w:p>
            <w:pPr>
              <w:pStyle w:val="Compact"/>
              <w:jc w:val="left"/>
            </w:pPr>
            <w:r>
              <w:t xml:space="preserve">Vững</w:t>
            </w:r>
          </w:p>
        </w:tc>
      </w:tr>
      <w:tr>
        <w:tc>
          <w:tcPr/>
          <w:p>
            <w:pPr>
              <w:pStyle w:val="Compact"/>
              <w:jc w:val="left"/>
            </w:pPr>
            <w:r>
              <w:t xml:space="preserve">Exporters-only</w:t>
            </w:r>
          </w:p>
        </w:tc>
        <w:tc>
          <w:tcPr/>
          <w:p>
            <w:pPr>
              <w:pStyle w:val="Compact"/>
              <w:jc w:val="left"/>
            </w:pPr>
            <w:r>
              <w:t xml:space="preserve">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.027*</w:t>
            </w:r>
          </w:p>
        </w:tc>
        <w:tc>
          <w:tcPr/>
          <w:p>
            <w:pPr>
              <w:pStyle w:val="Compact"/>
              <w:jc w:val="left"/>
            </w:pPr>
            <w:r>
              <w:t xml:space="preserve">Vững</w:t>
            </w:r>
          </w:p>
        </w:tc>
      </w:tr>
    </w:tbl>
    <w:p>
      <w:pPr>
        <w:pStyle w:val="BodyText"/>
      </w:pPr>
      <w:r>
        <w:rPr>
          <w:iCs/>
          <w:i/>
        </w:rPr>
        <w:t xml:space="preserve">Ghi chú: N giảm trong M3 (1.469 → 526) do missing values của biến NLCN_z và CSS_z. Chiều β(CDDXK_c) nhất quán âm trong tất cả mô hình. Country FE hấp thụ phần lớn phương sai (R² tăng từ 0,511 lên 0,800 khi thêm country FE), phù hợp với bối cảnh heterogeneity cực cao giữa các nền kinh tế SIDS. DAI là Tier-1 proxy (website) — không phải năng lực số động.</w:t>
      </w:r>
    </w:p>
    <w:p>
      <w:pPr>
        <w:pStyle w:val="BodyText"/>
      </w:pPr>
      <w:r>
        <w:rPr>
          <w:bCs/>
          <w:b/>
        </w:rPr>
        <w:t xml:space="preserve">Đóng góp lý thuyết từ Nghiên cứu 8</w:t>
      </w:r>
      <w:r>
        <w:t xml:space="preserve">: FIP là</w:t>
      </w:r>
      <w:r>
        <w:t xml:space="preserve"> </w:t>
      </w:r>
      <w:r>
        <w:rPr>
          <w:bCs/>
          <w:b/>
        </w:rPr>
        <w:t xml:space="preserve">boundary condition</w:t>
      </w:r>
      <w:r>
        <w:t xml:space="preserve"> </w:t>
      </w:r>
      <w:r>
        <w:t xml:space="preserve">của mô hình inverted-U: khi 3 điều kiện tiên quyết cấu trúc đồng thời không được đáp ứng — (1) thị trường nội địa khả thi, (2) chi phí thương mại chấp nhận được, (3) thể chế hỗ trợ trao đổi quốc tế — quan hệ I→P chuyển từ inverted-U thành đường thẳng âm đơn điệu không có điểm uốn. Chuyển dịch lý thuyết từ "institutional moderation of I-P intensity" (Marano et al., 2016) sang "institutional determination of I-P sign".</w:t>
      </w:r>
    </w:p>
    <w:p>
      <w:r>
        <w:pict>
          <v:rect style="width:0;height:1.5pt" o:hralign="center" o:hrstd="t" o:hr="t"/>
        </w:pict>
      </w:r>
    </w:p>
    <w:bookmarkEnd w:id="47"/>
    <w:bookmarkStart w:id="48" w:name="X6ef7915cef2320d0a5a0851ec4b4441ab8af223"/>
    <w:p>
      <w:pPr>
        <w:pStyle w:val="Heading3"/>
      </w:pPr>
      <w:r>
        <w:t xml:space="preserve">4.6 Sai số chuẩn</w:t>
      </w:r>
    </w:p>
    <w:p>
      <w:pPr>
        <w:pStyle w:val="FirstParagraph"/>
      </w:pPr>
      <w:r>
        <w:t xml:space="preserve">Tất cả các mô hình đều sử dụng HC1/HC3 robust standard errors (Long &amp; Ervin, 2000; White, 1980) để xử lý heteroscedasticity. Đối với multi-country, bổ sung clustered SE theo country.</w:t>
      </w:r>
    </w:p>
    <w:bookmarkEnd w:id="48"/>
    <w:bookmarkEnd w:id="49"/>
    <w:bookmarkStart w:id="55" w:name="Xbd137c7549379bc59bd868848e5dfb5b5e4e977"/>
    <w:p>
      <w:pPr>
        <w:pStyle w:val="Heading2"/>
      </w:pPr>
      <w:r>
        <w:t xml:space="preserve">5. Kiểm định độ vững</w:t>
      </w:r>
    </w:p>
    <w:bookmarkStart w:id="50" w:name="X431ee618c3d4d2cdcb5311a37313dcf18ed1464"/>
    <w:p>
      <w:pPr>
        <w:pStyle w:val="Heading3"/>
      </w:pPr>
      <w:r>
        <w:t xml:space="preserve">5.1 Thay đổi thước đo</w:t>
      </w:r>
    </w:p>
    <w:p>
      <w:pPr>
        <w:numPr>
          <w:ilvl w:val="0"/>
          <w:numId w:val="1008"/>
        </w:numPr>
        <w:pStyle w:val="Compact"/>
      </w:pPr>
      <w:r>
        <w:t xml:space="preserve">Biến phụ thuộc: thay</w:t>
      </w:r>
      <w:r>
        <w:t xml:space="preserve"> </w:t>
      </w:r>
      <m:oMath>
        <m:r>
          <m:rPr>
            <m:sty m:val="p"/>
          </m:rPr>
          <m:t>ln</m:t>
        </m:r>
        <m:d>
          <m:dPr>
            <m:begChr m:val="("/>
            <m:endChr m:val=")"/>
            <m:sepChr m:val=""/>
            <m:grow/>
          </m:dPr>
          <m:e>
            <m:r>
              <m:t>L</m:t>
            </m:r>
            <m:r>
              <m:t>P</m:t>
            </m:r>
          </m:e>
        </m:d>
      </m:oMath>
      <w:r>
        <w:t xml:space="preserve"> </w:t>
      </w:r>
      <w:r>
        <w:t xml:space="preserve">bằng ROS, sales growth, employment growth.</w:t>
      </w:r>
    </w:p>
    <w:p>
      <w:pPr>
        <w:numPr>
          <w:ilvl w:val="0"/>
          <w:numId w:val="1008"/>
        </w:numPr>
        <w:pStyle w:val="Compact"/>
      </w:pPr>
      <w:r>
        <w:t xml:space="preserve">Biến độc lập: thay FSTS bằng export status (binary), foreign sales count.</w:t>
      </w:r>
    </w:p>
    <w:p>
      <w:pPr>
        <w:numPr>
          <w:ilvl w:val="0"/>
          <w:numId w:val="1008"/>
        </w:numPr>
        <w:pStyle w:val="Compact"/>
      </w:pPr>
      <w:r>
        <w:t xml:space="preserve">Biến moderator: thay DAI_thin bằng DAI_rich (cho subset 2024+).</w:t>
      </w:r>
    </w:p>
    <w:bookmarkEnd w:id="50"/>
    <w:bookmarkStart w:id="51" w:name="X9e9ef139d57d7f609b0bd2a30f6aacc57ffda85"/>
    <w:p>
      <w:pPr>
        <w:pStyle w:val="Heading3"/>
      </w:pPr>
      <w:r>
        <w:t xml:space="preserve">5.2 Mẫu phụ</w:t>
      </w:r>
    </w:p>
    <w:p>
      <w:pPr>
        <w:pStyle w:val="FirstParagraph"/>
      </w:pPr>
      <w:r>
        <w:t xml:space="preserve">Loại trừ micro firms (&lt;5 lao động); chỉ giữ SMEs; chỉ giữ manufacturing; chỉ giữ exporters (FSTS &gt; 0); subgroup theo 6 sub-regime ICRV.</w:t>
      </w:r>
    </w:p>
    <w:bookmarkEnd w:id="51"/>
    <w:bookmarkStart w:id="52" w:name="X98cc73fc712d9e44cc5d18b702bb976620f7fc1"/>
    <w:p>
      <w:pPr>
        <w:pStyle w:val="Heading3"/>
      </w:pPr>
      <w:r>
        <w:t xml:space="preserve">5.3 Outliers</w:t>
      </w:r>
    </w:p>
    <w:p>
      <w:pPr>
        <w:pStyle w:val="FirstParagraph"/>
      </w:pPr>
      <w:r>
        <w:t xml:space="preserve">Winsorization 1% và 5% đối với labor productivity và employment, áp dụng trong từng country-year.</w:t>
      </w:r>
    </w:p>
    <w:bookmarkEnd w:id="52"/>
    <w:bookmarkStart w:id="53" w:name="X33d8f36a6a0e8ad3d10f0b0d165a7983b25acc1"/>
    <w:p>
      <w:pPr>
        <w:pStyle w:val="Heading3"/>
      </w:pPr>
      <w:r>
        <w:t xml:space="preserve">5.4 Multicollinearity và heteroscedasticity</w:t>
      </w:r>
    </w:p>
    <w:p>
      <w:pPr>
        <w:numPr>
          <w:ilvl w:val="0"/>
          <w:numId w:val="1009"/>
        </w:numPr>
        <w:pStyle w:val="Compact"/>
      </w:pPr>
      <w:r>
        <w:t xml:space="preserve">VIF cho tất cả mô hình; ngưỡng VIF &lt; 5 (Hair et al., 2019).</w:t>
      </w:r>
    </w:p>
    <w:p>
      <w:pPr>
        <w:numPr>
          <w:ilvl w:val="0"/>
          <w:numId w:val="1009"/>
        </w:numPr>
        <w:pStyle w:val="Compact"/>
      </w:pPr>
      <w:r>
        <w:t xml:space="preserve">Breusch–Pagan test (Breusch &amp; Pagan, 1979).</w:t>
      </w:r>
    </w:p>
    <w:bookmarkEnd w:id="53"/>
    <w:bookmarkStart w:id="54" w:name="X72f2a8f16e87d5c44ffc52bf2b3af577e467955"/>
    <w:p>
      <w:pPr>
        <w:pStyle w:val="Heading3"/>
      </w:pPr>
      <w:r>
        <w:t xml:space="preserve">5.5 Sensitivity analysis cho meta-analysis</w:t>
      </w:r>
    </w:p>
    <w:p>
      <w:pPr>
        <w:numPr>
          <w:ilvl w:val="0"/>
          <w:numId w:val="1010"/>
        </w:numPr>
        <w:pStyle w:val="Compact"/>
      </w:pPr>
      <w:r>
        <w:t xml:space="preserve">Leave-one-out: loại từng nghiên cứu và tái tính pooled effect.</w:t>
      </w:r>
    </w:p>
    <w:p>
      <w:pPr>
        <w:numPr>
          <w:ilvl w:val="0"/>
          <w:numId w:val="1010"/>
        </w:numPr>
        <w:pStyle w:val="Compact"/>
      </w:pPr>
      <w:r>
        <w:t xml:space="preserve">Trim-and-fill (Duval &amp; Tweedie, 2000) cho publication bias.</w:t>
      </w:r>
    </w:p>
    <w:bookmarkEnd w:id="54"/>
    <w:bookmarkEnd w:id="55"/>
    <w:bookmarkStart w:id="56" w:name="Xba1727fc0da4fc8e26a315fbd09b8799e5ac3db"/>
    <w:p>
      <w:pPr>
        <w:pStyle w:val="Heading2"/>
      </w:pPr>
      <w:r>
        <w:t xml:space="preserve">6. Tóm tắt kế thừa và đóng góp mới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Cơ sở kế thừa</w:t>
            </w:r>
          </w:p>
        </w:tc>
        <w:tc>
          <w:tcPr/>
          <w:p>
            <w:pPr>
              <w:pStyle w:val="Compact"/>
              <w:jc w:val="left"/>
            </w:pPr>
            <w:r>
              <w:t xml:space="preserve">Đóng góp mới</w:t>
            </w:r>
          </w:p>
        </w:tc>
      </w:tr>
      <w:tr>
        <w:tc>
          <w:tcPr/>
          <w:p>
            <w:pPr>
              <w:pStyle w:val="Compact"/>
              <w:jc w:val="left"/>
            </w:pPr>
            <w:r>
              <w:t xml:space="preserve">Mixed design</w:t>
            </w:r>
          </w:p>
        </w:tc>
        <w:tc>
          <w:tcPr/>
          <w:p>
            <w:pPr>
              <w:pStyle w:val="Compact"/>
              <w:jc w:val="left"/>
            </w:pPr>
            <w:r>
              <w:t xml:space="preserve">Borenstein et al. (2009); Hunter &amp; Schmidt (2004)</w:t>
            </w:r>
          </w:p>
        </w:tc>
        <w:tc>
          <w:tcPr/>
          <w:p>
            <w:pPr>
              <w:pStyle w:val="Compact"/>
              <w:jc w:val="left"/>
            </w:pPr>
            <w:r>
              <w:t xml:space="preserve">Áp dụng cho</w:t>
            </w:r>
            <w:r>
              <w:t xml:space="preserve"> </w:t>
            </w:r>
            <w:r>
              <w:rPr>
                <w:bCs/>
                <w:b/>
              </w:rPr>
              <w:t xml:space="preserve">47 châu Á + Pacific economies</w:t>
            </w:r>
            <w:r>
              <w:t xml:space="preserve"> </w:t>
            </w:r>
            <w:r>
              <w:t xml:space="preserve">trong một luận án</w:t>
            </w:r>
          </w:p>
        </w:tc>
      </w:tr>
      <w:tr>
        <w:tc>
          <w:tcPr/>
          <w:p>
            <w:pPr>
              <w:pStyle w:val="Compact"/>
              <w:jc w:val="left"/>
            </w:pPr>
            <w:r>
              <w:t xml:space="preserve">Meta-analysis 1982–2026</w:t>
            </w:r>
          </w:p>
        </w:tc>
        <w:tc>
          <w:tcPr/>
          <w:p>
            <w:pPr>
              <w:pStyle w:val="Compact"/>
              <w:jc w:val="left"/>
            </w:pPr>
            <w:r>
              <w:t xml:space="preserve">Bausch &amp; Krist (2007); Kirca et al. (2012); Marano et al. (2016)</w:t>
            </w:r>
          </w:p>
        </w:tc>
        <w:tc>
          <w:tcPr/>
          <w:p>
            <w:pPr>
              <w:pStyle w:val="Compact"/>
              <w:jc w:val="left"/>
            </w:pPr>
            <w:r>
              <w:t xml:space="preserve">Mở rộng coverage, bổ sung digital và 6 sub-regime ICRV moderators</w:t>
            </w:r>
          </w:p>
        </w:tc>
      </w:tr>
      <w:tr>
        <w:tc>
          <w:tcPr/>
          <w:p>
            <w:pPr>
              <w:pStyle w:val="Compact"/>
              <w:jc w:val="left"/>
            </w:pPr>
            <w:r>
              <w:t xml:space="preserve">Pool empirical</w:t>
            </w:r>
          </w:p>
        </w:tc>
        <w:tc>
          <w:tcPr/>
          <w:p>
            <w:pPr>
              <w:pStyle w:val="Compact"/>
              <w:jc w:val="left"/>
            </w:pPr>
            <w:r>
              <w:t xml:space="preserve">Đỗ &amp; Phan (2026 — VEFR) — 17 nước châu Á mới nổi</w:t>
            </w:r>
          </w:p>
        </w:tc>
        <w:tc>
          <w:tcPr/>
          <w:p>
            <w:pPr>
              <w:pStyle w:val="Compact"/>
              <w:jc w:val="left"/>
            </w:pPr>
            <w:r>
              <w:t xml:space="preserve">Mở rộng từ 17 →</w:t>
            </w:r>
            <w:r>
              <w:t xml:space="preserve"> </w:t>
            </w:r>
            <w:r>
              <w:rPr>
                <w:bCs/>
                <w:b/>
              </w:rPr>
              <w:t xml:space="preserve">47 nước</w:t>
            </w:r>
            <w:r>
              <w:t xml:space="preserve"> </w:t>
            </w:r>
            <w:r>
              <w:t xml:space="preserve">với 101.185 doanh nghiệp · 108 cặp quốc gia × năm</w:t>
            </w:r>
          </w:p>
        </w:tc>
      </w:tr>
      <w:tr>
        <w:tc>
          <w:tcPr/>
          <w:p>
            <w:pPr>
              <w:pStyle w:val="Compact"/>
              <w:jc w:val="left"/>
            </w:pPr>
            <w:r>
              <w:t xml:space="preserve">Labor productivity DV</w:t>
            </w:r>
          </w:p>
        </w:tc>
        <w:tc>
          <w:tcPr/>
          <w:p>
            <w:pPr>
              <w:pStyle w:val="Compact"/>
              <w:jc w:val="left"/>
            </w:pPr>
            <w:r>
              <w:t xml:space="preserve">Bloom et al. (2012); Hsieh &amp; Klenow (2009); Đỗ &amp; Phan (2026 — VEFR)</w:t>
            </w:r>
          </w:p>
        </w:tc>
        <w:tc>
          <w:tcPr/>
          <w:p>
            <w:pPr>
              <w:pStyle w:val="Compact"/>
              <w:jc w:val="left"/>
            </w:pPr>
            <w:r>
              <w:t xml:space="preserve">Lập luận rõ về firm performance đa chiều trong bối cảnh WBES</w:t>
            </w:r>
          </w:p>
        </w:tc>
      </w:tr>
      <w:tr>
        <w:tc>
          <w:tcPr/>
          <w:p>
            <w:pPr>
              <w:pStyle w:val="Compact"/>
              <w:jc w:val="left"/>
            </w:pPr>
            <w:r>
              <w:t xml:space="preserve">FSTS + FSTS² + FSTS³</w:t>
            </w:r>
          </w:p>
        </w:tc>
        <w:tc>
          <w:tcPr/>
          <w:p>
            <w:pPr>
              <w:pStyle w:val="Compact"/>
              <w:jc w:val="left"/>
            </w:pPr>
            <w:r>
              <w:t xml:space="preserve">Lu &amp; Beamish (2004); Hitt et al. (1997); Đỗ &amp; Phan (2026 — JFAR)</w:t>
            </w:r>
          </w:p>
        </w:tc>
        <w:tc>
          <w:tcPr/>
          <w:p>
            <w:pPr>
              <w:pStyle w:val="Compact"/>
              <w:jc w:val="left"/>
            </w:pPr>
            <w:r>
              <w:t xml:space="preserve">Đưa vào cùng three-way moderation framework</w:t>
            </w:r>
          </w:p>
        </w:tc>
      </w:tr>
      <w:tr>
        <w:tc>
          <w:tcPr/>
          <w:p>
            <w:pPr>
              <w:pStyle w:val="Compact"/>
              <w:jc w:val="left"/>
            </w:pPr>
            <w:r>
              <w:t xml:space="preserve">TCI vs DAI</w:t>
            </w:r>
          </w:p>
        </w:tc>
        <w:tc>
          <w:tcPr/>
          <w:p>
            <w:pPr>
              <w:pStyle w:val="Compact"/>
              <w:jc w:val="left"/>
            </w:pPr>
            <w:r>
              <w:t xml:space="preserve">Bhandari et al. (2023); Verhoef et al. (2021)</w:t>
            </w:r>
          </w:p>
        </w:tc>
        <w:tc>
          <w:tcPr/>
          <w:p>
            <w:pPr>
              <w:pStyle w:val="Compact"/>
              <w:jc w:val="left"/>
            </w:pPr>
            <w:r>
              <w:t xml:space="preserve">Non-overlapping construct purity protocol cho WBES; digital shield mở rộng (Đỗ &amp; Phan, 2026 — VEFR)</w:t>
            </w:r>
          </w:p>
        </w:tc>
      </w:tr>
      <w:tr>
        <w:tc>
          <w:tcPr/>
          <w:p>
            <w:pPr>
              <w:pStyle w:val="Compact"/>
              <w:jc w:val="left"/>
            </w:pPr>
            <w:r>
              <w:t xml:space="preserve">Lind–Mehlum U-test</w:t>
            </w:r>
          </w:p>
        </w:tc>
        <w:tc>
          <w:tcPr/>
          <w:p>
            <w:pPr>
              <w:pStyle w:val="Compact"/>
              <w:jc w:val="left"/>
            </w:pPr>
            <w:r>
              <w:t xml:space="preserve">Lind &amp; Mehlum (2010); Haans et al. (2016)</w:t>
            </w:r>
          </w:p>
        </w:tc>
        <w:tc>
          <w:tcPr/>
          <w:p>
            <w:pPr>
              <w:pStyle w:val="Compact"/>
              <w:jc w:val="left"/>
            </w:pPr>
            <w:r>
              <w:t xml:space="preserve">Áp dụng cho từng country sample và multi-country</w:t>
            </w:r>
          </w:p>
        </w:tc>
      </w:tr>
      <w:tr>
        <w:tc>
          <w:tcPr/>
          <w:p>
            <w:pPr>
              <w:pStyle w:val="Compact"/>
              <w:jc w:val="left"/>
            </w:pPr>
            <w:r>
              <w:t xml:space="preserve">Three-way moderation</w:t>
            </w:r>
          </w:p>
        </w:tc>
        <w:tc>
          <w:tcPr/>
          <w:p>
            <w:pPr>
              <w:pStyle w:val="Compact"/>
              <w:jc w:val="left"/>
            </w:pPr>
            <w:r>
              <w:t xml:space="preserve">Aiken &amp; West (1991); Dawson (2014)</w:t>
            </w:r>
          </w:p>
        </w:tc>
        <w:tc>
          <w:tcPr/>
          <w:p>
            <w:pPr>
              <w:pStyle w:val="Compact"/>
              <w:jc w:val="left"/>
            </w:pPr>
            <w:r>
              <w:t xml:space="preserve">digital × institutional × manager mới cho châu Á và Pacific</w:t>
            </w:r>
          </w:p>
        </w:tc>
      </w:tr>
      <w:tr>
        <w:tc>
          <w:tcPr/>
          <w:p>
            <w:pPr>
              <w:pStyle w:val="Compact"/>
              <w:jc w:val="left"/>
            </w:pPr>
            <w:r>
              <w:t xml:space="preserve">Temporal heterogeneity</w:t>
            </w:r>
          </w:p>
        </w:tc>
        <w:tc>
          <w:tcPr/>
          <w:p>
            <w:pPr>
              <w:pStyle w:val="Compact"/>
              <w:jc w:val="left"/>
            </w:pPr>
            <w:r>
              <w:t xml:space="preserve">Wu et al. (2022); Xiao et al. (2013); Đỗ &amp; Phan (2026 — JFAR)</w:t>
            </w:r>
          </w:p>
        </w:tc>
        <w:tc>
          <w:tcPr/>
          <w:p>
            <w:pPr>
              <w:pStyle w:val="Compact"/>
              <w:jc w:val="left"/>
            </w:pPr>
            <w:r>
              <w:t xml:space="preserve">China 2012–2024 stability test (turning point ~47,8% FSTS)</w:t>
            </w:r>
          </w:p>
        </w:tc>
      </w:tr>
      <w:tr>
        <w:tc>
          <w:tcPr/>
          <w:p>
            <w:pPr>
              <w:pStyle w:val="Compact"/>
              <w:jc w:val="left"/>
            </w:pPr>
            <w:r>
              <w:t xml:space="preserve">Robust SE</w:t>
            </w:r>
          </w:p>
        </w:tc>
        <w:tc>
          <w:tcPr/>
          <w:p>
            <w:pPr>
              <w:pStyle w:val="Compact"/>
              <w:jc w:val="left"/>
            </w:pPr>
            <w:r>
              <w:t xml:space="preserve">Long &amp; Ervin (2000); White (1980)</w:t>
            </w:r>
          </w:p>
        </w:tc>
        <w:tc>
          <w:tcPr/>
          <w:p>
            <w:pPr>
              <w:pStyle w:val="Compact"/>
              <w:jc w:val="left"/>
            </w:pPr>
            <w:r>
              <w:t xml:space="preserve">Chuẩn</w:t>
            </w:r>
          </w:p>
        </w:tc>
      </w:tr>
      <w:tr>
        <w:tc>
          <w:tcPr/>
          <w:p>
            <w:pPr>
              <w:pStyle w:val="Compact"/>
              <w:jc w:val="left"/>
            </w:pPr>
            <w:r>
              <w:t xml:space="preserve">Publication bias</w:t>
            </w:r>
          </w:p>
        </w:tc>
        <w:tc>
          <w:tcPr/>
          <w:p>
            <w:pPr>
              <w:pStyle w:val="Compact"/>
              <w:jc w:val="left"/>
            </w:pPr>
            <w:r>
              <w:t xml:space="preserve">Egger et al. (1997); Begg &amp; Mazumdar (1994)</w:t>
            </w:r>
          </w:p>
        </w:tc>
        <w:tc>
          <w:tcPr/>
          <w:p>
            <w:pPr>
              <w:pStyle w:val="Compact"/>
              <w:jc w:val="left"/>
            </w:pPr>
            <w:r>
              <w:t xml:space="preserve">Chuẩn</w:t>
            </w:r>
          </w:p>
        </w:tc>
      </w:tr>
    </w:tbl>
    <w:bookmarkEnd w:id="56"/>
    <w:bookmarkStart w:id="57" w:name="X696efacd1a1ef1aca1868f20b67b10fe2c2b182"/>
    <w:p>
      <w:pPr>
        <w:pStyle w:val="Heading2"/>
      </w:pPr>
      <w:r>
        <w:t xml:space="preserve">7. Đạo đức nghiên cứu</w:t>
      </w:r>
    </w:p>
    <w:p>
      <w:pPr>
        <w:pStyle w:val="FirstParagraph"/>
      </w:pPr>
      <w:r>
        <w:t xml:space="preserve">Luận án sử dụng dữ liệu thứ cấp từ WBES — bộ dữ liệu công khai được World Bank cung cấp miễn phí cho mục đích nghiên cứu (World Bank, n.d.). Tất cả các citation theo APA 7th để ghi nhận đầy đủ công sức của các tác giả trước, tránh đạo văn. Code và dữ liệu phân tích được lưu trữ trên các nhánh chuyên biệt của repository để bảo đảm khả năng tái lập kết quả.</w:t>
      </w:r>
    </w:p>
    <w:bookmarkEnd w:id="57"/>
    <w:bookmarkEnd w:id="5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2026-05-25T00:23:23Z</dcterms:created>
  <dcterms:modified xsi:type="dcterms:W3CDTF">2026-05-25T00:23:23Z</dcterms:modified>
</cp:coreProperties>
</file>

<file path=docProps/custom.xml><?xml version="1.0" encoding="utf-8"?>
<Properties xmlns="http://schemas.openxmlformats.org/officeDocument/2006/custom-properties" xmlns:vt="http://schemas.openxmlformats.org/officeDocument/2006/docPropsVTypes"/>
</file>