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1.png" ContentType="image/png"/>
  <Override PartName="/word/media/rId59.png" ContentType="image/png"/>
  <Override PartName="/word/media/rId55.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 (within-study 54.1%; between-study 8.4%),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pairwise differences reflect single-country vs. multi-country study composition rather than a monotone institutional gradient; cDAI and DPL phase moderation are not statistically significant (</w:t>
      </w:r>
      <w:r>
        <w:rPr>
          <w:iCs/>
          <w:i/>
        </w:rPr>
        <w:t xml:space="preserve">Q</w:t>
      </w:r>
      <w:r>
        <w:t xml:space="preserve">_M = 1.23,</w:t>
      </w:r>
      <w:r>
        <w:t xml:space="preserve"> </w:t>
      </w:r>
      <w:r>
        <w:rPr>
          <w:iCs/>
          <w:i/>
        </w:rPr>
        <w:t xml:space="preserve">p</w:t>
      </w:r>
      <w:r>
        <w:t xml:space="preserve"> </w:t>
      </w:r>
      <w:r>
        <w:t xml:space="preserve">= .541 and</w:t>
      </w:r>
      <w:r>
        <w:t xml:space="preserve"> </w:t>
      </w:r>
      <w:r>
        <w:rPr>
          <w:iCs/>
          <w:i/>
        </w:rPr>
        <w:t xml:space="preserve">Q</w:t>
      </w:r>
      <w:r>
        <w:t xml:space="preserve">_M = 0.56,</w:t>
      </w:r>
      <w:r>
        <w:t xml:space="preserve"> </w:t>
      </w:r>
      <w:r>
        <w:rPr>
          <w:iCs/>
          <w:i/>
        </w:rPr>
        <w:t xml:space="preserve">p</w:t>
      </w:r>
      <w:r>
        <w:t xml:space="preserve"> </w:t>
      </w:r>
      <w:r>
        <w:t xml:space="preserve">= .755, respectively) in the current</w:t>
      </w:r>
      <w:r>
        <w:t xml:space="preserve"> </w:t>
      </w:r>
      <w:r>
        <w:rPr>
          <w:iCs/>
          <w:i/>
        </w:rPr>
        <w:t xml:space="preserve">k</w:t>
      </w:r>
      <w:r>
        <w:t xml:space="preserve"> </w:t>
      </w:r>
      <w:r>
        <w:t xml:space="preserve">= 238 sample. Substantial publication bias is detected: trim-and-fill imputes</w:t>
      </w:r>
      <w:r>
        <w:t xml:space="preserve"> </w:t>
      </w:r>
      <w:r>
        <w:rPr>
          <w:iCs/>
          <w:i/>
        </w:rPr>
        <w:t xml:space="preserve">k</w:t>
      </w:r>
      <w:r>
        <w:t xml:space="preserve"> </w:t>
      </w:r>
      <w:r>
        <w:t xml:space="preserve">= 58 missing studies, reducing the adjusted pooled effect to</w:t>
      </w:r>
      <w:r>
        <w:t xml:space="preserve"> </w:t>
      </w:r>
      <w:r>
        <w:rPr>
          <w:iCs/>
          <w:i/>
        </w:rPr>
        <w:t xml:space="preserve">r</w:t>
      </w:r>
      <w:r>
        <w:t xml:space="preserve"> </w:t>
      </w:r>
      <w:r>
        <w:t xml:space="preserve">= 0.035 (95% CI [0.023, 0.048]) — positive but attenuated.</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238 studies from 49 economies globally, and the first to formally test ICRV, cDAI, and DPL phase as moderators. The ICRV between-regime Q_M test confirms H1 (Q_M = 17.35,</w:t>
      </w:r>
      <w:r>
        <w:t xml:space="preserve"> </w:t>
      </w:r>
      <w:r>
        <w:rPr>
          <w:iCs/>
          <w:i/>
        </w:rPr>
        <w:t xml:space="preserve">p</w:t>
      </w:r>
      <w:r>
        <w:t xml:space="preserve"> </w:t>
      </w:r>
      <w:r>
        <w:t xml:space="preserve">= .002), while the directional gradient (E1a/E1b) and the cDAI and DPL hypotheses remain unconfirmed — a finding that, combined with substantial publication bias,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global study corpus spans the full institutional spectrum — from Singapore (World Governance Indicators Rule of Law score +1.84) to frontier economies such as Pakistan (WGI −0.55) and Iran (WGI −0.74; World Bank, 2023). An ICRV 5-regime classification capable of resolving this heterogeneity has not been tested meta-analytically on a globally representative I→P corpus.</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 framework applied to a globally representative I→P corpus (</w:t>
      </w:r>
      <w:r>
        <w:rPr>
          <w:iCs/>
          <w:i/>
        </w:rPr>
        <w:t xml:space="preserve">k</w:t>
      </w:r>
      <w:r>
        <w:t xml:space="preserve"> </w:t>
      </w:r>
      <w:r>
        <w:t xml:space="preserve">= 238, 49 economies);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17.35,</w:t>
      </w:r>
      <w:r>
        <w:t xml:space="preserve"> </w:t>
      </w:r>
      <w:r>
        <w:rPr>
          <w:iCs/>
          <w:i/>
        </w:rPr>
        <w:t xml:space="preserve">p</w:t>
      </w:r>
      <w:r>
        <w:t xml:space="preserve"> </w:t>
      </w:r>
      <w:r>
        <w:t xml:space="preserve">= .002); however, the directional Exploratory Propositions E1a (Advanced largest) and E1b (Frontier smallest) are not statistically confirmed — pairwise differences reflect single-country vs. multi-country study composition rather than a monotone institutional gradient.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most substantive finding is publication bias (H4 confirmed): trim-and-fill imputes</w:t>
      </w:r>
      <w:r>
        <w:t xml:space="preserve"> </w:t>
      </w:r>
      <w:r>
        <w:rPr>
          <w:iCs/>
          <w:i/>
        </w:rPr>
        <w:t xml:space="preserve">k</w:t>
      </w:r>
      <w:r>
        <w:t xml:space="preserve"> </w:t>
      </w:r>
      <w:r>
        <w:t xml:space="preserve">= 58 missing studies, reducing the adjusted estimate to</w:t>
      </w:r>
      <w:r>
        <w:t xml:space="preserve"> </w:t>
      </w:r>
      <w:r>
        <w:rPr>
          <w:iCs/>
          <w:i/>
        </w:rPr>
        <w:t xml:space="preserve">r</w:t>
      </w:r>
      <w:r>
        <w:t xml:space="preserve"> </w:t>
      </w:r>
      <w:r>
        <w:t xml:space="preserve">= 0.035 — positive but substantially smaller than the raw pooled effect. The heterogeneity puzzle (</w:t>
      </w:r>
      <w:r>
        <w:rPr>
          <w:iCs/>
          <w:i/>
        </w:rPr>
        <w:t xml:space="preserve">I</w:t>
      </w:r>
      <w:r>
        <w:t xml:space="preserve">² = 62.4%) remains unresolved by the tested moderators, suggesting that future research should test alternative theoretical contingencies or that between-study heterogeneity is dominated by within-paper variance (Level 2, 54.1%) rather than between-country differences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5-regime taxonomy — anchored in World Bank World Governance Indicators (Rule of Law dimension, 2023 vintage) and applied to the full k = 238 global study corpus —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 ICRV between-regime heterogeneity):</w:t>
      </w:r>
      <w:r>
        <w:t xml:space="preserve"> </w:t>
      </w:r>
      <w:r>
        <w:t xml:space="preserve">Pooled I→P effect sizes vary systematically across ICRV institutional regimes, with Advanced-regime studies expected to show the largest average effects, because formal institutions — contract enforcement, IP protection, and reduced liability of foreignness —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 potentially null or negative —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 home to 52% of the k = 238 corpus — was a primary site of this diffusion.</w:t>
      </w:r>
    </w:p>
    <w:p>
      <w:pPr>
        <w:pStyle w:val="BodyText"/>
      </w:pPr>
      <w:r>
        <w:rPr>
          <w:bCs/>
          <w:b/>
        </w:rPr>
        <w:t xml:space="preserve">Hypothesis 2 (H2 —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 below approximately k = 30 per phase, the between-group test is 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 hypothesised between-regime Q_M statistically significant; H1 confirmed (Q_M = 17.35, p = .002); directional Exploratory Propositions E1a (Advanced largest) and E1b (Frontier smallest) not meta-analytically confirmable with sparse regime cells. (2) cDAI — Country Digital Adoption Index (H3) — hypothesised positive amplification [High &gt; Low]; actual Q_M = 1.23 (p = .541), H3 not supported. (3) DPL Phase (H2) — hypothesised Follow &gt; Precede; actual Q_M = 0.56 (p = .755), H2 not supported. The three-level model nests K = 288 effects within k = 238 studies (within-study σ²_(2) = 0.00874, I²_(2) = 54.1%) within between-study heterogeneity (between-study σ²_(3) = 0.00135, I²_(3) = 8.4%); total I² = 62.4%. Publication bias (H4 confirmed): Egger's b = 0.475 (SE = 0.250, p = .057), Begg's τ = −0.134 (p = .0007); trim-and-fill imputes k = 58 studies, adjusted r = 0.035;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3"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bookmarkEnd w:id="33"/>
    <w:bookmarkStart w:id="34"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 capital structure, location strategy, antecedent/determinant language; STRONG_INCL —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 India textile Born Globals I→P M-curve; S0240 — SME internationalization speed → firm performance with organizational learning mediator; S0683 —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 × 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from full-text PDFs). Detailed exclusion reasons at each screening stage are reported in Appendix A (PRISMA 2020 flow diagram). The prior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assembled from backward citation screening and hand-search constitutes the baseline; all counts will be updated to confirmed figures after Scopus search and extraction are completed.</w:t>
      </w:r>
    </w:p>
    <w:bookmarkEnd w:id="34"/>
    <w:bookmarkStart w:id="38" w:name="X1d41e663e785934d4feadbd21b81f03c51339a8"/>
    <w:p>
      <w:pPr>
        <w:pStyle w:val="Heading3"/>
      </w:pPr>
      <w:r>
        <w:t xml:space="preserve">3.3 Data Extraction and Quality Assurance</w:t>
      </w:r>
    </w:p>
    <w:bookmarkStart w:id="35"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5"/>
    <w:bookmarkStart w:id="36"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6"/>
    <w:bookmarkStart w:id="37"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7"/>
    <w:bookmarkEnd w:id="38"/>
    <w:bookmarkStart w:id="39"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9"/>
    <w:bookmarkStart w:id="40"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40"/>
    <w:bookmarkStart w:id="41"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1"/>
    <w:bookmarkStart w:id="42"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2"/>
    <w:bookmarkEnd w:id="43"/>
    <w:bookmarkStart w:id="63" w:name="X121719332867ee227f0a04b486098cee978c6e6"/>
    <w:p>
      <w:pPr>
        <w:pStyle w:val="Heading2"/>
      </w:pPr>
      <w:r>
        <w:t xml:space="preserve">4. Results</w:t>
      </w:r>
    </w:p>
    <w:bookmarkStart w:id="44"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103</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120</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86</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4"/>
    <w:bookmarkStart w:id="45"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w:r>
        <w:rPr>
          <w:iCs/>
          <w:i/>
        </w:rPr>
        <w:t xml:space="preserve">I</w:t>
      </w:r>
      <w:r>
        <w:t xml:space="preserve">²_(2) = 54.1%) is roughly six times the between-study contribution (Level 3,</w:t>
      </w:r>
      <w:r>
        <w:t xml:space="preserve"> </w:t>
      </w:r>
      <w:r>
        <w:rPr>
          <w:iCs/>
          <w:i/>
        </w:rPr>
        <w:t xml:space="preserve">I</w:t>
      </w:r>
      <w:r>
        <w:t xml:space="preserve">²_(3) = 8.4%). Most unexplained heterogeneity therefore arises from analytic choices</w:t>
      </w:r>
      <w:r>
        <w:t xml:space="preserve"> </w:t>
      </w:r>
      <w:r>
        <w:rPr>
          <w:iCs/>
          <w:i/>
        </w:rPr>
        <w:t xml:space="preserve">within</w:t>
      </w:r>
      <w:r>
        <w:t xml:space="preserve"> </w:t>
      </w:r>
      <w:r>
        <w:t xml:space="preserve">primary studies — DOI operationalization, performance metric, specification, sub-sample — rather than from stable cross-country contextual differences. Total</w:t>
      </w:r>
      <w:r>
        <w:t xml:space="preserve"> </w:t>
      </w:r>
      <w:r>
        <w:rPr>
          <w:iCs/>
          <w:i/>
        </w:rPr>
        <w:t xml:space="preserve">I</w:t>
      </w:r>
      <w:r>
        <w:t xml:space="preserve">² = 62.4%, well above the sampling-error floor, motivates the moderator analyses; however, as §§4.3–4.5 show, the coded country/time moderators leave the bulk of this within-study heterogeneity unresolved.</w:t>
      </w:r>
    </w:p>
    <w:bookmarkEnd w:id="45"/>
    <w:bookmarkStart w:id="49"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w:t>
      </w:r>
      <w:r>
        <w:t xml:space="preserve">— the omnibus between-regime moderation test is statistically significant, establishing that the I→P effect varies across coded institutional regimes. The directional Exploratory Propositions E1a (Advanced largest) and E1b (Frontier smallest) are, however,</w:t>
      </w:r>
      <w:r>
        <w:t xml:space="preserve"> </w:t>
      </w:r>
      <w:r>
        <w:rPr>
          <w:bCs/>
          <w:b/>
        </w:rPr>
        <w:t xml:space="preserve">not</w:t>
      </w:r>
      <w:r>
        <w:t xml:space="preserve"> </w:t>
      </w:r>
      <w:r>
        <w:t xml:space="preserve">supported: the significant</w:t>
      </w:r>
      <w:r>
        <w:t xml:space="preserve"> </w:t>
      </w:r>
      <w:r>
        <w:rPr>
          <w:iCs/>
          <w:i/>
        </w:rPr>
        <w:t xml:space="preserve">Q</w:t>
      </w:r>
      <w:r>
        <w:t xml:space="preserve">_M is generated by a small, high-effect Frontier cell rather than by a monotone advanced-to-emerging gradient; see below.</w:t>
      </w:r>
    </w:p>
    <w:p>
      <w:pPr>
        <w:pStyle w:val="BodyText"/>
      </w:pPr>
      <w:r>
        <w:rPr>
          <w:bCs/>
          <w:b/>
        </w:rPr>
        <w:t xml:space="preserve">Table 4.2 — ICRV regime subgroup results</w:t>
      </w:r>
      <w:r>
        <w:t xml:space="preserve"> </w:t>
      </w:r>
      <w:r>
        <w:rPr>
          <w:iCs/>
          <w:i/>
        </w:rPr>
        <w:t xml:space="preserve">(actual MARA output, k = 238 / K = 288;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Figure 2: ICRV 5-regime forest plot — subgroup pooled effects with 95% CI" title="" id="47" name="Picture"/>
            <a:graphic>
              <a:graphicData uri="http://schemas.openxmlformats.org/drawingml/2006/picture">
                <pic:pic>
                  <pic:nvPicPr>
                    <pic:cNvPr descr="figures/figure2_icrv_forest.png" id="48" name="Picture"/>
                    <pic:cNvPicPr>
                      <a:picLocks noChangeArrowheads="1" noChangeAspect="1"/>
                    </pic:cNvPicPr>
                  </pic:nvPicPr>
                  <pic:blipFill>
                    <a:blip r:embed="rId46"/>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 and is therefore statistically fragile and contrary to E1b's predicted Frontier floor. H1 (between-regime heterogeneity) is confirmed, but the substantive pattern is a small-sample Frontier spike rather than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w:t>
      </w:r>
    </w:p>
    <w:bookmarkEnd w:id="49"/>
    <w:bookmarkStart w:id="50"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The subgroup means are non-monotone (Medium</w:t>
      </w:r>
      <w:r>
        <w:t xml:space="preserve"> </w:t>
      </w:r>
      <w:r>
        <w:rPr>
          <w:iCs/>
          <w:i/>
        </w:rPr>
        <w:t xml:space="preserve">r̄</w:t>
      </w:r>
      <w:r>
        <w:t xml:space="preserve"> </w:t>
      </w:r>
      <w:r>
        <w:t xml:space="preserve">= 0.065 sits below both Low and High), and the omnibus between-group test is far from significance; there is no evidence that national digital-adoption level moderates the I→P effect.</w:t>
      </w:r>
    </w:p>
    <w:p>
      <w:pPr>
        <w:pStyle w:val="BodyText"/>
      </w:pPr>
      <w:r>
        <w:rPr>
          <w:bCs/>
          <w:b/>
        </w:rPr>
        <w:t xml:space="preserve">Table 4.3 —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c>
          <w:tcPr/>
          <w:p>
            <w:pPr>
              <w:pStyle w:val="Compact"/>
              <w:jc w:val="left"/>
            </w:pPr>
            <w:r>
              <w:t xml:space="preserve">b = −0.010,</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50"/>
    <w:bookmarkStart w:id="54" w:name="X0f13fb15b20194b37c5b9d050ad7a7079c0644a"/>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 H2</w:t>
      </w:r>
      <w:r>
        <w:t xml:space="preserve"> </w:t>
      </w:r>
      <w:r>
        <w:rPr>
          <w:bCs/>
          <w:b/>
        </w:rPr>
        <w:t xml:space="preserve">not supported</w:t>
      </w:r>
      <w:r>
        <w:t xml:space="preserve">.</w:t>
      </w:r>
    </w:p>
    <w:p>
      <w:pPr>
        <w:pStyle w:val="BodyText"/>
      </w:pPr>
      <w:r>
        <w:rPr>
          <w:bCs/>
          <w:b/>
        </w:rPr>
        <w:t xml:space="preserve">Table 4.4 —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 2008</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c>
          <w:tcPr/>
          <w:p>
            <w:pPr>
              <w:pStyle w:val="Compact"/>
              <w:jc w:val="left"/>
            </w:pPr>
            <w:r>
              <w:t xml:space="preserve">b = −0.013, n.s.</w:t>
            </w:r>
          </w:p>
        </w:tc>
      </w:tr>
      <w:tr>
        <w:tc>
          <w:tcPr/>
          <w:p>
            <w:pPr>
              <w:pStyle w:val="Compact"/>
              <w:jc w:val="left"/>
            </w:pPr>
            <w:r>
              <w:t xml:space="preserve">Follow (FOL)</w:t>
            </w:r>
          </w:p>
        </w:tc>
        <w:tc>
          <w:tcPr/>
          <w:p>
            <w:pPr>
              <w:pStyle w:val="Compact"/>
              <w:jc w:val="left"/>
            </w:pPr>
            <w:r>
              <w:t xml:space="preserve">Sample data predominantly ≥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 n.s.</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BodyText"/>
      </w:pPr>
      <w:r>
        <w:drawing>
          <wp:inline>
            <wp:extent cx="5753100" cy="4403829"/>
            <wp:effectExtent b="0" l="0" r="0" t="0"/>
            <wp:docPr descr="Figure 3: DPL phase moderation — pooled I→P effect by digital adoption epoch" title="" id="52" name="Picture"/>
            <a:graphic>
              <a:graphicData uri="http://schemas.openxmlformats.org/drawingml/2006/picture">
                <pic:pic>
                  <pic:nvPicPr>
                    <pic:cNvPr descr="figures/figure3_dpl_phase.png" id="53" name="Picture"/>
                    <pic:cNvPicPr>
                      <a:picLocks noChangeArrowheads="1" noChangeAspect="1"/>
                    </pic:cNvPicPr>
                  </pic:nvPicPr>
                  <pic:blipFill>
                    <a:blip r:embed="rId51"/>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4"/>
    <w:bookmarkStart w:id="58"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 marginal and not significant at α = .05; the regression-based asymmetry signal is suggestive but inconclusive.</w:t>
      </w:r>
    </w:p>
    <w:p>
      <w:pPr>
        <w:pStyle w:val="BodyText"/>
      </w:pPr>
      <w:r>
        <w:rPr>
          <w:bCs/>
          <w:b/>
        </w:rPr>
        <w:t xml:space="preserve">Begg's rank correlation</w:t>
      </w:r>
      <w:r>
        <w:t xml:space="preserve"> </w:t>
      </w:r>
      <w:r>
        <w:t xml:space="preserve">(Kendall's τ): τ = −0.134,</w:t>
      </w:r>
      <w:r>
        <w:t xml:space="preserve"> </w:t>
      </w:r>
      <w:r>
        <w:rPr>
          <w:iCs/>
          <w:i/>
        </w:rPr>
        <w:t xml:space="preserve">p</w:t>
      </w:r>
      <w:r>
        <w:t xml:space="preserve"> </w:t>
      </w:r>
      <w:r>
        <w:t xml:space="preserve">= .0007 —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62.4%) and non-significant moderator tests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BodyText"/>
      </w:pPr>
      <w:r>
        <w:drawing>
          <wp:inline>
            <wp:extent cx="5753100" cy="4601444"/>
            <wp:effectExtent b="0" l="0" r="0" t="0"/>
            <wp:docPr descr="Figure 5: Funnel plot with trim-and-fill imputed studies" title="" id="56" name="Picture"/>
            <a:graphic>
              <a:graphicData uri="http://schemas.openxmlformats.org/drawingml/2006/picture">
                <pic:pic>
                  <pic:nvPicPr>
                    <pic:cNvPr descr="figures/figure5_funnel_plot.png" id="57" name="Picture"/>
                    <pic:cNvPicPr>
                      <a:picLocks noChangeArrowheads="1" noChangeAspect="1"/>
                    </pic:cNvPicPr>
                  </pic:nvPicPr>
                  <pic:blipFill>
                    <a:blip r:embed="rId55"/>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8"/>
    <w:bookmarkStart w:id="62"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0.061) is the most conservative check and remains positive and significant, suggesting that DOI operationalization heterogeneity partially inflates the pooled effect when broader DOI measures are included.</w:t>
      </w:r>
    </w:p>
    <w:p>
      <w:pPr>
        <w:pStyle w:val="BodyText"/>
      </w:pPr>
      <w:r>
        <w:drawing>
          <wp:inline>
            <wp:extent cx="5753100" cy="2528953"/>
            <wp:effectExtent b="0" l="0" r="0" t="0"/>
            <wp:docPr descr="Figure 4: Leave-one-out sensitivity — pooled r̄ range across leave-one-out iterations" title="" id="60" name="Picture"/>
            <a:graphic>
              <a:graphicData uri="http://schemas.openxmlformats.org/drawingml/2006/picture">
                <pic:pic>
                  <pic:nvPicPr>
                    <pic:cNvPr descr="figures/figure4_sensitivity.png" id="61" name="Picture"/>
                    <pic:cNvPicPr>
                      <a:picLocks noChangeArrowheads="1" noChangeAspect="1"/>
                    </pic:cNvPicPr>
                  </pic:nvPicPr>
                  <pic:blipFill>
                    <a:blip r:embed="rId59"/>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2"/>
    <w:bookmarkEnd w:id="63"/>
    <w:bookmarkStart w:id="68" w:name="X735612638e4e736e4693e459c258977262c0dfc"/>
    <w:p>
      <w:pPr>
        <w:pStyle w:val="Heading2"/>
      </w:pPr>
      <w:r>
        <w:t xml:space="preserve">5. Discussion</w:t>
      </w:r>
    </w:p>
    <w:bookmarkStart w:id="64"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 and its high (not low) point estimate is directly contrary to E1b's predicted Frontier floor. The actual Frontier I→P effect could be zero, positive, or negative —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 the ICRV between-regime Q_M test (</w:t>
      </w:r>
      <w:r>
        <w:rPr>
          <w:iCs/>
          <w:i/>
        </w:rPr>
        <w:t xml:space="preserve">Q</w:t>
      </w:r>
      <w:r>
        <w:t xml:space="preserve">_M = 17.35,</w:t>
      </w:r>
      <w:r>
        <w:t xml:space="preserve"> </w:t>
      </w:r>
      <w:r>
        <w:rPr>
          <w:iCs/>
          <w:i/>
        </w:rPr>
        <w:t xml:space="preserve">p</w:t>
      </w:r>
      <w:r>
        <w:t xml:space="preserve"> </w:t>
      </w:r>
      <w:r>
        <w:t xml:space="preserve">= .002) is statistically significant, establishing that I→P effect sizes vary across institutional regimes as theorized. The Q_M significance reflects the single-country vs. multi-country distinction rather than a monotone institutional gradient,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 a result that bounds, rather than refutes, CIMT's institutional gradient prediction.</w:t>
      </w:r>
    </w:p>
    <w:bookmarkEnd w:id="64"/>
    <w:bookmarkStart w:id="65"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 τ (</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 from the most globally comprehensive three-level MARA of I→P to date — is the most actionable theoretical contribution: it suggests that the IB literature's widely cited "positive I→P relationship" is partially an artifact of selective publication rather than a robust phenomenon.</w:t>
      </w:r>
    </w:p>
    <w:bookmarkEnd w:id="65"/>
    <w:bookmarkStart w:id="66"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 where positive effects are over-represented —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6"/>
    <w:bookmarkStart w:id="67"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7"/>
    <w:bookmarkEnd w:id="68"/>
    <w:bookmarkStart w:id="69" w:name="X6b297cc947e0db5526be369b1f0f4ddc67b2415"/>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62.4%)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(E1a: Advanced largest; E1b: Frontier smallest) is not meta-analytically confirmable with sparse regime cells (Frontier</w:t>
      </w:r>
      <w:r>
        <w:t xml:space="preserve"> </w:t>
      </w:r>
      <w:r>
        <w:rPr>
          <w:iCs/>
          <w:i/>
        </w:rPr>
        <w:t xml:space="preserve">K</w:t>
      </w:r>
      <w:r>
        <w:t xml:space="preserve"> </w:t>
      </w:r>
      <w:r>
        <w:t xml:space="preserve">= 3),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[0.023, 0.048]) —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62.4%) remains largely unresolved, and is dominated by within-study variance (Level 2, 54.1%) rather than between-study differences (Level 3, 8.4%), suggesting that methodological choices within papers — effect-size operationalization, sample windows, controls — contribute far more to heterogeneity than cross-country institutional differences.</w:t>
      </w:r>
    </w:p>
    <w:p>
      <w:pPr>
        <w:pStyle w:val="BodyText"/>
      </w:pPr>
      <w:r>
        <w:rPr>
          <w:bCs/>
          <w:b/>
        </w:rPr>
        <w:t xml:space="preserve">Limitations.</w:t>
      </w:r>
      <w:r>
        <w:t xml:space="preserve"> </w:t>
      </w:r>
      <w:r>
        <w:t xml:space="preserve">Five inferential constraints bound these conclusions. First, while the omnibus ICRV test is significant, the directional gradient propositions (E1a/E1b) and the cDAI and DPL hypotheses are not confirmed in the current</w:t>
      </w:r>
      <w:r>
        <w:t xml:space="preserve"> </w:t>
      </w:r>
      <w:r>
        <w:rPr>
          <w:iCs/>
          <w:i/>
        </w:rPr>
        <w:t xml:space="preserve">k</w:t>
      </w:r>
      <w:r>
        <w:t xml:space="preserve"> </w:t>
      </w:r>
      <w:r>
        <w:t xml:space="preserve">= 238 working database; for the directional gradient this may reflect insufficient</w:t>
      </w:r>
      <w:r>
        <w:t xml:space="preserve"> </w:t>
      </w:r>
      <w:r>
        <w:rPr>
          <w:iCs/>
          <w:i/>
        </w:rPr>
        <w:t xml:space="preserve">k</w:t>
      </w:r>
      <w:r>
        <w:t xml:space="preserve"> </w:t>
      </w:r>
      <w:r>
        <w:t xml:space="preserve">in the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rather than a genuine absence of any institutional gradient. A formal WoS/Scopus search targeting Frontier and SIDS contexts is required before the gradient null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including one outlier Pouresmaeili et al. 2018) yields an unreliable estimate and is the dominant driver of the significant omnibus</w:t>
      </w:r>
      <w:r>
        <w:t xml:space="preserve"> </w:t>
      </w:r>
      <w:r>
        <w:rPr>
          <w:iCs/>
          <w:i/>
        </w:rPr>
        <w:t xml:space="preserve">Q</w:t>
      </w:r>
      <w:r>
        <w:t xml:space="preserve">_M;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 for instance, from vintage mismatch between the study's data period and the DAI score's reference year —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 with explicit power analysis for each regime cell and OSF pre-registration —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9"/>
    <w:bookmarkStart w:id="7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0"/>
    <w:bookmarkStart w:id="71" w:name="competing-interests"/>
    <w:p>
      <w:pPr>
        <w:pStyle w:val="Heading2"/>
      </w:pPr>
      <w:r>
        <w:t xml:space="preserve">Competing Interests</w:t>
      </w:r>
    </w:p>
    <w:p>
      <w:pPr>
        <w:pStyle w:val="FirstParagraph"/>
      </w:pPr>
      <w:r>
        <w:t xml:space="preserve">The authors declare no conflict of interest.</w:t>
      </w:r>
    </w:p>
    <w:bookmarkEnd w:id="71"/>
    <w:bookmarkStart w:id="7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2"/>
    <w:bookmarkStart w:id="76"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3">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74">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75">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6"/>
    <w:bookmarkStart w:id="77" w:name="appendix-a--prisma-2020-flow-diagram"/>
    <w:p>
      <w:pPr>
        <w:pStyle w:val="Heading2"/>
      </w:pPr>
      <w:r>
        <w:t xml:space="preserve">Appendix A —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IV→performance)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238 (prior DB: k = 238; updated 23/05/2026)</w:t>
      </w:r>
      <w:r>
        <w:br/>
      </w:r>
      <w:r>
        <w:rPr>
          <w:rStyle w:val="VerbatimChar"/>
        </w:rPr>
        <w:t xml:space="preserve">Effect sizes coded:                  K = 288 (prior DB: K = 288; updated 23/05/2026)</w:t>
      </w:r>
      <w:r>
        <w:br/>
      </w:r>
      <w:r>
        <w:br/>
      </w:r>
      <w:r>
        <w:rPr>
          <w:rStyle w:val="VerbatimChar"/>
        </w:rPr>
        <w:t xml:space="preserve">Note: k=238 / K=288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7"/>
    <w:bookmarkStart w:id="78"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8"/>
    <w:bookmarkStart w:id="79"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 within-study</w:t>
            </w:r>
          </w:p>
        </w:tc>
        <w:tc>
          <w:tcPr/>
          <w:p>
            <w:pPr>
              <w:pStyle w:val="Compact"/>
              <w:jc w:val="left"/>
            </w:pPr>
            <w:r>
              <w:t xml:space="preserve">—</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w:t>
            </w:r>
          </w:p>
        </w:tc>
        <w:tc>
          <w:tcPr/>
          <w:p>
            <w:pPr>
              <w:pStyle w:val="Compact"/>
              <w:jc w:val="left"/>
            </w:pPr>
            <w:r>
              <w:t xml:space="preserve">0.00135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 reflects the expanded</w:t>
      </w:r>
      <w:r>
        <w:t xml:space="preserve"> </w:t>
      </w:r>
      <w:r>
        <w:rPr>
          <w:iCs/>
          <w:i/>
        </w:rPr>
        <w:t xml:space="preserve">k</w:t>
      </w:r>
      <w:r>
        <w:t xml:space="preserve"> </w:t>
      </w:r>
      <w:r>
        <w:t xml:space="preserve">= 238 sample and the three-level structure that partitions variance across levels correctly. The narrower 95% CI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79"/>
    <w:bookmarkEnd w:id="8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27" Target="media/rId27.png" /><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2026-05-25T00:23:27Z</dcterms:created>
  <dcterms:modified xsi:type="dcterms:W3CDTF">2026-05-25T00:23:27Z</dcterms:modified>
</cp:coreProperties>
</file>

<file path=docProps/custom.xml><?xml version="1.0" encoding="utf-8"?>
<Properties xmlns="http://schemas.openxmlformats.org/officeDocument/2006/custom-properties" xmlns:vt="http://schemas.openxmlformats.org/officeDocument/2006/docPropsVTypes"/>
</file>