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t xml:space="preserve"> </w:t>
      </w:r>
      <w:r>
        <w:rPr>
          <w:bCs/>
          <w:b/>
        </w:rPr>
        <w:t xml:space="preserve">Target journal:</w:t>
      </w:r>
      <w:r>
        <w:t xml:space="preserve"> </w:t>
      </w:r>
      <w:r>
        <w:t xml:space="preserve">Journal of International Business Studies (JIBS)</w:t>
      </w:r>
      <w:r>
        <w:t xml:space="preserve"> </w:t>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Develops and tests a multi-level integrated account in which the inverted-U I–P relationship is universal in form but its optimum is jointly conditioned by the institutional regime and digital capability. The account predicts three observable firm-level signatures across the Asian and Pacific institutional gradient: a relocated I–P optimum, deepening concavity in weaker-institution regimes, and stronger digital-for-institutional substitution where institutions are weakest.</w:t>
      </w:r>
    </w:p>
    <w:p>
      <w:pPr>
        <w:pStyle w:val="BodyText"/>
      </w:pPr>
      <w:r>
        <w:rPr>
          <w:bCs/>
          <w:b/>
        </w:rPr>
        <w:t xml:space="preserve">Design/methodology/approach.</w:t>
      </w:r>
      <w:r>
        <w:t xml:space="preserve"> </w:t>
      </w:r>
      <w:r>
        <w:t xml:space="preserve">Hierarchical OLS specification ladder (M0–M11) on harmonised World Bank Enterprise Survey microdata covering 45 Asian and Pacific economies and 98 country-year waves (2003–2025); baseline N = 82,302 firm-observations falling to N = 28,500 in the fully specified model. Country and year FE with HC1 robust SE; country-year cluster-robust SE and wild-cluster bootstrap as small-G inference checks. Economies are ordered on the</w:t>
      </w:r>
      <w:r>
        <w:t xml:space="preserve"> </w:t>
      </w:r>
      <w:r>
        <w:rPr>
          <w:iCs/>
          <w:i/>
        </w:rPr>
        <w:t xml:space="preserve">Institutional Context Regime Variation</w:t>
      </w:r>
      <w:r>
        <w:t xml:space="preserve"> </w:t>
      </w:r>
      <w:r>
        <w:t xml:space="preserve">(ICRV) two-axis framework (institutional capability × resource vulnerability).</w:t>
      </w:r>
    </w:p>
    <w:p>
      <w:pPr>
        <w:pStyle w:val="BodyText"/>
      </w:pPr>
      <w:r>
        <w:rPr>
          <w:bCs/>
          <w:b/>
        </w:rPr>
        <w:t xml:space="preserve">Findings.</w:t>
      </w:r>
      <w:r>
        <w:t xml:space="preserve"> </w:t>
      </w:r>
      <w:r>
        <w:t xml:space="preserve">The I–P relationship is robustly inverted-U with TP</w:t>
      </w:r>
      <w:r>
        <w:t xml:space="preserve"> </w:t>
      </w:r>
      <m:oMath>
        <m:r>
          <m:rPr>
            <m:sty m:val="p"/>
          </m:rPr>
          <m:t>≈</m:t>
        </m:r>
      </m:oMath>
      <w:r>
        <w:t xml:space="preserve"> </w:t>
      </w:r>
      <w:r>
        <w:t xml:space="preserve">37 % (Lind–Mehlum p &lt;.001). Concavity deepens as institutional quality declines, sharpening the over-internationalisation penalty in weaker regimes (H5). Digital adoption raises the productivity level and reshapes the curve; the reshaping is stronger where institutions are weaker (</w:t>
      </w:r>
      <m:oMath>
        <m:r>
          <m:rPr>
            <m:nor/>
            <m:sty m:val="p"/>
          </m:rPr>
          <m:t>DAI</m:t>
        </m:r>
        <m:r>
          <m:rPr>
            <m:sty m:val="p"/>
          </m:rPr>
          <m:t>×</m:t>
        </m:r>
        <m:r>
          <m:rPr>
            <m:nor/>
            <m:sty m:val="p"/>
          </m:rPr>
          <m:t>ICRV</m:t>
        </m:r>
      </m:oMath>
      <w:r>
        <w:t xml:space="preserve"> </w:t>
      </w:r>
      <m:oMath>
        <m:r>
          <m:t>β</m:t>
        </m:r>
      </m:oMath>
      <w:r>
        <w:t xml:space="preserve"> </w:t>
      </w:r>
      <w:r>
        <w:t xml:space="preserve">= +0.052, p =.049 in M11), confirming digital-for-institutional substitution (H6). Technological capability lifts the level uniformly across the curve (H2). The three predicted firm-level signatures of the integrated account are all confirmed.</w:t>
      </w:r>
    </w:p>
    <w:p>
      <w:pPr>
        <w:pStyle w:val="BodyText"/>
      </w:pPr>
      <w:r>
        <w:rPr>
          <w:bCs/>
          <w:b/>
        </w:rPr>
        <w:t xml:space="preserve">Research limitations/implications.</w:t>
      </w:r>
      <w:r>
        <w:t xml:space="preserve"> </w:t>
      </w:r>
      <w:r>
        <w:t xml:space="preserve">Cross-sectional design precludes causal identification; the M2 → M11 attrition is concentrated at foreign-ownership and managerial controls and drops the Advanced_resource regime entirely, which the wider-sample H1 robustness offsets. SIDS_small exhibits a monotone-negative slope consistent with the Forced Internationalization Penalty mechanism documented in the SIDS companion paper.</w:t>
      </w:r>
    </w:p>
    <w:p>
      <w:pPr>
        <w:pStyle w:val="BodyText"/>
      </w:pPr>
      <w:r>
        <w:rPr>
          <w:bCs/>
          <w:b/>
        </w:rPr>
        <w:t xml:space="preserve">Practical implications.</w:t>
      </w:r>
      <w:r>
        <w:t xml:space="preserve"> </w:t>
      </w:r>
      <w:r>
        <w:t xml:space="preserve">Locate firms within the ICRV regime space rather than apply uniform export-intensity prescriptions; in weaker-institution regimes the productivity payoff to digital infrastructure investment is larger because it substitutes for missing institutional functions.</w:t>
      </w:r>
    </w:p>
    <w:p>
      <w:pPr>
        <w:pStyle w:val="BodyText"/>
      </w:pPr>
      <w:r>
        <w:rPr>
          <w:bCs/>
          <w:b/>
        </w:rPr>
        <w:t xml:space="preserve">Social implications.</w:t>
      </w:r>
      <w:r>
        <w:t xml:space="preserve"> </w:t>
      </w:r>
      <w:r>
        <w:t xml:space="preserve">The relocated-optimum reading reconciles the fragmented Asian I–P record: divergent country findings locate firms at different positions on one institutionally conditioned curve, not contradictory regularities.</w:t>
      </w:r>
    </w:p>
    <w:p>
      <w:pPr>
        <w:pStyle w:val="BodyText"/>
      </w:pPr>
      <w:r>
        <w:rPr>
          <w:bCs/>
          <w:b/>
        </w:rPr>
        <w:t xml:space="preserve">Originality/value.</w:t>
      </w:r>
      <w:r>
        <w:t xml:space="preserve"> </w:t>
      </w:r>
      <w:r>
        <w:t xml:space="preserve">First firm-level multi-country test of</w:t>
      </w:r>
      <w:r>
        <w:t xml:space="preserve"> </w:t>
      </w:r>
      <w:r>
        <w:rPr>
          <w:bCs/>
          <w:b/>
        </w:rPr>
        <w:t xml:space="preserve">Capability–Institution Mismatch Theory (CIMT)</w:t>
      </w:r>
      <w:r>
        <w:t xml:space="preserve">, a middle-range integrative framework developed by the wider dissertation, on harmonised WBES microdata covering 45 Asian and Pacific economies; introduces the ICRV two-axis ordering as the institutional taxonomy on which CIMT is operationalised and treats firm-level digital-capability moderation (CDCM) as the observable signature of mismatch under digital conditions.</w:t>
      </w:r>
    </w:p>
    <w:p>
      <w:pPr>
        <w:pStyle w:val="BodyText"/>
      </w:pPr>
      <w:r>
        <w:rPr>
          <w:bCs/>
          <w:b/>
        </w:rPr>
        <w:t xml:space="preserve">Keywords:</w:t>
      </w:r>
      <w:r>
        <w:t xml:space="preserve"> </w:t>
      </w:r>
      <w:r>
        <w:t xml:space="preserve">internationalization–performance; inverted-U; relocated optimum; Capability–Institution Mismatch Theory (CIMT); institutional regime; ICRV; digital capability; digital-for-institutional substitution; Asia-Pacific; World Bank Enterprise Surveys</w:t>
      </w:r>
    </w:p>
    <w:p>
      <w:pPr>
        <w:pStyle w:val="BodyText"/>
      </w:pPr>
      <w:r>
        <w:rPr>
          <w:bCs/>
          <w:b/>
        </w:rPr>
        <w:t xml:space="preserve">JEL classification:</w:t>
      </w:r>
      <w:r>
        <w:t xml:space="preserve"> </w:t>
      </w:r>
      <w:r>
        <w:t xml:space="preserve">F23 (multinational firms; international business); O33 (technological change: choices and consequences); O17 (formal and informal sectors; institutional arrangements); D22 (firm behaviour: empirical analysis); L25 (firm performance); O53 (economywide country studies: Asia including Middle East).</w:t>
      </w:r>
    </w:p>
    <w:p>
      <w:pPr>
        <w:pStyle w:val="BodyText"/>
      </w:pPr>
      <w:r>
        <w:rPr>
          <w:bCs/>
          <w:b/>
        </w:rPr>
        <w:t xml:space="preserve">Paper type:</w:t>
      </w:r>
      <w:r>
        <w:t xml:space="preserve"> </w:t>
      </w:r>
      <w:r>
        <w:t xml:space="preserve">Research article (multi-country empirical).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This study pools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The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The contributions of this study are theoretical, not merely empirical. First, this study advances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this study theorises and tests</w:t>
      </w:r>
      <w:r>
        <w:t xml:space="preserve"> </w:t>
      </w:r>
      <w:r>
        <w:rPr>
          <w:iCs/>
          <w:i/>
        </w:rPr>
        <w:t xml:space="preserve">digital-for-institutional substitution</w:t>
      </w:r>
      <w:r>
        <w:t xml:space="preserve">: the curve-reshaping potency of digital adoption is significantly greater where formal institutions are weaker (</w:t>
      </w:r>
      <m:oMath>
        <m:r>
          <m:rPr>
            <m:nor/>
            <m:sty m:val="p"/>
          </m:rPr>
          <m:t>DAI</m:t>
        </m:r>
        <m:r>
          <m:rPr>
            <m:sty m:val="p"/>
          </m:rPr>
          <m:t>×</m:t>
        </m:r>
        <m:r>
          <m:rPr>
            <m:nor/>
            <m:sty m:val="p"/>
          </m:rPr>
          <m:t>ICRV</m:t>
        </m:r>
      </m:oMath>
      <w:r>
        <w:t xml:space="preserve">, p =.049), positioning foundational digital capability as a partial substitute for institutional infrastructure in converting exports into performance, a multi-economy extension of the institutional-voids logic (Khanna &amp; Palepu, 1997) into the digital domain. Third, this study formalises the Institutional Context Regime Variation (ICRV) framework as a firm-relevant contingency construct that orders economies jointly by institutional capability and exposure to resource vulnerability, and shows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35"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This study draws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This study integrates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The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p>
      <w:pPr>
        <w:pStyle w:val="BodyText"/>
      </w:pPr>
      <w:r>
        <w:rPr>
          <w:bCs/>
          <w:b/>
        </w:rPr>
        <w:t xml:space="preserve">ICRV vs prior institutional typologies.</w:t>
      </w:r>
      <w:r>
        <w:t xml:space="preserve"> </w:t>
      </w:r>
      <w:r>
        <w:t xml:space="preserve">ICRV does firm-relevant contingency work that prior typologies leave undone. Region-style emerging-economy partitions (Hoskisson, Eden, Lau, &amp; Wright, 2000) are keyed to entry-mode and diversification questions, not I–P functional form; the institution-based view (Peng, 2003; Wright, Filatotchev, Hoskisson, &amp; Peng, 2005) treats institutional transitions as a third strategic leg but covers the emerging-economy slice rather than the full Asia-Pacific institutional spectrum;</w:t>
      </w:r>
      <w:r>
        <w:t xml:space="preserve"> </w:t>
      </w:r>
      <w:r>
        <w:rPr>
          <w:iCs/>
          <w:i/>
        </w:rPr>
        <w:t xml:space="preserve">Divergent Capitalisms</w:t>
      </w:r>
      <w:r>
        <w:t xml:space="preserve"> </w:t>
      </w:r>
      <w:r>
        <w:t xml:space="preserve">(Whitley, 1999) typologises mature OECD systems and omits the resource-vulnerability axis; mid-range emerging multinationals (Hoskisson, Wright, Filatotchev, &amp; Peng, 2013) name a category that ICRV’s Group III–IV explicitly captures and predicts (H5); and the uncertainty-management capability (Cuervo-Cazurra, Ciravegna, Melgarejo, &amp; Lopez, 2017) operates at the firm-capability level, complementary to ICRV’s regime-level positioning of institutional uncertainty. ICRV’s contribution is therefore the joint two-axis ordering and the explicit firm-level performance-curve mapping; the prior typologies and ICRV are nested rather than competing.</w:t>
      </w:r>
    </w:p>
    <w:p>
      <w:pPr>
        <w:pStyle w:val="BodyText"/>
      </w:pPr>
      <w:r>
        <w:rPr>
          <w:bCs/>
          <w:b/>
        </w:rPr>
        <w:t xml:space="preserve">Capability–Institution Mismatch Theory (CIMT): three channels.</w:t>
      </w:r>
      <w:r>
        <w:t xml:space="preserve"> </w:t>
      </w:r>
      <w:r>
        <w:t xml:space="preserve">This paper draws on</w:t>
      </w:r>
      <w:r>
        <w:t xml:space="preserve"> </w:t>
      </w:r>
      <w:r>
        <w:rPr>
          <w:bCs/>
          <w:b/>
        </w:rPr>
        <w:t xml:space="preserve">Capability–Institution Mismatch Theory (CIMT)</w:t>
      </w:r>
      <w:r>
        <w:t xml:space="preserve">, a middle-range integrative framework (Merton, 1968; Whetten, 1989; Corley &amp; Gioia, 2011) that the wider dissertation develops to explain why the productivity payoff to internationalization varies systematically across institutional regimes when firm capabilities are</w:t>
      </w:r>
      <w:r>
        <w:t xml:space="preserve"> </w:t>
      </w:r>
      <w:r>
        <w:rPr>
          <w:iCs/>
          <w:i/>
        </w:rPr>
        <w:t xml:space="preserve">out of phase</w:t>
      </w:r>
      <w:r>
        <w:t xml:space="preserve"> </w:t>
      </w:r>
      <w:r>
        <w:t xml:space="preserve">with the host-country institutional environment. CIMT is not advanced as a novel grand theory; it synthesises three established channels into a single mechanism testable on harmonised firm-level microdata. First,</w:t>
      </w:r>
      <w:r>
        <w:t xml:space="preserve"> </w:t>
      </w:r>
      <w:r>
        <w:rPr>
          <w:iCs/>
          <w:i/>
        </w:rPr>
        <w:t xml:space="preserve">rent protection</w:t>
      </w:r>
      <w:r>
        <w:t xml:space="preserve">: in high-quality institutional environments (ICRV Group I–II), strong intellectual property protection and contract enforcement preserve proprietary rents (Kogut &amp; Zander, 1993; Zaheer, 1995), so capabilities translate efficiently into appropriable performance. Second,</w:t>
      </w:r>
      <w:r>
        <w:t xml:space="preserve"> </w:t>
      </w:r>
      <w:r>
        <w:rPr>
          <w:iCs/>
          <w:i/>
        </w:rPr>
        <w:t xml:space="preserve">liability-of-foreignness attenuation</w:t>
      </w:r>
      <w:r>
        <w:t xml:space="preserve">: transparent regulation and low corruption shrink the information asymmetries that generate LoF (Zaheer, 1995; Peng, Wang, &amp; Jiang, 2008), letting capable firms capture a larger share of cross-border productivity gains. Third,</w:t>
      </w:r>
      <w:r>
        <w:t xml:space="preserve"> </w:t>
      </w:r>
      <w:r>
        <w:rPr>
          <w:iCs/>
          <w:i/>
        </w:rPr>
        <w:t xml:space="preserve">institutional-void amplification</w:t>
      </w:r>
      <w:r>
        <w:t xml:space="preserve">: in weak environments (Group IV–VI), firms must invest in substitute governance (Khanna &amp; Palepu, 1997, 2010) that absorbs managerial attention and depresses net returns, so the same capability stock generates a smaller productivity dividend. Read jointly, these channels predict three observable firm-level signatures the M2–M11 ladder is designed to test: (a) a</w:t>
      </w:r>
      <w:r>
        <w:t xml:space="preserve"> </w:t>
      </w:r>
      <w:r>
        <w:rPr>
          <w:iCs/>
          <w:i/>
        </w:rPr>
        <w:t xml:space="preserve">relocated</w:t>
      </w:r>
      <w:r>
        <w:t xml:space="preserve"> </w:t>
      </w:r>
      <w:r>
        <w:t xml:space="preserve">I–P optimum migrating leftward as institutional quality declines (H5); (b)</w:t>
      </w:r>
      <w:r>
        <w:t xml:space="preserve"> </w:t>
      </w:r>
      <w:r>
        <w:rPr>
          <w:iCs/>
          <w:i/>
        </w:rPr>
        <w:t xml:space="preserve">deeper concavity</w:t>
      </w:r>
      <w:r>
        <w:t xml:space="preserve"> </w:t>
      </w:r>
      <w:r>
        <w:t xml:space="preserve">in weaker-institution regimes (H5); and (c)</w:t>
      </w:r>
      <w:r>
        <w:t xml:space="preserve"> </w:t>
      </w:r>
      <w:r>
        <w:rPr>
          <w:iCs/>
          <w:i/>
        </w:rPr>
        <w:t xml:space="preserve">stronger digital-for-institutional substitution</w:t>
      </w:r>
      <w:r>
        <w:t xml:space="preserve"> </w:t>
      </w:r>
      <w:r>
        <w:t xml:space="preserve">where institutions are weakest (H6), as foundational digital infrastructure substitutes for the contract-enforcement, market-information, and coordination functions strong institutions otherwise supply. The empirical contribution is to identify these three signatures jointly on harmonised microdata from 82,302 firm-observations across 45 institutionally heterogeneous economies.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=.545). For Singapore (companion study), the relationship is predominantly positive with a very late turning point (~82%), consistent with near-monotonic returns in a high-institutional, digitally saturated economy. Pooled across a much larger and institutionally heterogeneous sample, this study expects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this study expects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beyond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This study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w:t>
      </w:r>
      <m:oMath>
        <m:r>
          <m:t>β</m:t>
        </m:r>
      </m:oMath>
      <w:r>
        <w:t xml:space="preserve">(TCI) = +0.179, IV-identified) and the companion China study (</w:t>
      </w:r>
      <m:oMath>
        <m:r>
          <m:t>β</m:t>
        </m:r>
      </m:oMath>
      <w:r>
        <w:t xml:space="preserve">(TCI)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Specifically, in institutionally advanced economies where digital infrastructure is mature, DAI provides universal performance lifts (as in the companion Singapore study:</w:t>
      </w:r>
      <w:r>
        <w:t xml:space="preserve"> </w:t>
      </w:r>
      <m:oMath>
        <m:r>
          <m:t>β</m:t>
        </m:r>
      </m:oMath>
      <w:r>
        <w:t xml:space="preserve">(DAI) positive and significant). In emerging-economy contexts with substantial selection into digital adoption (the companion Vietnam study: IV-estimated</w:t>
      </w:r>
      <w:r>
        <w:t xml:space="preserve"> </w:t>
      </w:r>
      <m:oMath>
        <m:r>
          <m:t>β</m:t>
        </m:r>
      </m:oMath>
      <w:r>
        <w:t xml:space="preserve">(DAI)</w:t>
      </w:r>
      <w:r>
        <w:t xml:space="preserve"> </w:t>
      </w:r>
      <m:oMath>
        <m:r>
          <m:rPr>
            <m:sty m:val="p"/>
          </m:rPr>
          <m:t>≈</m:t>
        </m:r>
      </m:oMath>
      <w:r>
        <w:t xml:space="preserve"> </w:t>
      </w:r>
      <w:r>
        <w:t xml:space="preserve">0, consistent with selection bias in OLS), DAI’s curve-shaping role is attenuated. Across the pooled multi-economy sample, this study expects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w:t>
      </w:r>
      <w:r>
        <w:t xml:space="preserve"> </w:t>
      </w:r>
      <m:oMath>
        <m:r>
          <m:rPr>
            <m:nor/>
            <m:sty m:val="p"/>
          </m:rPr>
          <m:t>FSTS</m:t>
        </m:r>
        <m:r>
          <m:rPr>
            <m:sty m:val="p"/>
          </m:rPr>
          <m:t>×</m:t>
        </m:r>
        <m:r>
          <m:rPr>
            <m:nor/>
            <m:sty m:val="p"/>
          </m:rPr>
          <m:t>DAI</m:t>
        </m:r>
      </m:oMath>
      <w:r>
        <w:t xml:space="preserve"> </w:t>
      </w:r>
      <w:r>
        <w:t xml:space="preserve">interaction paired with a positive</w:t>
      </w:r>
      <w:r>
        <w:t xml:space="preserve"> </w:t>
      </w:r>
      <m:oMath>
        <m:sSup>
          <m:e>
            <m:r>
              <m:rPr>
                <m:nor/>
                <m:sty m:val="p"/>
              </m:rPr>
              <m:t>FSTS</m:t>
            </m:r>
          </m:e>
          <m:sup>
            <m:r>
              <m:t>2</m:t>
            </m:r>
          </m:sup>
        </m:sSup>
        <m:r>
          <m:rPr>
            <m:sty m:val="p"/>
          </m:rPr>
          <m:t>×</m:t>
        </m:r>
        <m:r>
          <m:rPr>
            <m:nor/>
            <m:sty m:val="p"/>
          </m:rPr>
          <m:t>DAI</m:t>
        </m:r>
      </m:oMath>
      <w:r>
        <w:t xml:space="preserve"> </w:t>
      </w:r>
      <w:r>
        <w:t xml:space="preserve">interaction, admits two non-exclusive readings that the present design cannot fully separate, and this study flags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this study returns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This study expects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This study operationalises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this study states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This study expects positive</w:t>
      </w:r>
      <w:r>
        <w:t xml:space="preserve"> </w:t>
      </w:r>
      <m:oMath>
        <m:r>
          <m:rPr>
            <m:nor/>
            <m:sty m:val="p"/>
          </m:rPr>
          <m:t>FSTS</m:t>
        </m:r>
        <m:r>
          <m:rPr>
            <m:sty m:val="p"/>
          </m:rPr>
          <m:t>×</m:t>
        </m:r>
        <m:r>
          <m:rPr>
            <m:nor/>
            <m:sty m:val="p"/>
          </m:rPr>
          <m:t>ICRV</m:t>
        </m:r>
      </m:oMath>
      <w:r>
        <w:t xml:space="preserve"> </w:t>
      </w:r>
      <w:r>
        <w:t xml:space="preserve">and negative</w:t>
      </w:r>
      <w:r>
        <w:t xml:space="preserve"> </w:t>
      </w:r>
      <m:oMath>
        <m:sSup>
          <m:e>
            <m:r>
              <m:rPr>
                <m:nor/>
                <m:sty m:val="p"/>
              </m:rPr>
              <m:t>FSTS</m:t>
            </m:r>
          </m:e>
          <m:sup>
            <m:r>
              <m:t>2</m:t>
            </m:r>
          </m:sup>
        </m:sSup>
        <m:r>
          <m:rPr>
            <m:sty m:val="p"/>
          </m:rPr>
          <m:t>×</m:t>
        </m:r>
        <m:r>
          <m:rPr>
            <m:nor/>
            <m:sty m:val="p"/>
          </m:rPr>
          <m:t>ICRV</m:t>
        </m:r>
      </m:oMath>
      <w:r>
        <w:t xml:space="preserve"> </w:t>
      </w:r>
      <w:r>
        <w:t xml:space="preserve">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34" w:name="regime-contingent-digital-effects-h6"/>
    <w:p>
      <w:pPr>
        <w:pStyle w:val="Heading3"/>
      </w:pPr>
      <w:r>
        <w:t xml:space="preserve">2.7 Regime-Contingent Digital Effects (H6)</w:t>
      </w:r>
    </w:p>
    <w:p>
      <w:pPr>
        <w:pStyle w:val="FirstParagraph"/>
      </w:pPr>
      <w:r>
        <w:t xml:space="preserve">CDCM predicts that the I–P curve-reshaping role of digital adoption is not uniform across institutional environments. In advanced economies (ICRV Group I–II) digital infrastructure is near-universal, so the marginal performance differentiation from website and e-payment adoption is low. In weaker economies (ICRV Group IV–VI) digital adoption remains differentiating: digital market-access tools lower LoF costs and provide cross-border coordination that institutional voids cannot substitute. The</w:t>
      </w:r>
      <w:r>
        <w:t xml:space="preserve"> </w:t>
      </w:r>
      <m:oMath>
        <m:r>
          <m:rPr>
            <m:nor/>
            <m:sty m:val="p"/>
          </m:rPr>
          <m:t>DAI</m:t>
        </m:r>
        <m:r>
          <m:rPr>
            <m:sty m:val="p"/>
          </m:rPr>
          <m:t>×</m:t>
        </m:r>
        <m:r>
          <m:rPr>
            <m:nor/>
            <m:sty m:val="p"/>
          </m:rPr>
          <m:t>ICRV</m:t>
        </m:r>
      </m:oMath>
      <w:r>
        <w:t xml:space="preserve"> </w:t>
      </w:r>
      <w:r>
        <w:t xml:space="preserve">interaction therefore tests whether the curve-reshaping potency established in H3 varies systematically across the institutional spectrum.</w:t>
      </w:r>
    </w:p>
    <w:p>
      <w:pPr>
        <w:pStyle w:val="BodyText"/>
      </w:pPr>
      <w:r>
        <w:t xml:space="preserve">This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H6 predicts a stronger</w:t>
      </w:r>
      <w:r>
        <w:t xml:space="preserve"> </w:t>
      </w:r>
      <w:r>
        <w:rPr>
          <w:iCs/>
          <w:i/>
        </w:rPr>
        <w:t xml:space="preserve">curve-shaping</w:t>
      </w:r>
      <w:r>
        <w:t xml:space="preserve"> </w:t>
      </w:r>
      <w:r>
        <w:t xml:space="preserve">interaction between digital adoption and export intensity in weaker-institution contexts, not stronger</w:t>
      </w:r>
      <w:r>
        <w:t xml:space="preserve"> </w:t>
      </w:r>
      <w:r>
        <w:rPr>
          <w:iCs/>
          <w:i/>
        </w:rPr>
        <w:t xml:space="preserve">level</w:t>
      </w:r>
      <w:r>
        <w:t xml:space="preserve"> </w:t>
      </w:r>
      <w:r>
        <w:t xml:space="preserve">effects (which could reflect many confounds).</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pPr>
        <w:pStyle w:val="CaptionedFigure"/>
      </w:pPr>
      <w:r>
        <w:drawing>
          <wp:inline>
            <wp:extent cx="5753100" cy="3576973"/>
            <wp:effectExtent b="0" l="0" r="0" t="0"/>
            <wp:docPr descr="Figure 1: Conceptual model, relocated-optimum + digital-for-institutional substitution across 45 Asian and Pacific economies" title="" id="29" name="Picture"/>
            <a:graphic>
              <a:graphicData uri="http://schemas.openxmlformats.org/drawingml/2006/picture">
                <pic:pic>
                  <pic:nvPicPr>
                    <pic:cNvPr descr="figures/figure_1_conceptual_model.png" id="30" name="Picture"/>
                    <pic:cNvPicPr>
                      <a:picLocks noChangeArrowheads="1" noChangeAspect="1"/>
                    </pic:cNvPicPr>
                  </pic:nvPicPr>
                  <pic:blipFill>
                    <a:blip r:embed="rId28"/>
                    <a:stretch>
                      <a:fillRect/>
                    </a:stretch>
                  </pic:blipFill>
                  <pic:spPr bwMode="auto">
                    <a:xfrm>
                      <a:off x="0" y="0"/>
                      <a:ext cx="5753100" cy="3576973"/>
                    </a:xfrm>
                    <a:prstGeom prst="rect">
                      <a:avLst/>
                    </a:prstGeom>
                    <a:noFill/>
                    <a:ln w="9525">
                      <a:noFill/>
                      <a:headEnd/>
                      <a:tailEnd/>
                    </a:ln>
                  </pic:spPr>
                </pic:pic>
              </a:graphicData>
            </a:graphic>
          </wp:inline>
        </w:drawing>
      </w:r>
    </w:p>
    <w:p>
      <w:pPr>
        <w:pStyle w:val="ImageCaption"/>
      </w:pPr>
      <w:r>
        <w:t xml:space="preserve">Figure 1: Conceptual model, relocated-optimum + digital-for-institutional substitution across 45 Asian and Pacific economies</w:t>
      </w:r>
    </w:p>
    <w:p>
      <w:pPr>
        <w:pStyle w:val="BodyText"/>
      </w:pPr>
      <w:r>
        <w:rPr>
          <w:iCs/>
          <w:i/>
        </w:rPr>
        <w:t xml:space="preserve">Figure 1.</w:t>
      </w:r>
      <w:r>
        <w:t xml:space="preserve"> </w:t>
      </w:r>
      <w:r>
        <w:t xml:space="preserve">Conceptual model integrating the six hypotheses developed in §2. The inverted-U I–P relationship (H1) is universal in</w:t>
      </w:r>
      <w:r>
        <w:t xml:space="preserve"> </w:t>
      </w:r>
      <w:r>
        <w:rPr>
          <w:iCs/>
          <w:i/>
        </w:rPr>
        <w:t xml:space="preserve">form</w:t>
      </w:r>
      <w:r>
        <w:t xml:space="preserve"> </w:t>
      </w:r>
      <w:r>
        <w:t xml:space="preserve">but its</w:t>
      </w:r>
      <w:r>
        <w:t xml:space="preserve"> </w:t>
      </w:r>
      <w:r>
        <w:rPr>
          <w:iCs/>
          <w:i/>
        </w:rPr>
        <w:t xml:space="preserve">optimum</w:t>
      </w:r>
      <w:r>
        <w:t xml:space="preserve"> </w:t>
      </w:r>
      <w:r>
        <w:t xml:space="preserve">is jointly determined by two axes: the Institutional Context Regime Variation (ICRV) regime (H5</w:t>
      </w:r>
      <w:r>
        <w:t xml:space="preserve"> </w:t>
      </w:r>
      <w:r>
        <w:rPr>
          <w:iCs/>
          <w:i/>
        </w:rPr>
        <w:t xml:space="preserve">relocates</w:t>
      </w:r>
      <w:r>
        <w:t xml:space="preserve"> </w:t>
      </w:r>
      <w:r>
        <w:t xml:space="preserve">the turning point along the FSTS axis, deepening concavity as institutional quality declines) and digital capability (H3 reshapes the curve; H6 amplifies this reshaping where institutions are weaker — the</w:t>
      </w:r>
      <w:r>
        <w:t xml:space="preserve"> </w:t>
      </w:r>
      <w:r>
        <w:rPr>
          <w:iCs/>
          <w:i/>
        </w:rPr>
        <w:t xml:space="preserve">digital-for-institutional substitution</w:t>
      </w:r>
      <w:r>
        <w:t xml:space="preserve"> </w:t>
      </w:r>
      <w:r>
        <w:t xml:space="preserve">hypothesis). Firm capabilities enter on a second axis: technological capability (H2) operates as a curve</w:t>
      </w:r>
      <w:r>
        <w:t xml:space="preserve"> </w:t>
      </w:r>
      <w:r>
        <w:rPr>
          <w:iCs/>
          <w:i/>
        </w:rPr>
        <w:t xml:space="preserve">amplifier</w:t>
      </w:r>
      <w:r>
        <w:t xml:space="preserve"> </w:t>
      </w:r>
      <w:r>
        <w:t xml:space="preserve">and managerial characteristics (H4) lift the performance</w:t>
      </w:r>
      <w:r>
        <w:t xml:space="preserve"> </w:t>
      </w:r>
      <w:r>
        <w:rPr>
          <w:iCs/>
          <w:i/>
        </w:rPr>
        <w:t xml:space="preserve">level</w:t>
      </w:r>
      <w:r>
        <w:t xml:space="preserve"> </w:t>
      </w:r>
      <w:r>
        <w:t xml:space="preserve">without reshaping the curve. The contrast between optimum-relocating forces (ICRV + DAI) and firm-capability forces (TCI + managerial) is the analytical spine of the model. Data: WBES, 45 economies, 2003–2025, N = 82,302 firm-observations (M2) → 28,500 (M11 fully specified).</w:t>
      </w:r>
    </w:p>
    <w:p>
      <w:pPr>
        <w:pStyle w:val="CaptionedFigure"/>
      </w:pPr>
      <w:r>
        <w:drawing>
          <wp:inline>
            <wp:extent cx="5753100" cy="2264391"/>
            <wp:effectExtent b="0" l="0" r="0" t="0"/>
            <wp:docPr descr="Figure 2: ICRV regime gradient, distribution of 45 economies across the six institutional groups" title="" id="32" name="Picture"/>
            <a:graphic>
              <a:graphicData uri="http://schemas.openxmlformats.org/drawingml/2006/picture">
                <pic:pic>
                  <pic:nvPicPr>
                    <pic:cNvPr descr="figures/figure_2_icrv_gradient.png" id="33" name="Picture"/>
                    <pic:cNvPicPr>
                      <a:picLocks noChangeArrowheads="1" noChangeAspect="1"/>
                    </pic:cNvPicPr>
                  </pic:nvPicPr>
                  <pic:blipFill>
                    <a:blip r:embed="rId31"/>
                    <a:stretch>
                      <a:fillRect/>
                    </a:stretch>
                  </pic:blipFill>
                  <pic:spPr bwMode="auto">
                    <a:xfrm>
                      <a:off x="0" y="0"/>
                      <a:ext cx="5753100" cy="2264391"/>
                    </a:xfrm>
                    <a:prstGeom prst="rect">
                      <a:avLst/>
                    </a:prstGeom>
                    <a:noFill/>
                    <a:ln w="9525">
                      <a:noFill/>
                      <a:headEnd/>
                      <a:tailEnd/>
                    </a:ln>
                  </pic:spPr>
                </pic:pic>
              </a:graphicData>
            </a:graphic>
          </wp:inline>
        </w:drawing>
      </w:r>
    </w:p>
    <w:p>
      <w:pPr>
        <w:pStyle w:val="ImageCaption"/>
      </w:pPr>
      <w:r>
        <w:t xml:space="preserve">Figure 2: ICRV regime gradient, distribution of 45 economies across the six institutional groups</w:t>
      </w:r>
    </w:p>
    <w:p>
      <w:pPr>
        <w:pStyle w:val="BodyText"/>
      </w:pPr>
      <w:r>
        <w:rPr>
          <w:iCs/>
          <w:i/>
        </w:rPr>
        <w:t xml:space="preserve">Figure 2.</w:t>
      </w:r>
      <w:r>
        <w:t xml:space="preserve"> </w:t>
      </w:r>
      <w:r>
        <w:t xml:space="preserve">ICRV gradient. Distribution of the 45 Asian and Pacific economies in the analytic sample across the six ICRV groups, ordered by combined institutional capability (formal-institutional quality per WGI Rule of Law) and resource vulnerability (exposure to external shocks and narrow factor endowments). Group I (Advanced innovation-driven: Singapore, Korea, Taiwan, HongKong, Israel) → Group VI (SIDS and small open economies: Vanuatu, Solomon Islands, Timor-Leste, Fiji, Tonga, Samoa, Kiribati, Papua New Guinea). Higher ICRV group numbers denote weaker institutions. The gradient is used in H5 (deepening concavity → relocated optimum) and H6 (regime-contingent digital effects). Group classification anchored on World Bank WGI thresholds (+0.80 / -0.50 cut-offs) and validated against the broader research programme’s ICRV codebook.</w:t>
      </w:r>
    </w:p>
    <w:p>
      <w:r>
        <w:pict>
          <v:rect style="width:0;height:1.5pt" o:hralign="center" o:hrstd="t" o:hr="t"/>
        </w:pict>
      </w:r>
    </w:p>
    <w:bookmarkEnd w:id="34"/>
    <w:bookmarkEnd w:id="35"/>
    <w:bookmarkStart w:id="41" w:name="data-and-methods"/>
    <w:p>
      <w:pPr>
        <w:pStyle w:val="Heading2"/>
      </w:pPr>
      <w:r>
        <w:t xml:space="preserve">3. Data and Methods</w:t>
      </w:r>
    </w:p>
    <w:bookmarkStart w:id="36" w:name="data-source"/>
    <w:p>
      <w:pPr>
        <w:pStyle w:val="Heading3"/>
      </w:pPr>
      <w:r>
        <w:t xml:space="preserve">3.1 Data Source</w:t>
      </w:r>
    </w:p>
    <w:p>
      <w:pPr>
        <w:pStyle w:val="FirstParagraph"/>
      </w:pPr>
      <w:r>
        <w:rPr>
          <w:bCs/>
          <w:b/>
        </w:rPr>
        <w:t xml:space="preserve">Companion-paper disclosure.</w:t>
      </w:r>
      <w:r>
        <w:t xml:space="preserve"> </w:t>
      </w:r>
      <w:r>
        <w:t xml:space="preserve">Throughout the paper this study makes repeated reference to</w:t>
      </w:r>
      <w:r>
        <w:t xml:space="preserve"> </w:t>
      </w:r>
      <w:r>
        <w:t xml:space="preserve">“</w:t>
      </w:r>
      <w:r>
        <w:t xml:space="preserve">the companion Vietnam study,</w:t>
      </w:r>
      <w:r>
        <w:t xml:space="preserve">”</w:t>
      </w:r>
      <w:r>
        <w:t xml:space="preserve"> </w:t>
      </w:r>
      <w:r>
        <w:t xml:space="preserve">“</w:t>
      </w:r>
      <w:r>
        <w:t xml:space="preserve">the companion China study,</w:t>
      </w:r>
      <w:r>
        <w:t xml:space="preserve">”</w:t>
      </w:r>
      <w:r>
        <w:t xml:space="preserve"> </w:t>
      </w:r>
      <w:r>
        <w:t xml:space="preserve">and</w:t>
      </w:r>
      <w:r>
        <w:t xml:space="preserve"> </w:t>
      </w:r>
      <w:r>
        <w:t xml:space="preserve">“</w:t>
      </w:r>
      <w:r>
        <w:t xml:space="preserve">the companion Singapore study.</w:t>
      </w:r>
      <w:r>
        <w:t xml:space="preserve">”</w:t>
      </w:r>
      <w:r>
        <w:t xml:space="preserve"> </w:t>
      </w:r>
      <w:r>
        <w:t xml:space="preserve">These are three single-country working papers prepared by the present author group on the same WBES data infrastructure, each tested as a stand-alone analysis under blinded peer review at separate journals. They are referred to with the</w:t>
      </w:r>
      <w:r>
        <w:t xml:space="preserve"> </w:t>
      </w:r>
      <w:r>
        <w:rPr>
          <w:iCs/>
          <w:i/>
        </w:rPr>
        <w:t xml:space="preserve">companion</w:t>
      </w:r>
      <w:r>
        <w:t xml:space="preserve"> </w:t>
      </w:r>
      <w:r>
        <w:t xml:space="preserve">label rather than cited as Author Citations because (a) the present manuscript is under blinded review and the author identities are masked, and (b) the country-specific findings are stable inputs the present analysis discusses but does not re-derive. This study flags the relationship rather than conceal it so that readers may interpret the cross-paper consistency claims with appropriate caution: the country comparators are drawn from the present study’s own research programme, not from independent third-party replications.</w:t>
      </w:r>
    </w:p>
    <w:p>
      <w:pPr>
        <w:pStyle w:val="BodyText"/>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This study uses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This study adopts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this study excludes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6"/>
    <w:bookmarkStart w:id="37"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w:t>
      </w:r>
      <m:oMath>
        <m:sSub>
          <m:e>
            <m:r>
              <m:rPr>
                <m:nor/>
                <m:sty m:val="p"/>
              </m:rPr>
              <m:t>FSTS</m:t>
            </m:r>
          </m:e>
          <m:sub>
            <m:r>
              <m:t>c</m:t>
            </m:r>
          </m:sub>
        </m:sSub>
      </m:oMath>
      <w:r>
        <w:t xml:space="preserve">); the quadratic term</w:t>
      </w:r>
      <w:r>
        <w:t xml:space="preserve"> </w:t>
      </w:r>
      <m:oMath>
        <m:sSubSup>
          <m:e>
            <m:r>
              <m:rPr>
                <m:nor/>
                <m:sty m:val="p"/>
              </m:rPr>
              <m:t>FSTS</m:t>
            </m:r>
          </m:e>
          <m:sub>
            <m:r>
              <m:t>c</m:t>
            </m:r>
          </m:sub>
          <m:sup>
            <m:r>
              <m:t>2</m:t>
            </m:r>
          </m:sup>
        </m:sSubSup>
      </m:oMath>
      <w:r>
        <w:t xml:space="preserve"> </w:t>
      </w:r>
      <w:r>
        <w:t xml:space="preserve">is computed from the centred value.</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p>
      <w:pPr>
        <w:pStyle w:val="BodyText"/>
      </w:pPr>
      <w:r>
        <w:rPr>
          <w:bCs/>
          <w:b/>
        </w:rPr>
        <w:t xml:space="preserve">ICRV coding validation against the WGI Rule of Law.</w:t>
      </w:r>
      <w:r>
        <w:t xml:space="preserve"> </w:t>
      </w:r>
      <w:r>
        <w:t xml:space="preserve">Each of the 45 economies is assigned to one of six ICRV groups using a two-step procedure that anchors the classification on a publicly verifiable institutional metric. Step 1 applies the World Bank Worldwide Governance Indicators (WGI) Rule of Law z-score (Kaufmann, Kraay and Mastruzzi, 2011; World Bank, 2024) as the primary continuous criterion: economies with WGI Rule of Law ≥ +0.80 are eligible for Group I (Advanced innovation-driven); those with WGI ≥ +0.30 for Group II (Advanced resource / Upper-middle institutional); those with WGI ∈ [-0.20, +0.30) for Group III (Emerging); WGI ∈ [-0.50, -0.20) for Group IV (Lower-middle transition); WGI &lt; -0.50 for Group V (Frontier). Step 2 applies a resource-vulnerability adjustment per the Briguglio (1995) economic-vulnerability index for Group VI assignment (SIDS and small open economies) regardless of the Step 1 WGI position, because the SIDS structural prerequisite-violation mechanism (developed independently in the companion paper) reshapes the I–P relationship at the regime level (see §2.6 H5 logic). The Step 2 SIDS adjustment moves Fiji, Kiribati, Papua New Guinea, Samoa, Solomon Islands, Timor-Leste, Tonga, and Vanuatu (and Comoros for the Indian-Ocean extension in the companion P8) from their Step 1 WGI-only assignment to Group VI. The combined two-step classification reproduces an ordered ICRV gradient with WGI Rule of Law thresholds documented above; the gradient is monotonic across Groups I → V on the institutional-capability axis and orthogonal on the resource-vulnerability axis at Group VI. Country-to-group assignments are reproducible from any analyst with public WGI data; the codebook table (45 economies × ICRV group × WGI Rule of Law value × resource-vulnerability flag) is provided in the replication package as</w:t>
      </w:r>
      <w:r>
        <w:t xml:space="preserve"> </w:t>
      </w:r>
      <w:r>
        <w:rPr>
          <w:rStyle w:val="VerbatimChar"/>
        </w:rPr>
        <w:t xml:space="preserve">p7/replication/data/icrv_codebook.csv</w:t>
      </w:r>
      <w:r>
        <w:t xml:space="preserve"> </w:t>
      </w:r>
      <w:r>
        <w:t xml:space="preserve">(to be deposited with the manuscript). The ICRV gradient validation against alternative institutional indicators (WGI Control of Corruption, Government Effectiveness, Regulatory Quality) is included as a robustness analysis in the OSF deposit; the ordering across the six groups is preserved under each alternative WGI sub-indicator (correlation with Rule of Law ≥ +0.85 across all four).</w:t>
      </w:r>
    </w:p>
    <w:bookmarkEnd w:id="37"/>
    <w:bookmarkStart w:id="38" w:name="estimation-strategy"/>
    <w:p>
      <w:pPr>
        <w:pStyle w:val="Heading3"/>
      </w:pPr>
      <w:r>
        <w:t xml:space="preserve">3.3 Estimation Strategy</w:t>
      </w:r>
    </w:p>
    <w:p>
      <w:pPr>
        <w:pStyle w:val="FirstParagraph"/>
      </w:pPr>
      <w:r>
        <w:t xml:space="preserve">The analysis estimates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and (b) the turning point lies strictly within the observed FSTS range, and (c) the slope at the extremes satisfies the directional prediction. The analysis reports the turning point as: TP = −</w:t>
      </w:r>
      <m:oMath>
        <m:sSub>
          <m:e>
            <m:r>
              <m:t>β</m:t>
            </m:r>
          </m:e>
          <m:sub>
            <m:r>
              <m:t>1</m:t>
            </m:r>
          </m:sub>
        </m:sSub>
      </m:oMath>
      <w:r>
        <w:t xml:space="preserve"> </w:t>
      </w:r>
      <w:r>
        <w:t xml:space="preserve">/ (2</w:t>
      </w:r>
      <m:oMath>
        <m:sSub>
          <m:e>
            <m:r>
              <m:t>β</m:t>
            </m:r>
          </m:e>
          <m:sub>
            <m:r>
              <m:t>2</m:t>
            </m:r>
          </m:sub>
        </m:sSub>
      </m:oMath>
      <w:r>
        <w:t xml:space="preserve">) + mean(FSTS), where</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are estimated on the mean-centred</w:t>
      </w:r>
      <w:r>
        <w:t xml:space="preserve"> </w:t>
      </w:r>
      <m:oMath>
        <m:sSub>
          <m:e>
            <m:r>
              <m:rPr>
                <m:nor/>
                <m:sty m:val="p"/>
              </m:rPr>
              <m:t>FSTS</m:t>
            </m:r>
          </m:e>
          <m:sub>
            <m:r>
              <m:t>c</m:t>
            </m:r>
          </m:sub>
        </m:sSub>
      </m:oMath>
      <w:r>
        <w:t xml:space="preserve"> </w:t>
      </w:r>
      <w:r>
        <w:t xml:space="preserve">scale and the result is expressed as a proportion (0–1) of total sales.</w:t>
      </w:r>
    </w:p>
    <w:p>
      <w:pPr>
        <w:pStyle w:val="BodyText"/>
      </w:pPr>
      <w:r>
        <w:t xml:space="preserve">For moderation tests (M7–M11), this study includes interaction terms FSTS</w:t>
      </w:r>
      <m:oMath>
        <m:r>
          <m:rPr>
            <m:sty m:val="p"/>
          </m:rPr>
          <m:t>×</m:t>
        </m:r>
      </m:oMath>
      <w:r>
        <w:t xml:space="preserve">moderator and</w:t>
      </w:r>
      <w:r>
        <w:t xml:space="preserve"> </w:t>
      </w:r>
      <m:oMath>
        <m:sSup>
          <m:e>
            <m:r>
              <m:rPr>
                <m:nor/>
                <m:sty m:val="p"/>
              </m:rPr>
              <m:t>FSTS</m:t>
            </m:r>
          </m:e>
          <m:sup>
            <m:r>
              <m:t>2</m:t>
            </m:r>
          </m:sup>
        </m:sSup>
      </m:oMath>
      <m:oMath>
        <m:r>
          <m:rPr>
            <m:sty m:val="p"/>
          </m:rPr>
          <m:t>×</m:t>
        </m:r>
      </m:oMath>
      <w:r>
        <w:t xml:space="preserve">moderator. The joint significance of the two interaction terms is tested with an F-test; the analysis reports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this study adopts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this study records as a boundary on causal interpretation.</w:t>
      </w:r>
    </w:p>
    <w:bookmarkEnd w:id="38"/>
    <w:bookmarkStart w:id="39"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w:t>
      </w:r>
      <w:r>
        <w:t xml:space="preserve"> </w:t>
      </w:r>
      <m:oMath>
        <m:r>
          <m:rPr>
            <m:sty m:val="p"/>
          </m:rPr>
          <m:t>≈</m:t>
        </m:r>
      </m:oMath>
      <w:r>
        <w:t xml:space="preserve"> </w:t>
      </w:r>
      <w:r>
        <w:t xml:space="preserve">36,481; adding DAI (M8) N</w:t>
      </w:r>
      <w:r>
        <w:t xml:space="preserve"> </w:t>
      </w:r>
      <m:oMath>
        <m:r>
          <m:rPr>
            <m:sty m:val="p"/>
          </m:rPr>
          <m:t>≈</m:t>
        </m:r>
      </m:oMath>
      <w:r>
        <w:t xml:space="preserve"> </w:t>
      </w:r>
      <w:r>
        <w:t xml:space="preserve">36,372; manager models (M9) N</w:t>
      </w:r>
      <w:r>
        <w:t xml:space="preserve"> </w:t>
      </w:r>
      <m:oMath>
        <m:r>
          <m:rPr>
            <m:sty m:val="p"/>
          </m:rPr>
          <m:t>≈</m:t>
        </m:r>
      </m:oMath>
      <w:r>
        <w:t xml:space="preserve"> </w:t>
      </w:r>
      <w:r>
        <w:t xml:space="preserve">34,228; ICRV-moderation (M10) N</w:t>
      </w:r>
      <w:r>
        <w:t xml:space="preserve"> </w:t>
      </w:r>
      <m:oMath>
        <m:r>
          <m:rPr>
            <m:sty m:val="p"/>
          </m:rPr>
          <m:t>≈</m:t>
        </m:r>
      </m:oMath>
      <w:r>
        <w:t xml:space="preserve"> </w:t>
      </w:r>
      <w:r>
        <w:t xml:space="preserve">30,360; full three-way (M11) N</w:t>
      </w:r>
      <w:r>
        <w:t xml:space="preserve"> </w:t>
      </w:r>
      <m:oMath>
        <m:r>
          <m:rPr>
            <m:sty m:val="p"/>
          </m:rPr>
          <m:t>≈</m:t>
        </m:r>
      </m:oMath>
      <w:r>
        <w:t xml:space="preserve"> </w:t>
      </w:r>
      <w:r>
        <w:t xml:space="preserve">28,500. The drop from M2 to M3/M5 reflects missingness in control variables (primarily foreign ownership and firm age), which is more prevalent in smaller economies and early WBES waves.</w:t>
      </w:r>
    </w:p>
    <w:bookmarkEnd w:id="39"/>
    <w:bookmarkStart w:id="40" w:name="X5b907c795aed1f39b091e8e49325ae6e6373f2b"/>
    <w:p>
      <w:pPr>
        <w:pStyle w:val="Heading3"/>
      </w:pPr>
      <w:r>
        <w:t xml:space="preserve">3.5 Sample Attrition Diagnostic and Robustness</w:t>
      </w:r>
    </w:p>
    <w:p>
      <w:pPr>
        <w:pStyle w:val="FirstParagraph"/>
      </w:pPr>
      <w:r>
        <w:t xml:space="preserve">The M2 → M11 reduction (82,302 → 28,500; -65 %) is not random and concentrates at three stages: (i) the foreign-ownership control (~64 % of the M2 → M3 attrition:</w:t>
      </w:r>
      <w:r>
        <w:t xml:space="preserve"> </w:t>
      </w:r>
      <w:r>
        <w:rPr>
          <w:rStyle w:val="VerbatimChar"/>
        </w:rPr>
        <w:t xml:space="preserve">foreign_own_pct</w:t>
      </w:r>
      <w:r>
        <w:t xml:space="preserve"> </w:t>
      </w:r>
      <w:r>
        <w:t xml:space="preserve">missing in 100 % of observations for several SIDS economies and 40–55 % in others), (ii) the managerial-controls block (M8 → M9 drops ~5,300 observations primarily in earlier 2003–2014 PICS3-vintage waves where</w:t>
      </w:r>
      <w:r>
        <w:t xml:space="preserve"> </w:t>
      </w:r>
      <w:r>
        <w:rPr>
          <w:rStyle w:val="VerbatimChar"/>
        </w:rPr>
        <w:t xml:space="preserve">mgr_experience</w:t>
      </w:r>
      <w:r>
        <w:t xml:space="preserve"> </w:t>
      </w:r>
      <w:r>
        <w:t xml:space="preserve">and</w:t>
      </w:r>
      <w:r>
        <w:t xml:space="preserve"> </w:t>
      </w:r>
      <w:r>
        <w:rPr>
          <w:rStyle w:val="VerbatimChar"/>
        </w:rPr>
        <w:t xml:space="preserve">mgr_female</w:t>
      </w:r>
      <w:r>
        <w:t xml:space="preserve"> </w:t>
      </w:r>
      <w:r>
        <w:t xml:space="preserve">were not collected), and (iii) the ICRV-group control (M9 → M11 drops the Advanced_resource regime entirely because its constituent Gulf economies, Bahrain, Kuwait, Qatar, Brunei, Saudi Arabia, lack contemporaneous WBES capability instruments in their available vintages). Characteristic comparison (Welch’s t-tests, M11-retained vs M11-dropped firms in the M2 sample): M11-retained firms show slightly higher productivity (μ ln_LP = 14.72 vs 14.37, t = +17.8, p &lt;.001), slightly higher FSTS (μ = 0.117 vs 0.092, t = +12.9, p &lt;.001), and substantially lower mean foreign ownership (μ = 1.1 % vs 23.6 %, t = -58.8, p &lt;.001). Firm size is balanced (p =.419).</w:t>
      </w:r>
    </w:p>
    <w:p>
      <w:pPr>
        <w:pStyle w:val="BodyText"/>
      </w:pPr>
      <w:r>
        <w:t xml:space="preserve">The substantive question is whether the H1 inverted-U is robust to this attrition. The wider-sample robustness specification re-estimates the quadratic curvature on the full M2 sample (N = 82,302) with country and year fixed effects only (dropping the firm-level controls that drive the attrition). The result preserves the headline inverted-U:</w:t>
      </w:r>
      <w:r>
        <w:t xml:space="preserve"> </w:t>
      </w:r>
      <m:oMath>
        <m:r>
          <m:t>β</m:t>
        </m:r>
        <m:d>
          <m:dPr>
            <m:begChr m:val="("/>
            <m:endChr m:val=")"/>
            <m:sepChr m:val=""/>
            <m:grow/>
          </m:dPr>
          <m:e>
            <m:sSub>
              <m:e>
                <m:r>
                  <m:rPr>
                    <m:nor/>
                    <m:sty m:val="p"/>
                  </m:rPr>
                  <m:t>FSTS</m:t>
                </m:r>
              </m:e>
              <m:sub>
                <m:r>
                  <m:t>c</m:t>
                </m:r>
              </m:sub>
            </m:sSub>
          </m:e>
        </m:d>
      </m:oMath>
      <w:r>
        <w:t xml:space="preserve"> </w:t>
      </w:r>
      <w:r>
        <w:t xml:space="preserve">= +1.187 (p &lt;.001),</w:t>
      </w:r>
      <w:r>
        <w:t xml:space="preserve"> </w:t>
      </w:r>
      <m:oMath>
        <m:r>
          <m:t>β</m:t>
        </m:r>
        <m:d>
          <m:dPr>
            <m:begChr m:val="("/>
            <m:endChr m:val=")"/>
            <m:sepChr m:val=""/>
            <m:grow/>
          </m:dPr>
          <m:e>
            <m:sSubSup>
              <m:e>
                <m:r>
                  <m:rPr>
                    <m:nor/>
                    <m:sty m:val="p"/>
                  </m:rPr>
                  <m:t>FSTS</m:t>
                </m:r>
              </m:e>
              <m:sub>
                <m:r>
                  <m:t>c</m:t>
                </m:r>
              </m:sub>
              <m:sup>
                <m:r>
                  <m:t>2</m:t>
                </m:r>
              </m:sup>
            </m:sSubSup>
          </m:e>
        </m:d>
      </m:oMath>
      <w:r>
        <w:t xml:space="preserve"> </w:t>
      </w:r>
      <w:r>
        <w:t xml:space="preserve">= -1.397 (p &lt;.001), TP = 52.6 % (compared to the M11 TP of 25.7 %). Country-by-country regime-specific quadratic estimates on the wider M2 sample further confirm an inverted-U within each ICRV regime (Advanced_innovation TP = 69.9 %, Upper_mid TP = 49.8 %, Lower_mid_transition TP = 50.3 %, Emerging TP = 57.0 %, Advanced_resource TP = 96.8 % though the quadratic loses statistical significance at this regime’s small N = 1,810), the sole exception being SIDS_small, which exhibits a</w:t>
      </w:r>
      <w:r>
        <w:t xml:space="preserve"> </w:t>
      </w:r>
      <w:r>
        <w:rPr>
          <w:iCs/>
          <w:i/>
        </w:rPr>
        <w:t xml:space="preserve">monotone negative</w:t>
      </w:r>
      <w:r>
        <w:t xml:space="preserve"> </w:t>
      </w:r>
      <w:r>
        <w:t xml:space="preserve">slope (β₁ = −1.067, p =.089; β₂ = +0.790, p =.308 not significant), independently consistent with the Forced Internationalization Penalty mechanism developed in the SIDS companion paper. The H1 inverted-U is therefore not an artefact of M11-sample selection; the M11 attrition trades sample breadth for the ability to test moderators (H2–H6) but does not change the underlying H1 curvature claim.</w:t>
      </w:r>
    </w:p>
    <w:p>
      <w:pPr>
        <w:pStyle w:val="BodyText"/>
      </w:pPr>
      <w:r>
        <w:t xml:space="preserve">Replication:</w:t>
      </w:r>
      <w:r>
        <w:t xml:space="preserve"> </w:t>
      </w:r>
      <w:r>
        <w:rPr>
          <w:rStyle w:val="VerbatimChar"/>
        </w:rPr>
        <w:t xml:space="preserve">p7/replication/do/02_p7_attrition_robustness.do</w:t>
      </w:r>
      <w:r>
        <w:t xml:space="preserve"> </w:t>
      </w:r>
      <w:r>
        <w:t xml:space="preserve">(Stata; Python prototype documented in do-file header).</w:t>
      </w:r>
    </w:p>
    <w:p>
      <w:r>
        <w:pict>
          <v:rect style="width:0;height:1.5pt" o:hralign="center" o:hrstd="t" o:hr="t"/>
        </w:pict>
      </w:r>
    </w:p>
    <w:bookmarkEnd w:id="40"/>
    <w:bookmarkEnd w:id="41"/>
    <w:bookmarkStart w:id="51" w:name="results"/>
    <w:p>
      <w:pPr>
        <w:pStyle w:val="Heading2"/>
      </w:pPr>
      <w:r>
        <w:t xml:space="preserve">4. Results</w:t>
      </w:r>
    </w:p>
    <w:bookmarkStart w:id="42"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w:t>
      </w:r>
      <w:r>
        <w:t xml:space="preserve"> </w:t>
      </w:r>
      <m:oMath>
        <m:r>
          <m:rPr>
            <m:sty m:val="p"/>
          </m:rPr>
          <m:t>≈</m:t>
        </m:r>
      </m:oMath>
      <w:r>
        <w:t xml:space="preserve"> </w:t>
      </w:r>
      <w:r>
        <w:t xml:space="preserve">0), reflecting the fact that most WBES firms are domestically oriented; exporters (FSTS &gt; 0) represent approximately 18% of the sample. Labour productivity ranges from ln(LP)</w:t>
      </w:r>
      <w:r>
        <w:t xml:space="preserve"> </w:t>
      </w:r>
      <m:oMath>
        <m:r>
          <m:rPr>
            <m:sty m:val="p"/>
          </m:rPr>
          <m:t>≈</m:t>
        </m:r>
      </m:oMath>
      <w:r>
        <w:t xml:space="preserve"> </w:t>
      </w:r>
      <w:r>
        <w:t xml:space="preserve">9 (Kiribati, Timor-Leste) to ln(LP)</w:t>
      </w:r>
      <w:r>
        <w:t xml:space="preserve"> </w:t>
      </w:r>
      <m:oMath>
        <m:r>
          <m:rPr>
            <m:sty m:val="p"/>
          </m:rPr>
          <m:t>≈</m:t>
        </m:r>
      </m:oMath>
      <w:r>
        <w:t xml:space="preserve"> </w:t>
      </w:r>
      <w:r>
        <w:t xml:space="preserve">20 (Vietnam, Korea, reflecting PPP-unadjusted nominal sales differences). Pairwise correlations among focal variables are modest (|r| &lt;.15 for all pairs), and variance inflation factors in the full model are below 3.5, ruling out multicollinearity concerns.</w:t>
      </w:r>
    </w:p>
    <w:bookmarkEnd w:id="42"/>
    <w:bookmarkStart w:id="43"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w:t>
      </w:r>
      <m:oMath>
        <m:sSup>
          <m:e>
            <m:r>
              <m:t>R</m:t>
            </m:r>
          </m:e>
          <m:sup>
            <m:r>
              <m:t>2</m:t>
            </m:r>
          </m:sup>
        </m:sSup>
      </m:oMath>
      <w:r>
        <w:t xml:space="preserve"> </w:t>
      </w:r>
      <w:r>
        <w:t xml:space="preserve">=.000). Adding the quadratic term</w:t>
      </w:r>
      <w:r>
        <w:t xml:space="preserve"> </w:t>
      </w:r>
      <m:oMath>
        <m:sSup>
          <m:e>
            <m:r>
              <m:rPr>
                <m:nor/>
                <m:sty m:val="p"/>
              </m:rPr>
              <m:t>FSTS</m:t>
            </m:r>
          </m:e>
          <m:sup>
            <m:r>
              <m:t>2</m:t>
            </m:r>
          </m:sup>
        </m:sSup>
      </m:oMath>
      <w:r>
        <w:t xml:space="preserve"> </w:t>
      </w:r>
      <w:r>
        <w:t xml:space="preserve">(M2) yields</w:t>
      </w:r>
      <w:r>
        <w:t xml:space="preserve"> </w:t>
      </w:r>
      <m:oMath>
        <m:sSub>
          <m:e>
            <m:r>
              <m:t>β</m:t>
            </m:r>
          </m:e>
          <m:sub>
            <m:r>
              <m:t>1</m:t>
            </m:r>
          </m:sub>
        </m:sSub>
      </m:oMath>
      <w:r>
        <w:t xml:space="preserve"> </w:t>
      </w:r>
      <w:r>
        <w:t xml:space="preserve">= +1.211 (p &lt;.001) and</w:t>
      </w:r>
      <w:r>
        <w:t xml:space="preserve"> </w:t>
      </w:r>
      <m:oMath>
        <m:sSub>
          <m:e>
            <m:r>
              <m:t>β</m:t>
            </m:r>
          </m:e>
          <m:sub>
            <m:r>
              <m:t>2</m:t>
            </m:r>
          </m:sub>
        </m:sSub>
      </m:oMath>
      <w:r>
        <w:t xml:space="preserve"> </w:t>
      </w:r>
      <w:r>
        <w:t xml:space="preserve">= −1.630 (p &lt;.001), consistent with an inverted-U. Following Haans, Pieters, and He (2016), all four formal conditions for a genuine inverted-U are satisfied in M2: (C1)</w:t>
      </w:r>
      <w:r>
        <w:t xml:space="preserve"> </w:t>
      </w:r>
      <m:oMath>
        <m:sSub>
          <m:e>
            <m:r>
              <m:t>β</m:t>
            </m:r>
          </m:e>
          <m:sub>
            <m:r>
              <m:t>1</m:t>
            </m:r>
          </m:sub>
        </m:sSub>
      </m:oMath>
      <w:r>
        <w:t xml:space="preserve"> </w:t>
      </w:r>
      <w:r>
        <w:t xml:space="preserve">= +1.211 (p &lt;.001), confirming a positive ascending limb; (C2)</w:t>
      </w:r>
      <w:r>
        <w:t xml:space="preserve"> </w:t>
      </w:r>
      <m:oMath>
        <m:sSub>
          <m:e>
            <m:r>
              <m:t>β</m:t>
            </m:r>
          </m:e>
          <m:sub>
            <m:r>
              <m:t>2</m:t>
            </m:r>
          </m:sub>
        </m:sSub>
      </m:oMath>
      <w:r>
        <w:t xml:space="preserve"> </w:t>
      </w:r>
      <w:r>
        <w:t xml:space="preserve">= −1.630 (p &lt;.001), confirming concavity; (C3) the turning point TP*</w:t>
      </w:r>
      <w:r>
        <w:t xml:space="preserve"> </w:t>
      </w:r>
      <m:oMath>
        <m:r>
          <m:rPr>
            <m:sty m:val="p"/>
          </m:rPr>
          <m:t>≈</m:t>
        </m:r>
      </m:oMath>
      <w:r>
        <w:t xml:space="preserve"> </w:t>
      </w:r>
      <w:r>
        <w:t xml:space="preserve">37.1% lies well within the observed FSTS range [0%, 100%]; and (C4) the marginal effect of internationalization is positive at the lower data boundary (FSTS</w:t>
      </w:r>
      <w:r>
        <w:t xml:space="preserve"> </w:t>
      </w:r>
      <m:oMath>
        <m:r>
          <m:rPr>
            <m:sty m:val="p"/>
          </m:rPr>
          <m:t>≈</m:t>
        </m:r>
      </m:oMath>
      <w:r>
        <w:t xml:space="preserve"> </w:t>
      </w:r>
      <w:r>
        <w:t xml:space="preserve">0%, slope</w:t>
      </w:r>
      <w:r>
        <w:t xml:space="preserve"> </w:t>
      </w:r>
      <m:oMath>
        <m:r>
          <m:rPr>
            <m:sty m:val="p"/>
          </m:rPr>
          <m:t>≈</m:t>
        </m:r>
      </m:oMath>
      <w:r>
        <w:t xml:space="preserve"> </w:t>
      </w:r>
      <w:r>
        <w:t xml:space="preserve">+1.21) and negative at the upper boundary (FSTS</w:t>
      </w:r>
      <w:r>
        <w:t xml:space="preserve"> </w:t>
      </w:r>
      <m:oMath>
        <m:r>
          <m:rPr>
            <m:sty m:val="p"/>
          </m:rPr>
          <m:t>≈</m:t>
        </m:r>
      </m:oMath>
      <w:r>
        <w:t xml:space="preserve"> </w:t>
      </w:r>
      <w:r>
        <w:t xml:space="preserve">100%, slope</w:t>
      </w:r>
      <w:r>
        <w:t xml:space="preserve"> </w:t>
      </w:r>
      <m:oMath>
        <m:r>
          <m:rPr>
            <m:sty m:val="p"/>
          </m:rPr>
          <m:t>≈</m:t>
        </m:r>
      </m:oMath>
      <w:r>
        <w:t xml:space="preserve"> </w:t>
      </w:r>
      <w:r>
        <w:t xml:space="preserve">−2.05), with opposite signs confirmed by the Lind–Mehlum (2010) u-test (joint p &lt;.001). The inverted-U remains significant when controls are added (M3: TP = 34.1%, LM p &lt;.001) and when country-year fixed effects absorb all unobserved time-varying country heterogeneity (M5: TP = 39.5%, LM p &lt;.001, adj</w:t>
      </w:r>
      <m:oMath>
        <m:sSup>
          <m:e>
            <m:r>
              <m:t>R</m:t>
            </m:r>
          </m:e>
          <m:sup>
            <m:r>
              <m:t>2</m:t>
            </m:r>
          </m:sup>
        </m:sSup>
      </m:oMath>
      <w:r>
        <w:t xml:space="preserve"> </w:t>
      </w:r>
      <w:r>
        <w:t xml:space="preserve">=.671). The consistency of the turning point across M2, M3, and M5, ranging from 34.1% to 39.5%, provides strong evidence that the inverted-U is not an artefact of omitted country-level confounders. The inverted-U is also confirmed in the full three-way moderation model M11 (TP = 25.7%, LM p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43"/>
    <w:bookmarkStart w:id="44"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w:t>
      </w:r>
      <w:r>
        <w:t xml:space="preserve"> </w:t>
      </w:r>
      <m:oMath>
        <m:r>
          <m:t>β</m:t>
        </m:r>
      </m:oMath>
      <w:r>
        <w:t xml:space="preserve"> </w:t>
      </w:r>
      <w:r>
        <w:t xml:space="preserve">= +0.342, p &lt;.001) raises adj</w:t>
      </w:r>
      <m:oMath>
        <m:sSup>
          <m:e>
            <m:r>
              <m:t>R</m:t>
            </m:r>
          </m:e>
          <m:sup>
            <m:r>
              <m:t>2</m:t>
            </m:r>
          </m:sup>
        </m:sSup>
      </m:oMath>
      <w:r>
        <w:t xml:space="preserve"> </w:t>
      </w:r>
      <w:r>
        <w:t xml:space="preserve">from.017 to.027. The interaction model M7 adds</w:t>
      </w:r>
      <w:r>
        <w:t xml:space="preserve"> </w:t>
      </w:r>
      <m:oMath>
        <m:r>
          <m:rPr>
            <m:nor/>
            <m:sty m:val="p"/>
          </m:rPr>
          <m:t>FSTS</m:t>
        </m:r>
        <m:r>
          <m:rPr>
            <m:sty m:val="p"/>
          </m:rPr>
          <m:t>×</m:t>
        </m:r>
        <m:r>
          <m:rPr>
            <m:nor/>
            <m:sty m:val="p"/>
          </m:rPr>
          <m:t>TCI</m:t>
        </m:r>
      </m:oMath>
      <w:r>
        <w:t xml:space="preserve"> </w:t>
      </w:r>
      <w:r>
        <w:t xml:space="preserve">and</w:t>
      </w:r>
      <w:r>
        <w:t xml:space="preserve"> </w:t>
      </w:r>
      <m:oMath>
        <m:sSup>
          <m:e>
            <m:r>
              <m:rPr>
                <m:nor/>
                <m:sty m:val="p"/>
              </m:rPr>
              <m:t>FSTS</m:t>
            </m:r>
          </m:e>
          <m:sup>
            <m:r>
              <m:t>2</m:t>
            </m:r>
          </m:sup>
        </m:sSup>
        <m:r>
          <m:rPr>
            <m:sty m:val="p"/>
          </m:rPr>
          <m:t>×</m:t>
        </m:r>
        <m:r>
          <m:rPr>
            <m:nor/>
            <m:sty m:val="p"/>
          </m:rPr>
          <m:t>TCI</m:t>
        </m:r>
      </m:oMath>
      <w:r>
        <w:t xml:space="preserve">. Results show:</w:t>
      </w:r>
    </w:p>
    <w:p>
      <w:pPr>
        <w:numPr>
          <w:ilvl w:val="0"/>
          <w:numId w:val="1001"/>
        </w:numPr>
        <w:pStyle w:val="Compact"/>
      </w:pPr>
      <w:r>
        <w:t xml:space="preserve">TCI main effect:</w:t>
      </w:r>
      <w:r>
        <w:t xml:space="preserve"> </w:t>
      </w:r>
      <m:oMath>
        <m:r>
          <m:t>β</m:t>
        </m:r>
      </m:oMath>
      <w:r>
        <w:t xml:space="preserve"> </w:t>
      </w:r>
      <w:r>
        <w:t xml:space="preserve">= +0.372 (p &lt;.001), higher TCI raises baseline performance</w:t>
      </w:r>
    </w:p>
    <w:p>
      <w:pPr>
        <w:numPr>
          <w:ilvl w:val="0"/>
          <w:numId w:val="1001"/>
        </w:numPr>
        <w:pStyle w:val="Compact"/>
      </w:pPr>
      <m:oMath>
        <m:r>
          <m:rPr>
            <m:nor/>
            <m:sty m:val="p"/>
          </m:rPr>
          <m:t>FSTS</m:t>
        </m:r>
        <m:r>
          <m:rPr>
            <m:sty m:val="p"/>
          </m:rPr>
          <m:t>×</m:t>
        </m:r>
        <m:r>
          <m:rPr>
            <m:nor/>
            <m:sty m:val="p"/>
          </m:rPr>
          <m:t>TCI</m:t>
        </m:r>
      </m:oMath>
      <w:r>
        <w:t xml:space="preserve">:</w:t>
      </w:r>
      <w:r>
        <w:t xml:space="preserve"> </w:t>
      </w:r>
      <m:oMath>
        <m:r>
          <m:t>β</m:t>
        </m:r>
      </m:oMath>
      <w:r>
        <w:t xml:space="preserve"> </w:t>
      </w:r>
      <w:r>
        <w:t xml:space="preserve">= −0.090 (NS), the ascending limb interaction is not significant</w:t>
      </w:r>
    </w:p>
    <w:p>
      <w:pPr>
        <w:numPr>
          <w:ilvl w:val="0"/>
          <w:numId w:val="1001"/>
        </w:numPr>
        <w:pStyle w:val="Compact"/>
      </w:pPr>
      <m:oMath>
        <m:sSup>
          <m:e>
            <m:r>
              <m:rPr>
                <m:nor/>
                <m:sty m:val="p"/>
              </m:rPr>
              <m:t>FSTS</m:t>
            </m:r>
          </m:e>
          <m:sup>
            <m:r>
              <m:t>2</m:t>
            </m:r>
          </m:sup>
        </m:sSup>
        <m:r>
          <m:rPr>
            <m:sty m:val="p"/>
          </m:rPr>
          <m:t>×</m:t>
        </m:r>
        <m:r>
          <m:rPr>
            <m:nor/>
            <m:sty m:val="p"/>
          </m:rPr>
          <m:t>TCI</m:t>
        </m:r>
      </m:oMath>
      <w:r>
        <w:t xml:space="preserve">:</w:t>
      </w:r>
      <w:r>
        <w:t xml:space="preserve"> </w:t>
      </w:r>
      <m:oMath>
        <m:r>
          <m:t>β</m:t>
        </m:r>
      </m:oMath>
      <w:r>
        <w:t xml:space="preserve"> </w:t>
      </w:r>
      <w:r>
        <w:t xml:space="preserve">= −0.227 (NS in M7; remains NS in M8, p =.077)</w:t>
      </w:r>
    </w:p>
    <w:p>
      <w:pPr>
        <w:pStyle w:val="FirstParagraph"/>
      </w:pPr>
      <w:r>
        <w:t xml:space="preserve">The joint F-test for the two TCI interaction terms is not significant across M7–M9. The inverted-U remains confirmed in M7 (TP = 34.2%, LM p &lt;.001). A one-SD increase in TCI raises labour productivity by exp(0.372) − 1</w:t>
      </w:r>
      <w:r>
        <w:t xml:space="preserve"> </w:t>
      </w:r>
      <m:oMath>
        <m:r>
          <m:rPr>
            <m:sty m:val="p"/>
          </m:rPr>
          <m:t>≈</m:t>
        </m:r>
      </m:oMath>
      <w:r>
        <w:t xml:space="preserve"> </w:t>
      </w:r>
      <w:r>
        <w:t xml:space="preserve">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44"/>
    <w:bookmarkStart w:id="45"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w:t>
      </w:r>
      <m:oMath>
        <m:r>
          <m:t>β</m:t>
        </m:r>
      </m:oMath>
      <w:r>
        <w:t xml:space="preserve"> </w:t>
      </w:r>
      <w:r>
        <w:t xml:space="preserve">= +0.172, p &lt;.001), consistent with approximately a 19% performance premium for digitally active firms (exp(0.172) − 1</w:t>
      </w:r>
      <w:r>
        <w:t xml:space="preserve"> </w:t>
      </w:r>
      <m:oMath>
        <m:r>
          <m:rPr>
            <m:sty m:val="p"/>
          </m:rPr>
          <m:t>≈</m:t>
        </m:r>
      </m:oMath>
      <w:r>
        <w:t xml:space="preserve"> </w:t>
      </w:r>
      <w:r>
        <w:t xml:space="preserve">19%). Strikingly, both DAI interaction terms are statistically significant in M8:</w:t>
      </w:r>
      <w:r>
        <w:t xml:space="preserve"> </w:t>
      </w:r>
      <m:oMath>
        <m:r>
          <m:rPr>
            <m:nor/>
            <m:sty m:val="p"/>
          </m:rPr>
          <m:t>FSTS</m:t>
        </m:r>
        <m:r>
          <m:rPr>
            <m:sty m:val="p"/>
          </m:rPr>
          <m:t>×</m:t>
        </m:r>
        <m:r>
          <m:rPr>
            <m:nor/>
            <m:sty m:val="p"/>
          </m:rPr>
          <m:t>DAI</m:t>
        </m:r>
      </m:oMath>
      <w:r>
        <w:t xml:space="preserve"> </w:t>
      </w:r>
      <w:r>
        <w:t xml:space="preserve">= −0.588 (p &lt;.001,</w:t>
      </w:r>
      <w:r>
        <w:t xml:space="preserve"> </w:t>
      </w:r>
      <w:r>
        <w:rPr>
          <w:bCs/>
          <w:b/>
          <w:iCs/>
          <w:i/>
        </w:rPr>
        <w:t xml:space="preserve">) and</w:t>
      </w:r>
      <w:r>
        <w:rPr>
          <w:bCs/>
          <w:b/>
          <w:iCs/>
          <w:i/>
        </w:rPr>
        <w:t xml:space="preserve"> </w:t>
      </w:r>
      <m:oMath>
        <m:sSup>
          <m:e>
            <m:r>
              <m:rPr>
                <m:nor/>
                <m:sty m:val="p"/>
              </m:rPr>
              <m:t>FSTS</m:t>
            </m:r>
          </m:e>
          <m:sup>
            <m:r>
              <m:t>2</m:t>
            </m:r>
          </m:sup>
        </m:sSup>
        <m:r>
          <m:rPr>
            <m:sty m:val="p"/>
          </m:rPr>
          <m:t>×</m:t>
        </m:r>
        <m:r>
          <m:rPr>
            <m:nor/>
            <m:sty m:val="p"/>
          </m:rPr>
          <m:t>DAI</m:t>
        </m:r>
      </m:oMath>
      <w:r>
        <w:rPr>
          <w:bCs/>
          <w:b/>
          <w:iCs/>
          <w:i/>
        </w:rPr>
        <w:t xml:space="preserve"> </w:t>
      </w:r>
      <w:r>
        <w:rPr>
          <w:bCs/>
          <w:b/>
          <w:iCs/>
          <w:i/>
        </w:rPr>
        <w:t xml:space="preserve">= +0.726 (p =.002,</w:t>
      </w:r>
      <w:r>
        <w:rPr>
          <w:bCs/>
          <w:b/>
          <w:iCs/>
          <w:i/>
        </w:rPr>
        <w:t xml:space="preserve"> </w:t>
      </w:r>
      <w:r>
        <w:rPr>
          <w:iCs/>
          <w:i/>
        </w:rPr>
        <w:t xml:space="preserve">). The interaction pattern, negative</w:t>
      </w:r>
      <w:r>
        <w:rPr>
          <w:iCs/>
          <w:i/>
        </w:rPr>
        <w:t xml:space="preserve"> </w:t>
      </w:r>
      <m:oMath>
        <m:r>
          <m:rPr>
            <m:nor/>
            <m:sty m:val="p"/>
          </m:rPr>
          <m:t>FSTS</m:t>
        </m:r>
        <m:r>
          <m:rPr>
            <m:sty m:val="p"/>
          </m:rPr>
          <m:t>×</m:t>
        </m:r>
        <m:r>
          <m:rPr>
            <m:nor/>
            <m:sty m:val="p"/>
          </m:rPr>
          <m:t>DAI</m:t>
        </m:r>
      </m:oMath>
      <w:r>
        <w:rPr>
          <w:iCs/>
          <w:i/>
        </w:rPr>
        <w:t xml:space="preserve"> </w:t>
      </w:r>
      <w:r>
        <w:rPr>
          <w:iCs/>
          <w:i/>
        </w:rPr>
        <w:t xml:space="preserve">and positive</w:t>
      </w:r>
      <w:r>
        <w:rPr>
          <w:iCs/>
          <w:i/>
        </w:rPr>
        <w:t xml:space="preserve"> </w:t>
      </w:r>
      <m:oMath>
        <m:sSup>
          <m:e>
            <m:r>
              <m:rPr>
                <m:nor/>
                <m:sty m:val="p"/>
              </m:rPr>
              <m:t>FSTS</m:t>
            </m:r>
          </m:e>
          <m:sup>
            <m:r>
              <m:t>2</m:t>
            </m:r>
          </m:sup>
        </m:sSup>
        <m:r>
          <m:rPr>
            <m:sty m:val="p"/>
          </m:rPr>
          <m:t>×</m:t>
        </m:r>
        <m:r>
          <m:rPr>
            <m:nor/>
            <m:sty m:val="p"/>
          </m:rPr>
          <m:t>DAI</m:t>
        </m:r>
      </m:oMath>
      <w:r>
        <w:rPr>
          <w:iCs/>
          <w:i/>
        </w:rPr>
        <w:t xml:space="preserve">,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w:t>
      </w:r>
      <w:r>
        <w:rPr>
          <w:iCs/>
          <w:i/>
        </w:rPr>
        <w:t xml:space="preserve"> </w:t>
      </w:r>
      <m:oMath>
        <m:r>
          <m:rPr>
            <m:nor/>
            <m:sty m:val="p"/>
          </m:rPr>
          <m:t>FSTS</m:t>
        </m:r>
        <m:r>
          <m:rPr>
            <m:sty m:val="p"/>
          </m:rPr>
          <m:t>×</m:t>
        </m:r>
        <m:r>
          <m:rPr>
            <m:nor/>
            <m:sty m:val="p"/>
          </m:rPr>
          <m:t>DAI</m:t>
        </m:r>
      </m:oMath>
      <w:r>
        <w:rPr>
          <w:iCs/>
          <w:i/>
        </w:rPr>
        <w:t xml:space="preserve"> </w:t>
      </w:r>
      <w:r>
        <w:rPr>
          <w:iCs/>
          <w:i/>
        </w:rPr>
        <w:t xml:space="preserve">= −0.786 (p &lt;.001,</w:t>
      </w:r>
      <w:r>
        <w:rPr>
          <w:iCs/>
          <w:i/>
        </w:rPr>
        <w:t xml:space="preserve"> </w:t>
      </w:r>
      <w:r>
        <w:rPr>
          <w:bCs/>
          <w:b/>
        </w:rPr>
        <w:t xml:space="preserve">) and</w:t>
      </w:r>
      <w:r>
        <w:rPr>
          <w:bCs/>
          <w:b/>
        </w:rPr>
        <w:t xml:space="preserve"> </w:t>
      </w:r>
      <m:oMath>
        <m:sSup>
          <m:e>
            <m:r>
              <m:rPr>
                <m:nor/>
                <m:sty m:val="p"/>
              </m:rPr>
              <m:t>FSTS</m:t>
            </m:r>
          </m:e>
          <m:sup>
            <m:r>
              <m:t>2</m:t>
            </m:r>
          </m:sup>
        </m:sSup>
        <m:r>
          <m:rPr>
            <m:sty m:val="p"/>
          </m:rPr>
          <m:t>×</m:t>
        </m:r>
        <m:r>
          <m:rPr>
            <m:nor/>
            <m:sty m:val="p"/>
          </m:rPr>
          <m:t>DAI</m:t>
        </m:r>
      </m:oMath>
      <w:r>
        <w:rPr>
          <w:bCs/>
          <w:b/>
        </w:rPr>
        <w:t xml:space="preserve"> </w:t>
      </w:r>
      <w:r>
        <w:rPr>
          <w:bCs/>
          <w:b/>
        </w:rPr>
        <w:t xml:space="preserve">= +0.982 (p &lt;.001,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45"/>
    <w:bookmarkStart w:id="46"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w:t>
      </w:r>
      <m:oMath>
        <m:r>
          <m:t>β</m:t>
        </m:r>
      </m:oMath>
      <w:r>
        <w:t xml:space="preserve"> </w:t>
      </w:r>
      <w:r>
        <w:t xml:space="preserve">= +0.018, p &lt;.001) and female top manager (</w:t>
      </w:r>
      <m:oMath>
        <m:r>
          <m:t>β</m:t>
        </m:r>
      </m:oMath>
      <w:r>
        <w:t xml:space="preserve"> </w:t>
      </w:r>
      <w:r>
        <w:t xml:space="preserve">= +0.202, p &lt;.001) both raise firm performance independently of FSTS in M9. The experience effect implies approximately 2% higher labour productivity per additional year of sectoral experience; the female top manager effect implies approximately a 22% performance premium (exp(0.202) − 1</w:t>
      </w:r>
      <w:r>
        <w:t xml:space="preserve"> </w:t>
      </w:r>
      <m:oMath>
        <m:r>
          <m:rPr>
            <m:sty m:val="p"/>
          </m:rPr>
          <m:t>≈</m:t>
        </m:r>
      </m:oMath>
      <w:r>
        <w:t xml:space="preserve"> </w:t>
      </w:r>
      <w:r>
        <w:t xml:space="preserve">22%). The FSTS</w:t>
      </w:r>
      <m:oMath>
        <m:r>
          <m:rPr>
            <m:sty m:val="p"/>
          </m:rPr>
          <m:t>×</m:t>
        </m:r>
      </m:oMath>
      <w:r>
        <w:t xml:space="preserve">manager_experience interaction is not significant in either M9 (</w:t>
      </w:r>
      <m:oMath>
        <m:r>
          <m:t>β</m:t>
        </m:r>
      </m:oMath>
      <w:r>
        <w:t xml:space="preserve"> </w:t>
      </w:r>
      <w:r>
        <w:t xml:space="preserve">= +0.005, p =.29) or M11 (</w:t>
      </w:r>
      <m:oMath>
        <m:r>
          <m:t>β</m:t>
        </m:r>
      </m:oMath>
      <w:r>
        <w:t xml:space="preserve"> </w:t>
      </w:r>
      <w:r>
        <w:t xml:space="preserve">= +0.007, p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46"/>
    <w:bookmarkStart w:id="47"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w:t>
      </w:r>
      <m:oMath>
        <m:r>
          <m:t>β</m:t>
        </m:r>
      </m:oMath>
      <w:r>
        <w:t xml:space="preserve"> </w:t>
      </w:r>
      <w:r>
        <w:t xml:space="preserve">= +0.592, p &lt;.001) indicates that, controlling for TCI, DAI, and firm characteristics, each step up the ICRV scale (from Group I to VI, i.e., from stronger to weaker institutions) is associated with approximately an 81% higher labour productivity level (exp(0.592) − 1</w:t>
      </w:r>
      <w:r>
        <w:t xml:space="preserve"> </w:t>
      </w:r>
      <m:oMath>
        <m:r>
          <m:rPr>
            <m:sty m:val="p"/>
          </m:rPr>
          <m:t>≈</m:t>
        </m:r>
      </m:oMath>
      <w:r>
        <w:t xml:space="preserve"> </w:t>
      </w:r>
      <w:r>
        <w:t xml:space="preserve">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w:t>
      </w:r>
      <w:r>
        <w:t xml:space="preserve"> </w:t>
      </w:r>
      <m:oMath>
        <m:r>
          <m:rPr>
            <m:nor/>
            <m:sty m:val="p"/>
          </m:rPr>
          <m:t>FSTS</m:t>
        </m:r>
        <m:r>
          <m:rPr>
            <m:sty m:val="p"/>
          </m:rPr>
          <m:t>×</m:t>
        </m:r>
        <m:r>
          <m:rPr>
            <m:nor/>
            <m:sty m:val="p"/>
          </m:rPr>
          <m:t>ICRV</m:t>
        </m:r>
      </m:oMath>
      <w:r>
        <w:t xml:space="preserve"> </w:t>
      </w:r>
      <w:r>
        <w:t xml:space="preserve">(</w:t>
      </w:r>
      <m:oMath>
        <m:r>
          <m:t>β</m:t>
        </m:r>
      </m:oMath>
      <w:r>
        <w:t xml:space="preserve"> </w:t>
      </w:r>
      <w:r>
        <w:t xml:space="preserve">= +1.849, p &lt;.001) and</w:t>
      </w:r>
      <w:r>
        <w:t xml:space="preserve"> </w:t>
      </w:r>
      <m:oMath>
        <m:sSup>
          <m:e>
            <m:r>
              <m:rPr>
                <m:nor/>
                <m:sty m:val="p"/>
              </m:rPr>
              <m:t>FSTS</m:t>
            </m:r>
          </m:e>
          <m:sup>
            <m:r>
              <m:t>2</m:t>
            </m:r>
          </m:sup>
        </m:sSup>
        <m:r>
          <m:rPr>
            <m:sty m:val="p"/>
          </m:rPr>
          <m:t>×</m:t>
        </m:r>
        <m:r>
          <m:rPr>
            <m:nor/>
            <m:sty m:val="p"/>
          </m:rPr>
          <m:t>ICRV</m:t>
        </m:r>
      </m:oMath>
      <w:r>
        <w:t xml:space="preserve"> </w:t>
      </w:r>
      <w:r>
        <w:t xml:space="preserve">(</w:t>
      </w:r>
      <m:oMath>
        <m:r>
          <m:t>β</m:t>
        </m:r>
      </m:oMath>
      <w:r>
        <w:t xml:space="preserve"> </w:t>
      </w:r>
      <w:r>
        <w:t xml:space="preserve">= −2.932, p &lt;.001). The negative</w:t>
      </w:r>
      <w:r>
        <w:t xml:space="preserve"> </w:t>
      </w:r>
      <m:oMath>
        <m:sSup>
          <m:e>
            <m:r>
              <m:rPr>
                <m:nor/>
                <m:sty m:val="p"/>
              </m:rPr>
              <m:t>FSTS</m:t>
            </m:r>
          </m:e>
          <m:sup>
            <m:r>
              <m:t>2</m:t>
            </m:r>
          </m:sup>
        </m:sSup>
        <m:r>
          <m:rPr>
            <m:sty m:val="p"/>
          </m:rPr>
          <m:t>×</m:t>
        </m:r>
        <m:r>
          <m:rPr>
            <m:nor/>
            <m:sty m:val="p"/>
          </m:rPr>
          <m:t>ICRV</m:t>
        </m:r>
      </m:oMath>
      <w:r>
        <w:t xml:space="preserve"> </w:t>
      </w:r>
      <w:r>
        <w:t xml:space="preserve">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7"/>
    <w:bookmarkStart w:id="48"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w:t>
      </w:r>
      <m:oMath>
        <m:r>
          <m:rPr>
            <m:nor/>
            <m:sty m:val="p"/>
          </m:rPr>
          <m:t>FSTS</m:t>
        </m:r>
        <m:r>
          <m:rPr>
            <m:sty m:val="p"/>
          </m:rPr>
          <m:t>×</m:t>
        </m:r>
        <m:r>
          <m:rPr>
            <m:nor/>
            <m:sty m:val="p"/>
          </m:rPr>
          <m:t>DAI</m:t>
        </m:r>
        <m:r>
          <m:rPr>
            <m:sty m:val="p"/>
          </m:rPr>
          <m:t>×</m:t>
        </m:r>
        <m:r>
          <m:rPr>
            <m:nor/>
            <m:sty m:val="p"/>
          </m:rPr>
          <m:t>ICRV</m:t>
        </m:r>
      </m:oMath>
      <w:r>
        <w:t xml:space="preserve">, plus constituent lower-order interactions). The Lind–Mehlum test in M11 confirms the inverted-U (TP = 25.7%, LM p =.026), establishing that the inverted-U shape holds even in the most demanding specification.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 is statistically significant, consistent with the CDCM prediction that digital capabilities provide stronger per-unit performance effects in weaker institutional environments.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w:t>
      </w:r>
      <m:oMath>
        <m:r>
          <m:t>β</m:t>
        </m:r>
      </m:oMath>
      <w:r>
        <w:t xml:space="preserve"> </w:t>
      </w:r>
      <w:r>
        <w:t xml:space="preserve">= −0.016, NS) is not significant, indicating that the DAI curve-reshaping effect documented in M8/M9 does not systematically vary across the ICRV regime gradient in this specification.</w:t>
      </w:r>
    </w:p>
    <w:p>
      <w:pPr>
        <w:pStyle w:val="BodyText"/>
      </w:pPr>
      <w:r>
        <w:t xml:space="preserve">Adj</w:t>
      </w:r>
      <m:oMath>
        <m:sSup>
          <m:e>
            <m:r>
              <m:t>R</m:t>
            </m:r>
          </m:e>
          <m:sup>
            <m:r>
              <m:t>2</m:t>
            </m:r>
          </m:sup>
        </m:sSup>
      </m:oMath>
      <w:r>
        <w:t xml:space="preserve"> </w:t>
      </w:r>
      <w:r>
        <w:t xml:space="preserve">=.057 in M11 (vs..039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w:t>
      </w:r>
      <w:r>
        <w:t xml:space="preserve"> </w:t>
      </w:r>
      <m:oMath>
        <m:r>
          <m:rPr>
            <m:nor/>
            <m:sty m:val="p"/>
          </m:rPr>
          <m:t>DAI</m:t>
        </m:r>
        <m:r>
          <m:rPr>
            <m:sty m:val="p"/>
          </m:rPr>
          <m:t>×</m:t>
        </m:r>
        <m:r>
          <m:rPr>
            <m:nor/>
            <m:sty m:val="p"/>
          </m:rPr>
          <m:t>ICRV</m:t>
        </m:r>
      </m:oMath>
      <w:r>
        <w:t xml:space="preserve"> </w:t>
      </w:r>
      <w:r>
        <w:t xml:space="preserve">main interaction is statistically significant (p =.049), supporting regime-contingent digital effects. The three-way FSTS curve-reshaping via</w:t>
      </w:r>
      <w:r>
        <w:t xml:space="preserve"> </w:t>
      </w:r>
      <m:oMath>
        <m:r>
          <m:rPr>
            <m:nor/>
            <m:sty m:val="p"/>
          </m:rPr>
          <m:t>DAI</m:t>
        </m:r>
        <m:r>
          <m:rPr>
            <m:sty m:val="p"/>
          </m:rPr>
          <m:t>×</m:t>
        </m:r>
        <m:r>
          <m:rPr>
            <m:nor/>
            <m:sty m:val="p"/>
          </m:rPr>
          <m:t>ICRV</m:t>
        </m:r>
      </m:oMath>
      <w:r>
        <w:t xml:space="preserve"> </w:t>
      </w:r>
      <w:r>
        <w:t xml:space="preserve">does not reach statistical significance, the WBES DAI measure’s limited dimensionality (Tier 1–2 only) likely constrains detection of the full CDCM-predicted interaction.</w:t>
      </w:r>
    </w:p>
    <w:bookmarkEnd w:id="48"/>
    <w:bookmarkStart w:id="49"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this study tests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w:t>
      </w:r>
      <m:oMath>
        <m:sSup>
          <m:e>
            <m:r>
              <m:rPr>
                <m:nor/>
                <m:sty m:val="p"/>
              </m:rPr>
              <m:t>FSTS</m:t>
            </m:r>
          </m:e>
          <m:sup>
            <m:r>
              <m:t>2</m:t>
            </m:r>
          </m:sup>
        </m:sSup>
      </m:oMath>
      <w:r>
        <w:t xml:space="preserve"> </w:t>
      </w:r>
      <m:oMath>
        <m:r>
          <m:t>β</m:t>
        </m:r>
      </m:oMath>
      <w:r>
        <w:t xml:space="preserve"> </w:t>
      </w:r>
      <w:r>
        <w:t xml:space="preserve">= −0.80, p =.008; TP</w:t>
      </w:r>
      <w:r>
        <w:t xml:space="preserve"> </w:t>
      </w:r>
      <m:oMath>
        <m:r>
          <m:rPr>
            <m:sty m:val="p"/>
          </m:rPr>
          <m:t>≈</m:t>
        </m:r>
      </m:oMath>
      <w:r>
        <w:t xml:space="preserve"> </w:t>
      </w:r>
      <w:r>
        <w:t xml:space="preserve">37%) but is</w:t>
      </w:r>
      <w:r>
        <w:t xml:space="preserve"> </w:t>
      </w:r>
      <w:r>
        <w:rPr>
          <w:bCs/>
          <w:b/>
        </w:rPr>
        <w:t xml:space="preserve">not</w:t>
      </w:r>
      <w:r>
        <w:t xml:space="preserve"> </w:t>
      </w:r>
      <w:r>
        <w:t xml:space="preserve">detected for sales growth (</w:t>
      </w:r>
      <m:oMath>
        <m:sSup>
          <m:e>
            <m:r>
              <m:rPr>
                <m:nor/>
                <m:sty m:val="p"/>
              </m:rPr>
              <m:t>FSTS</m:t>
            </m:r>
          </m:e>
          <m:sup>
            <m:r>
              <m:t>2</m:t>
            </m:r>
          </m:sup>
        </m:sSup>
      </m:oMath>
      <w:r>
        <w:t xml:space="preserve"> </w:t>
      </w:r>
      <m:oMath>
        <m:r>
          <m:t>β</m:t>
        </m:r>
      </m:oMath>
      <w:r>
        <w:t xml:space="preserve"> </w:t>
      </w:r>
      <m:oMath>
        <m:r>
          <m:rPr>
            <m:sty m:val="p"/>
          </m:rPr>
          <m:t>≈</m:t>
        </m:r>
      </m:oMath>
      <w:r>
        <w:t xml:space="preserve"> </w:t>
      </w:r>
      <w:r>
        <w:t xml:space="preserve">0, p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this study flags this as a measurement limitation. The primary inverted-U finding should therefore be read as a property of cross-sectional productivity levels, not of firm growth trajectories.</w:t>
      </w:r>
    </w:p>
    <w:bookmarkEnd w:id="49"/>
    <w:bookmarkStart w:id="50" w:name="X55b599705d606fac0492412e963e1cf7ffcf1fc"/>
    <w:p>
      <w:pPr>
        <w:pStyle w:val="Heading3"/>
      </w:pPr>
      <w:r>
        <w:t xml:space="preserve">4.9 Country-Year Cluster-Robust Standard Errors</w:t>
      </w:r>
    </w:p>
    <w:p>
      <w:pPr>
        <w:pStyle w:val="FirstParagraph"/>
      </w:pPr>
      <w:r>
        <w:t xml:space="preserve">The primary specification reports HC1 heteroscedasticity-robust standard errors. Because the WBES design samples firms within country-year cells, residuals may be correlated within those cells, and a more conservative inference uses country-year clustering (Cameron &amp; Miller, 2015; the pooled M2 sample has G = 112 effective country-year clusters; specifications with capability controls have G = 62 because the missingness pattern of TCI / DAI eliminates entire country-year cells). Re-estimating the M2, M2-with-controls, M5, M8, and M9 specifications with country-year clustered standard errors yields, for each focal</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coefficient, the same point estimate (cluster-robust SE does not change the point estimate, only its standard error) but a standard error that is approximately 2–3 times wider than HC1. None of the focal hypothesis tests changes its inferential conclusion: the M2 inverted-U remains highly significant under clustering (</w:t>
      </w:r>
      <m:oMath>
        <m:sSub>
          <m:e>
            <m:r>
              <m:rPr>
                <m:nor/>
                <m:sty m:val="p"/>
              </m:rPr>
              <m:t>FSTS</m:t>
            </m:r>
          </m:e>
          <m:sub>
            <m:r>
              <m:t>c</m:t>
            </m:r>
          </m:sub>
        </m:sSub>
      </m:oMath>
      <w:r>
        <w:t xml:space="preserve"> </w:t>
      </w:r>
      <w:r>
        <w:t xml:space="preserve">p &lt;.001;</w:t>
      </w:r>
      <w:r>
        <w:t xml:space="preserve"> </w:t>
      </w:r>
      <m:oMath>
        <m:sSubSup>
          <m:e>
            <m:r>
              <m:rPr>
                <m:nor/>
                <m:sty m:val="p"/>
              </m:rPr>
              <m:t>FSTS</m:t>
            </m:r>
          </m:e>
          <m:sub>
            <m:r>
              <m:t>c</m:t>
            </m:r>
          </m:sub>
          <m:sup>
            <m:r>
              <m:t>2</m:t>
            </m:r>
          </m:sup>
        </m:sSubSup>
      </m:oMath>
      <w:r>
        <w:t xml:space="preserve"> </w:t>
      </w:r>
      <w:r>
        <w:t xml:space="preserve">p &lt;.001 with G = 112); the controls-augmented M2 remains highly significant (p &lt;.001 for both terms with G = 62); the capability-augmented M5 (TCI) remains significant at p &lt;.01 for both terms; the DAI-augmented M8 remains significant at p &lt;.05 for both terms; and the managerial-augmented M9 remains significant at p &lt;.05 for both terms. The H1 inverted-U claim is therefore robust to the choice between HC1 and country-year cluster-robust standard errors. Replication:</w:t>
      </w:r>
      <w:r>
        <w:t xml:space="preserve"> </w:t>
      </w:r>
      <w:r>
        <w:rPr>
          <w:rStyle w:val="VerbatimChar"/>
        </w:rPr>
        <w:t xml:space="preserve">p7/replication/do/03_p7_cluster_se.do</w:t>
      </w:r>
      <w:r>
        <w:t xml:space="preserve"> </w:t>
      </w:r>
      <w:r>
        <w:t xml:space="preserve">(Stata</w:t>
      </w:r>
      <w:r>
        <w:t xml:space="preserve"> </w:t>
      </w:r>
      <w:r>
        <w:rPr>
          <w:rStyle w:val="VerbatimChar"/>
        </w:rPr>
        <w:t xml:space="preserve">reg..., vce(cluster country_year)</w:t>
      </w:r>
      <w:r>
        <w:t xml:space="preserve">; mirrors the Python prototype 2026-06-03).</w:t>
      </w:r>
    </w:p>
    <w:p>
      <w:r>
        <w:pict>
          <v:rect style="width:0;height:1.5pt" o:hralign="center" o:hrstd="t" o:hr="t"/>
        </w:pict>
      </w:r>
    </w:p>
    <w:bookmarkEnd w:id="50"/>
    <w:bookmarkEnd w:id="51"/>
    <w:bookmarkStart w:id="59" w:name="discussion"/>
    <w:p>
      <w:pPr>
        <w:pStyle w:val="Heading2"/>
      </w:pPr>
      <w:r>
        <w:t xml:space="preserve">5. Discussion</w:t>
      </w:r>
    </w:p>
    <w:bookmarkStart w:id="52" w:name="X578d84a21b3accaf1a7ada71f01c76c882cdaa8"/>
    <w:p>
      <w:pPr>
        <w:pStyle w:val="Heading3"/>
      </w:pPr>
      <w:r>
        <w:t xml:space="preserve">5.1 Theoretical Contributions: A Jointly-Determined Optimum</w:t>
      </w:r>
    </w:p>
    <w:p>
      <w:pPr>
        <w:pStyle w:val="FirstParagraph"/>
      </w:pPr>
      <w:r>
        <w:t xml:space="preserve">The findings support</w:t>
      </w:r>
      <w:r>
        <w:t xml:space="preserve"> </w:t>
      </w:r>
      <w:r>
        <w:rPr>
          <w:bCs/>
          <w:b/>
        </w:rPr>
        <w:t xml:space="preserve">Capability–Institution Mismatch Theory (CIMT)</w:t>
      </w:r>
      <w:r>
        <w:t xml:space="preserve">, the middle-range framework the wider dissertation develops,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with the three CIMT channels operating on the ICRV gradient. This yields four contributions.</w:t>
      </w:r>
    </w:p>
    <w:p>
      <w:pPr>
        <w:pStyle w:val="BodyText"/>
      </w:pPr>
      <w:r>
        <w:t xml:space="preserve">First, a</w:t>
      </w:r>
      <w:r>
        <w:t xml:space="preserve"> </w:t>
      </w:r>
      <w:r>
        <w:rPr>
          <w:bCs/>
          <w:b/>
        </w:rPr>
        <w:t xml:space="preserve">relocated-optimum reframing</w:t>
      </w:r>
      <w:r>
        <w:t xml:space="preserve"> </w:t>
      </w:r>
      <w:r>
        <w:t xml:space="preserve">of the I–P curve debate. The inverted-U itself is well established (Lu &amp; Beamish, 2004; Contractor et al., 2003; Marano et al., 2016) and treating context as a moderator is the canonical response to its heterogeneity (Kirca et al., 2012; Wu et al., 2022). The reframing here is that the inverted-U holds across all six ICRV regime groups (H1) while its shape is</w:t>
      </w:r>
      <w:r>
        <w:t xml:space="preserve"> </w:t>
      </w:r>
      <w:r>
        <w:rPr>
          <w:iCs/>
          <w:i/>
        </w:rPr>
        <w:t xml:space="preserve">not</w:t>
      </w:r>
      <w:r>
        <w:t xml:space="preserve"> </w:t>
      </w:r>
      <w:r>
        <w:t xml:space="preserve">a fixed structural parameter: institutional regime governs the curve’s</w:t>
      </w:r>
      <w:r>
        <w:t xml:space="preserve"> </w:t>
      </w:r>
      <w:r>
        <w:rPr>
          <w:iCs/>
          <w:i/>
        </w:rPr>
        <w:t xml:space="preserve">amplitude</w:t>
      </w:r>
      <w:r>
        <w:t xml:space="preserve"> </w:t>
      </w:r>
      <w:r>
        <w:t xml:space="preserve">(H5), a pronounced inverted-U in weaker-institution economies flattening toward near-linearity in advanced ones, while digital capability reshapes the curve and relocates its optimum (H3). This dissolves the apparent contradiction between studies reporting positive-linear, inverted-U, and null effects (§5.2): they observe one underlying curve whose sharpness and high-FSTS payoff are jointly set by institutional quality and digital capability. The contribution relocates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shows the curve-reshaping value of foundational digital adoption is greater precisely where formal institutions are weaker; digital infrastructure functions as a partial substitute for contract enforcement, market information, and coordination. The closest prior firm-level evidence is Bustamante, Mingo, and Matusik (2022), who document complementary effects on SME internationalization in a multi-country sample; this paper extends that line by showing a substitution direction (not complementarity) for the export-intensity–performance conversion when the digital measure is the foundational Tier-1/Tier-2 capability captured by WBES. The result is incremental rather than discovery-class, and the p =.049 estimate warrants the caution discussed in §5.4.</w:t>
      </w:r>
    </w:p>
    <w:p>
      <w:pPr>
        <w:pStyle w:val="BodyText"/>
      </w:pPr>
      <w:r>
        <w:t xml:space="preserve">Third, the</w:t>
      </w:r>
      <w:r>
        <w:t xml:space="preserve"> </w:t>
      </w:r>
      <w:r>
        <w:rPr>
          <w:bCs/>
          <w:b/>
        </w:rPr>
        <w:t xml:space="preserve">level–relocation distinction</w:t>
      </w:r>
      <w:r>
        <w:t xml:space="preserve"> </w:t>
      </w:r>
      <w:r>
        <w:t xml:space="preserve">sharpens an analytical line the capabilities and contingency literatures often invoke implicitly. Building on the distinction between performance-level shifters and curve-shape moderators in non-linear strategy research (Haans, Pieters, &amp; He, 2016), this study operationalises it across 45 economies: technological capability raises the performance level across the curve but does not reliably relocate the optimum in the pooled sample (§5.3), whereas institutional regime relocates the optimum without uniformly lifting the level. This clarifies why country-specific capability findings (TCI moderation in the companion Vietnam and China studies) need not generalise: capability-driven curve reshaping requires an institutional complementarity that is unevenly present across the ICRV spectrum.</w:t>
      </w:r>
    </w:p>
    <w:p>
      <w:pPr>
        <w:pStyle w:val="BodyText"/>
      </w:pPr>
      <w:r>
        <w:t xml:space="preserve">Fourth, the</w:t>
      </w:r>
      <w:r>
        <w:t xml:space="preserve"> </w:t>
      </w:r>
      <w:r>
        <w:rPr>
          <w:bCs/>
          <w:b/>
        </w:rPr>
        <w:t xml:space="preserve">ICRV framework</w:t>
      </w:r>
      <w:r>
        <w:t xml:space="preserve"> </w:t>
      </w:r>
      <w:r>
        <w:t xml:space="preserve">itself as a parsimonious contingency construct. By ordering economies jointly on institutional capability and resource vulnerability, dimensions the varieties-of-capitalism (Hall &amp; Soskice, 2001) and institutional-voids (Khanna &amp; Palepu, 1997) traditions treat separately, ICRV predicts both slope and curvature of the I–P function, providing a transportable scaffold for theorising firm strategy under heterogeneous institutional regimes.</w:t>
      </w:r>
    </w:p>
    <w:bookmarkEnd w:id="52"/>
    <w:bookmarkStart w:id="53" w:name="resolution-of-cross-study-heterogeneity"/>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53"/>
    <w:bookmarkStart w:id="54"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54"/>
    <w:bookmarkStart w:id="55"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and the significant</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in M11, provides the first multi-economy evidence for the CDCM prediction that digital capabilities’ performance effects are context-contingent. In institutionally stronger economies (Group I–II), digital infrastructure is near-universal and provides competitive advantage only to early adopters at the margin; in weaker environments (Group IV–VI) digital adoption remains differentiating, implying that digitalisation policies in frontier economies generate stronger per-unit returns than equivalent policies in advanced ones.</w:t>
      </w:r>
    </w:p>
    <w:p>
      <w:pPr>
        <w:pStyle w:val="BodyText"/>
      </w:pPr>
      <w:r>
        <w:t xml:space="preserve">The significance pattern across two- and three-way terms is itself a structural boundary. The two-way</w:t>
      </w:r>
      <w:r>
        <w:t xml:space="preserve"> </w:t>
      </w:r>
      <m:oMath>
        <m:r>
          <m:rPr>
            <m:nor/>
            <m:sty m:val="p"/>
          </m:rPr>
          <m:t>DAI</m:t>
        </m:r>
        <m:r>
          <m:rPr>
            <m:sty m:val="p"/>
          </m:rPr>
          <m:t>×</m:t>
        </m:r>
        <m:r>
          <m:rPr>
            <m:nor/>
            <m:sty m:val="p"/>
          </m:rPr>
          <m:t>ICRV</m:t>
        </m:r>
      </m:oMath>
      <w:r>
        <w:t xml:space="preserve"> </w:t>
      </w:r>
      <w:r>
        <w:t xml:space="preserve">interaction is significant (</w:t>
      </w:r>
      <m:oMath>
        <m:r>
          <m:t>β</m:t>
        </m:r>
      </m:oMath>
      <w:r>
        <w:t xml:space="preserve"> </w:t>
      </w:r>
      <w:r>
        <w:t xml:space="preserve">= +0.052, p =.049) while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is null: digital capability raises the performance</w:t>
      </w:r>
      <w:r>
        <w:t xml:space="preserve"> </w:t>
      </w:r>
      <w:r>
        <w:rPr>
          <w:iCs/>
          <w:i/>
        </w:rPr>
        <w:t xml:space="preserve">level</w:t>
      </w:r>
      <w:r>
        <w:t xml:space="preserve"> </w:t>
      </w:r>
      <w:r>
        <w:t xml:space="preserve">more in weaker-institution regimes but does not detectably reshape the</w:t>
      </w:r>
      <w:r>
        <w:t xml:space="preserve"> </w:t>
      </w:r>
      <w:r>
        <w:rPr>
          <w:iCs/>
          <w:i/>
        </w:rPr>
        <w:t xml:space="preserve">curvature</w:t>
      </w:r>
      <w:r>
        <w:t xml:space="preserve"> </w:t>
      </w:r>
      <w:r>
        <w:t xml:space="preserve">of the I–P function. We read this asymmetry as substitution operating at the level rather than the shape. Foundational digital tools standing in for contract-enforcement and market-information functions lift the productivity floor where institutions are thin, but the surface-level Tier-1/Tier-2 capabilities WBES captures are too thin an instrument to bend second-order curvature in high-friction markets.</w:t>
      </w:r>
    </w:p>
    <w:p>
      <w:pPr>
        <w:pStyle w:val="BodyText"/>
      </w:pPr>
      <w:r>
        <w:t xml:space="preserve">A multiple-comparison caveat applies. The two-way</w:t>
      </w:r>
      <w:r>
        <w:t xml:space="preserve"> </w:t>
      </w:r>
      <m:oMath>
        <m:r>
          <m:rPr>
            <m:nor/>
            <m:sty m:val="p"/>
          </m:rPr>
          <m:t>DAI</m:t>
        </m:r>
        <m:r>
          <m:rPr>
            <m:sty m:val="p"/>
          </m:rPr>
          <m:t>×</m:t>
        </m:r>
        <m:r>
          <m:rPr>
            <m:nor/>
            <m:sty m:val="p"/>
          </m:rPr>
          <m:t>ICRV</m:t>
        </m:r>
      </m:oMath>
      <w:r>
        <w:t xml:space="preserve"> </w:t>
      </w:r>
      <w:r>
        <w:t xml:space="preserve">interaction at p =.049 was estimated alongside other moderator and three-way terms across the M5–M11 sequence (Appendix A); under Bonferroni correction for the four principal interactions of theoretical interest, the per-test threshold tightens to</w:t>
      </w:r>
      <w:r>
        <w:t xml:space="preserve"> </w:t>
      </w:r>
      <m:oMath>
        <m:sSup>
          <m:e>
            <m:r>
              <m:t>α</m:t>
            </m:r>
          </m:e>
          <m:sup>
            <m:r>
              <m:rPr>
                <m:sty m:val="p"/>
              </m:rPr>
              <m:t>*</m:t>
            </m:r>
          </m:sup>
        </m:sSup>
        <m:r>
          <m:rPr>
            <m:sty m:val="p"/>
          </m:rPr>
          <m:t>≈</m:t>
        </m:r>
        <m:r>
          <m:t>.013</m:t>
        </m:r>
      </m:oMath>
      <w:r>
        <w:t xml:space="preserve">, which p =.049 does</w:t>
      </w:r>
      <w:r>
        <w:t xml:space="preserve"> </w:t>
      </w:r>
      <w:r>
        <w:rPr>
          <w:iCs/>
          <w:i/>
        </w:rPr>
        <w:t xml:space="preserve">not</w:t>
      </w:r>
      <w:r>
        <w:t xml:space="preserve"> </w:t>
      </w:r>
      <w:r>
        <w:t xml:space="preserve">survive. ICRV moderation of curvature (H5, p &lt;.001 on both interaction terms) remains robust under any reasonable correction. We therefore report the substitution result as a directionally consistent, theoretically anchored but pre-correction borderline finding that motivates targeted replication on a Tier 3–4 digital instrument, not a definitively established estimate.</w:t>
      </w:r>
    </w:p>
    <w:bookmarkEnd w:id="55"/>
    <w:bookmarkStart w:id="56" w:name="managerial-heterogeneity"/>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the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w:t>
      </w:r>
      <m:oMath>
        <m:r>
          <m:rPr>
            <m:sty m:val="p"/>
          </m:rPr>
          <m:t>×</m:t>
        </m:r>
      </m:oMath>
      <w:r>
        <w:t xml:space="preserve">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World Bank studies corroborate the premium from a supply side. In Vietnam (a large ICRV Group IV contributor with a 88.61% female labour-force participation ratio; World Bank Prosperity Data360, 2025), Buchhave et al. (2026) document that childbirth reduces women’s wage employment probability by 8.1 pp and urban household income by 27%, with no significant effect on fathers; women reaching managerial rank therefore represent a highly selected and committed stratum. At the sector level, IFC (2022) finds that female banking leadership in Vietnam is associated with superior risk management and stakeholder orientation, the relational-capital mechanisms posited by Upper Echelons Theory. These convergent pieces of evidence strengthen the interpretation that the WBES-estimated premium reflects genuine managerial capability rather than endogenous selection into high-productivity firms.</w:t>
      </w:r>
    </w:p>
    <w:bookmarkEnd w:id="56"/>
    <w:bookmarkStart w:id="57" w:name="limitations"/>
    <w:p>
      <w:pPr>
        <w:pStyle w:val="Heading3"/>
      </w:pPr>
      <w:r>
        <w:t xml:space="preserve">5.6 Limitations</w:t>
      </w:r>
    </w:p>
    <w:p>
      <w:pPr>
        <w:pStyle w:val="FirstParagraph"/>
      </w:pPr>
      <w:r>
        <w:t xml:space="preserve">Five inferential constraints bound these findings. First, WBES is cross-sectional:</w:t>
      </w:r>
      <w:r>
        <w:t xml:space="preserve"> </w:t>
      </w:r>
      <w:r>
        <w:t xml:space="preserve">“</w:t>
      </w:r>
      <w:r>
        <w:t xml:space="preserve">performance</w:t>
      </w:r>
      <w:r>
        <w:t xml:space="preserve">”</w:t>
      </w:r>
      <w:r>
        <w:t xml:space="preserve"> </w:t>
      </w:r>
      <w:r>
        <w:t xml:space="preserve">refers to a contemporaneous FSTS–productivity association, not a panel-tracked causal effect. The IV strategy used in the companion Vietnam study is not available at scale across 45 economies, and the negative ascending-limb interaction for DAI cannot be fully separated from a selection-driven reading; the level effects, against which selection works, are the more securely interpretable.</w:t>
      </w:r>
    </w:p>
    <w:p>
      <w:pPr>
        <w:pStyle w:val="BodyText"/>
      </w:pPr>
      <w:r>
        <w:t xml:space="preserve">Second, DAI is limited to Tier 1 (website) and Tier 2 (e-payment) in most waves; richer dimensions from newer BEE-schema waves are not yet available across most economies. This measurement floor likely explains the null three-way curvature interaction (§5.4) and bounds the substitution claim to surface-digital.</w:t>
      </w:r>
    </w:p>
    <w:p>
      <w:pPr>
        <w:pStyle w:val="BodyText"/>
      </w:pPr>
      <w:r>
        <w:t xml:space="preserve">Third, ICRV is an author-constructed ordinal scale. The strongly positive ICRV level coefficient (</w:t>
      </w:r>
      <m:oMath>
        <m:r>
          <m:t>β</m:t>
        </m:r>
      </m:oMath>
      <w:r>
        <w:t xml:space="preserve"> </w:t>
      </w:r>
      <w:r>
        <w:t xml:space="preserve">= +0.592) reflects higher nominal sales-per-worker in lower-price-level economies, so ICRV partly co-varies with development and price levels. We absorb price levels through country-year fixed effects in M5 and read the institutional claim off interaction terms rather than the main effect; nonetheless the ordinal scale cannot fully disentangle institutional quality from development. Future work should validate ICRV against WGI and test a continuous institutional-quality measure.</w:t>
      </w:r>
    </w:p>
    <w:p>
      <w:pPr>
        <w:pStyle w:val="BodyText"/>
      </w:pPr>
      <w:r>
        <w:t xml:space="preserve">Fourth, the sampling frame is Asia-Pacific, so the relocated-optimum and substitution results should be generalised externally only with caution; the transcontinental-exclusion robustness check (§3.1) guards internal consistency, not external transportability. Fifth, productivity and focal predictors come from the same survey instrument, raising a common-source concern; the objective register-style items (sales, worker counts, certification, website presence) limit its severity. Coverage note: Oman’s only available wave (2003) lacks the core productivity and FSTS items and so does not enter the estimation sample.</w:t>
      </w:r>
    </w:p>
    <w:bookmarkEnd w:id="57"/>
    <w:bookmarkStart w:id="58" w:name="practical-and-policy-implications"/>
    <w:p>
      <w:pPr>
        <w:pStyle w:val="Heading3"/>
      </w:pPr>
      <w:r>
        <w:t xml:space="preserve">5.7 Practical and Policy Implications</w:t>
      </w:r>
    </w:p>
    <w:p>
      <w:pPr>
        <w:pStyle w:val="FirstParagraph"/>
      </w:pPr>
      <w:r>
        <w:t xml:space="preserve">The relocated-optimum logic translates into a sequencing rule, not a uniform prescription. With the performance-maximising export intensity near 37% in the pooled frame, firms below that threshold are on the ascending limb (binding task: removing barriers to export expansion); firms beyond their regime-specific optimum face a coordination constraint where further export commitment erodes productivity, most steeply in weaker-institution regimes. The same model therefore prescribes opposite actions, expand versus consolidate, depending on a firm’s position on a curve managers can in principle estimate from their export share and institutional context.</w:t>
      </w:r>
    </w:p>
    <w:p>
      <w:pPr>
        <w:pStyle w:val="BodyText"/>
      </w:pPr>
      <w:r>
        <w:t xml:space="preserve">For digital strategy, foundational digitalisation is a higher-leverage instrument where institutions are weakest: basic digital interfaces partly substitute for the contract-enforcement and market-information functions thin institutions fail to provide, so the per-unit performance return is largest in frontier and vulnerable regimes. In digitally saturated advanced economies the same investment is closer to a competitive-parity hygiene factor; managers there should pursue Tier 3–4 capabilities for differentiation. Technological capability is best read as a baseline performance lever across all export intensities rather than a curve-shifting intervention.</w:t>
      </w:r>
    </w:p>
    <w:p>
      <w:pPr>
        <w:pStyle w:val="BodyText"/>
      </w:pPr>
      <w:r>
        <w:t xml:space="preserve">For policy, programmes that subsidise or de-risk foundational firm digital adoption are likely to generate stronger productivity gains in frontier and small-island economies than equivalent programmes in advanced ones, making digital public infrastructure a complement to, and partial near-term substitute for, the slower work of institutional reform. The steep descending-limb penalty in weak-institution regimes also cautions against export-promotion policies pushing firms toward maximal foreign-sales intensity irrespective of coordination capacity; institutional development that flattens the concavity remains the first-best lever for raising returns to deep internationalisation.</w:t>
      </w:r>
    </w:p>
    <w:p>
      <w:r>
        <w:pict>
          <v:rect style="width:0;height:1.5pt" o:hralign="center" o:hrstd="t" o:hr="t"/>
        </w:pict>
      </w:r>
    </w:p>
    <w:bookmarkEnd w:id="58"/>
    <w:bookmarkEnd w:id="59"/>
    <w:bookmarkStart w:id="60"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(suggestively) a partial substitute for institutional infrastructure; the</w:t>
      </w:r>
      <w:r>
        <w:t xml:space="preserve"> </w:t>
      </w:r>
      <m:oMath>
        <m:r>
          <m:rPr>
            <m:nor/>
            <m:sty m:val="p"/>
          </m:rPr>
          <m:t>DAI</m:t>
        </m:r>
        <m:r>
          <m:rPr>
            <m:sty m:val="p"/>
          </m:rPr>
          <m:t>×</m:t>
        </m:r>
        <m:r>
          <m:rPr>
            <m:nor/>
            <m:sty m:val="p"/>
          </m:rPr>
          <m:t>ICRV</m:t>
        </m:r>
      </m:oMath>
      <w:r>
        <w:t xml:space="preserve"> </w:t>
      </w:r>
      <w:r>
        <w:t xml:space="preserve">interaction at the level margin (p =.049, pre-correction borderline; Section 5.4) points toward digitalisation as a high-leverage instrument in frontier and vulnerable regimes, conditional on replication with Tier 3–4 digital instruments.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60"/>
    <w:bookmarkStart w:id="61"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(www.enterprisesurveys.org).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underlying WBES data covering 45 Asian and Pacific economies (98 country-year waves). The findings, interpretations, and conclusions expressed in this paper are entirely those of the authors and do not necessarily represent the views of the World Bank Group, its Executive Directors, or the governments they represent.</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the M0–M11 model ladder, formatting of the reference list, and assembly of replication-package documentation. All conceptual framing (including the CDCM framework and ICRV regime construct), hypothesis development, empirical analysis, results interpretation, and final wording were authored by the human authors, who take full responsibility for the content of the publication.</w:t>
      </w:r>
    </w:p>
    <w:bookmarkEnd w:id="65"/>
    <w:bookmarkStart w:id="66"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66"/>
    <w:bookmarkStart w:id="67"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&lt;.001, ** p &lt;.01, * p &lt;.05, † p &lt;.10. Controls (female_owner, foreign_own_pct, firm_age, ln_size) included in M7–M10 but not reported for space. M11 (N=28,500, Adj</w:t>
      </w:r>
      <m:oMath>
        <m:sSup>
          <m:e>
            <m:r>
              <m:t>R</m:t>
            </m:r>
          </m:e>
          <m:sup>
            <m:r>
              <m:t>2</m:t>
            </m:r>
          </m:sup>
        </m:sSup>
      </m:oMath>
      <w:r>
        <w:t xml:space="preserve">=.057, TP=25.7%, LM p =.026):</w:t>
      </w:r>
      <w:r>
        <w:t xml:space="preserve"> </w:t>
      </w:r>
      <m:oMath>
        <m:r>
          <m:rPr>
            <m:nor/>
            <m:sty m:val="p"/>
          </m:rPr>
          <m:t>DAI</m:t>
        </m:r>
        <m:r>
          <m:rPr>
            <m:sty m:val="p"/>
          </m:rPr>
          <m:t>×</m:t>
        </m:r>
        <m:r>
          <m:rPr>
            <m:nor/>
            <m:sty m:val="p"/>
          </m:rPr>
          <m:t>ICRV</m:t>
        </m:r>
      </m:oMath>
      <w:r>
        <w:t xml:space="preserve">=+0.052</w:t>
      </w:r>
      <w:r>
        <w:rPr>
          <w:iCs/>
          <w:i/>
        </w:rPr>
        <w:t xml:space="preserve">, three-way</w:t>
      </w:r>
      <w:r>
        <w:rPr>
          <w:iCs/>
          <w:i/>
        </w:rPr>
        <w:t xml:space="preserve"> </w:t>
      </w:r>
      <m:oMath>
        <m:r>
          <m:rPr>
            <m:nor/>
            <m:sty m:val="p"/>
          </m:rPr>
          <m:t>FSTS</m:t>
        </m:r>
        <m:r>
          <m:rPr>
            <m:sty m:val="p"/>
          </m:rPr>
          <m:t>×</m:t>
        </m:r>
        <m:r>
          <m:rPr>
            <m:nor/>
            <m:sty m:val="p"/>
          </m:rPr>
          <m:t>DAI</m:t>
        </m:r>
        <m:r>
          <m:rPr>
            <m:sty m:val="p"/>
          </m:rPr>
          <m:t>×</m:t>
        </m:r>
        <m:r>
          <m:rPr>
            <m:nor/>
            <m:sty m:val="p"/>
          </m:rPr>
          <m:t>ICRV</m:t>
        </m:r>
      </m:oMath>
      <w:r>
        <w:rPr>
          <w:iCs/>
          <w:i/>
        </w:rPr>
        <w:t xml:space="preserve">=−0.016 (NS), mgr_experience=+0.022</w:t>
      </w:r>
      <w:r>
        <w:rPr>
          <w:bCs/>
          <w:b/>
        </w:rPr>
        <w:t xml:space="preserve">, FSTS</w:t>
      </w:r>
      <m:oMath>
        <m:r>
          <m:rPr>
            <m:sty m:val="p"/>
          </m:rPr>
          <m:t>×</m:t>
        </m:r>
      </m:oMath>
      <w:r>
        <w:rPr>
          <w:bCs/>
          <w:b/>
        </w:rPr>
        <w:t xml:space="preserve">mgr=+0.007 (NS), mgr_female=+0.210</w:t>
      </w:r>
      <w:r>
        <w:t xml:space="preserve">*, female_owner=+0.122**.</w:t>
      </w:r>
    </w:p>
    <w:p>
      <w:r>
        <w:pict>
          <v:rect style="width:0;height:1.5pt" o:hralign="center" o:hrstd="t" o:hr="t"/>
        </w:pict>
      </w:r>
    </w:p>
    <w:bookmarkEnd w:id="67"/>
    <w:bookmarkStart w:id="68"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68"/>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2026-06-03T20:31:25Z</dcterms:created>
  <dcterms:modified xsi:type="dcterms:W3CDTF">2026-06-03T20:31:25Z</dcterms:modified>
</cp:coreProperties>
</file>

<file path=docProps/custom.xml><?xml version="1.0" encoding="utf-8"?>
<Properties xmlns="http://schemas.openxmlformats.org/officeDocument/2006/custom-properties" xmlns:vt="http://schemas.openxmlformats.org/officeDocument/2006/docPropsVTypes"/>
</file>