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chương-3-phương-pháp-nghiên-cứu"/>
    <w:p>
      <w:pPr>
        <w:pStyle w:val="Heading1"/>
      </w:pPr>
      <w:r>
        <w:t xml:space="preserve">CHƯƠNG 3: PHƯƠNG PHÁP NGHIÊN CỨU</w:t>
      </w:r>
    </w:p>
    <w:bookmarkEnd w:id="20"/>
    <w:p>
      <w:r>
        <w:pict>
          <v:rect style="width:0;height:1.5pt" o:hralign="center" o:hrstd="t" o:hr="t"/>
        </w:pict>
      </w:r>
    </w:p>
    <w:bookmarkStart w:id="26" w:name="thiết-kế-nghiên-cứu-tổng-thể"/>
    <w:p>
      <w:pPr>
        <w:pStyle w:val="Heading2"/>
      </w:pPr>
      <w:r>
        <w:t xml:space="preserve">3.1 Thiết kế nghiên cứu tổng thể</w:t>
      </w:r>
    </w:p>
    <w:bookmarkStart w:id="21"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hỗn hợp tổng hợp–thực nghiệm</w:t>
      </w:r>
      <w:r>
        <w:t xml:space="preserve"> </w:t>
      </w:r>
      <w:r>
        <w:t xml:space="preserve">gồm hai giai đoạn bổ sung cho nhau. Giai đoạn thứ nhất là phân tích tổng hợp tài liệu để trả lời RQ1, còn giai đoạn thứ hai là phân tích thực nghiệm doanh nghiệp đa quốc gia để trả lời RQ2–RQ4. Hai giai đoạn đối thoại hai chiều: phân tích tổng hợp cung cấp cơ sở và gợi ý biến điều tiết cần kiểm định, còn thực nghiệm cung cấp bằng chứng bổ sung cho phân tích tổng hợp về bối cảnh châu Á và Pacific.</w:t>
      </w:r>
    </w:p>
    <w:p>
      <w:pPr>
        <w:pStyle w:val="BodyText"/>
      </w:pPr>
      <w:r>
        <w:rPr>
          <w:bCs/>
          <w:b/>
        </w:rPr>
        <w:t xml:space="preserve">Cơ sở kế thừa</w:t>
      </w:r>
      <w:r>
        <w:t xml:space="preserve">: Thiết kế hỗn hợp kết hợp phân tích tổng hợp và dữ liệu sơ cấp đã được áp dụng trong quản trị chiến lược và IB (Borenstein et al., 2009; Hunter &amp; Schmidt, 2004; Combs et al., 2011).</w:t>
      </w:r>
    </w:p>
    <w:p>
      <w:pPr>
        <w:pStyle w:val="BodyText"/>
      </w:pPr>
      <w:r>
        <w:rPr>
          <w:bCs/>
          <w:b/>
        </w:rPr>
        <w:t xml:space="preserve">Đóng góp mới</w:t>
      </w:r>
      <w:r>
        <w:t xml:space="preserve">: Áp dụng thiết kế hỗn hợp cho một luận án duy nhất về quốc tế hóa–hiệu quả hoạt động kinh doanh của doanh nghiệp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giai đoạn. Quy mô 50 nền kinh tế/88.869 doanh nghiệp là phạm vi địa lý lớn nhất từng có cho khu vực, mở rộng từ mẫu gộp 17 nước trong nghiên cứu thành phần P1.</w:t>
      </w:r>
    </w:p>
    <w:bookmarkEnd w:id="21"/>
    <w:bookmarkStart w:id="25"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phân tích tổng hợp trước đây; (ii) xây dựng khung lý thuyết tích hợp đa tầng và hệ giả thuyết H1–H6; (iii) tiến hành phân tích tổng hợp cập nhật 1977–2026; (iv) thu thập và chuẩn hóa dữ liệu WBES cho</w:t>
      </w:r>
      <w:r>
        <w:t xml:space="preserve"> </w:t>
      </w:r>
      <w:r>
        <w:rPr>
          <w:bCs/>
          <w:b/>
        </w:rPr>
        <w:t xml:space="preserve">50 nền kinh tế châu Á và Thái Bình Dương</w:t>
      </w:r>
      <w:r>
        <w:t xml:space="preserve"> </w:t>
      </w:r>
      <w:r>
        <w:t xml:space="preserve">sau khi hòa hợp 3 thế hệ lược đồ (PICS3, Standardized, BREADY/BEE); (v) ước lượng mô hình thực nghiệm theo bối cảnh quốc gia và đa quốc gia; (vi) kiểm định độ vững và tích hợp kết quả để đóng góp lý thuyết. Toàn bộ quy trình và quan hệ bổ sung hai chiều giữa hai giai đoạn được trình bày ở Hình 3.1.</w:t>
      </w:r>
    </w:p>
    <w:p>
      <w:pPr>
        <w:pStyle w:val="BodyText"/>
      </w:pPr>
      <w:r>
        <w:drawing>
          <wp:inline>
            <wp:extent cx="5753100" cy="6240061"/>
            <wp:effectExtent b="0" l="0" r="0" t="0"/>
            <wp:docPr descr="" title="" id="23" name="Picture"/>
            <a:graphic>
              <a:graphicData uri="http://schemas.openxmlformats.org/drawingml/2006/picture">
                <pic:pic>
                  <pic:nvPicPr>
                    <pic:cNvPr descr="figures/fig_3_1_research_process.png" id="24" name="Picture"/>
                    <pic:cNvPicPr>
                      <a:picLocks noChangeArrowheads="1" noChangeAspect="1"/>
                    </pic:cNvPicPr>
                  </pic:nvPicPr>
                  <pic:blipFill>
                    <a:blip r:embed="rId22"/>
                    <a:stretch>
                      <a:fillRect/>
                    </a:stretch>
                  </pic:blipFill>
                  <pic:spPr bwMode="auto">
                    <a:xfrm>
                      <a:off x="0" y="0"/>
                      <a:ext cx="5753100" cy="6240061"/>
                    </a:xfrm>
                    <a:prstGeom prst="rect">
                      <a:avLst/>
                    </a:prstGeom>
                    <a:noFill/>
                    <a:ln w="9525">
                      <a:noFill/>
                      <a:headEnd/>
                      <a:tailEnd/>
                    </a:ln>
                  </pic:spPr>
                </pic:pic>
              </a:graphicData>
            </a:graphic>
          </wp:inline>
        </w:drawing>
      </w:r>
    </w:p>
    <w:p>
      <w:pPr>
        <w:pStyle w:val="BodyText"/>
      </w:pPr>
      <w:r>
        <w:rPr>
          <w:bCs/>
          <w:b/>
        </w:rPr>
        <w:t xml:space="preserve">Hình 3.1.</w:t>
      </w:r>
      <w:r>
        <w:t xml:space="preserve"> </w:t>
      </w:r>
      <w:r>
        <w:rPr>
          <w:iCs/>
          <w:i/>
        </w:rPr>
        <w:t xml:space="preserve">Quy trình nghiên cứu của luận án.</w:t>
      </w:r>
      <w:r>
        <w:t xml:space="preserve"> </w:t>
      </w:r>
      <w:r>
        <w:t xml:space="preserve">Mũi tên liền thể hiện trình tự thực hiện; mũi tên hai chiều thể hiện quan hệ bổ sung giữa hai giai đoạn (phân tích tổng hợp gợi ý biến điều tiết cần kiểm định; phân tích thực nghiệm cung cấp bằng chứng châu Á và Thái Bình Dương cho phân tích tổng hợp).</w:t>
      </w:r>
      <w:r>
        <w:t xml:space="preserve"> </w:t>
      </w:r>
      <w:r>
        <w:rPr>
          <w:iCs/>
          <w:i/>
        </w:rPr>
        <w:t xml:space="preserve">Nguồn: tác giả xây dựng.</w:t>
      </w:r>
    </w:p>
    <w:bookmarkEnd w:id="25"/>
    <w:bookmarkEnd w:id="26"/>
    <w:bookmarkStart w:id="31" w:name="giai-đoạn-1-phân-tích-tổng-hợp-19772026"/>
    <w:p>
      <w:pPr>
        <w:pStyle w:val="Heading2"/>
      </w:pPr>
      <w:r>
        <w:t xml:space="preserve">3.2 Giai đoạn 1: Phân tích tổng hợp 1977–2026</w:t>
      </w:r>
    </w:p>
    <w:bookmarkStart w:id="27" w:name="cơ-sở-kế-thừa"/>
    <w:p>
      <w:pPr>
        <w:pStyle w:val="Heading3"/>
      </w:pPr>
      <w:r>
        <w:t xml:space="preserve">3.2.1 Cơ sở kế thừa</w:t>
      </w:r>
    </w:p>
    <w:p>
      <w:pPr>
        <w:pStyle w:val="FirstParagraph"/>
      </w:pPr>
      <w:r>
        <w:t xml:space="preserve">phân tích tổng hợp trong IB đã được thiết lập vững chắc qua nhiều thập kỷ (Hunter &amp; Schmidt, 2004; Borenstein et al., 2009). Phương pháp chuẩn bao gồm: xây dựng tiêu chí lựa chọn theo PRISMA (Page et al., 2021), chuyển dạng hiệu ứng bằng Fisher’s</w:t>
      </w:r>
      <w:r>
        <w:t xml:space="preserve"> </w:t>
      </w:r>
      <m:oMath>
        <m:r>
          <m:t>z</m:t>
        </m:r>
      </m:oMath>
      <w:r>
        <w:t xml:space="preserve">, tính hiệu ứng gộp size theo hiệu ứng ngẫu nhiên, kiểm định dị biệt bằng</w:t>
      </w:r>
      <w:r>
        <w:t xml:space="preserve"> </w:t>
      </w:r>
      <m:oMath>
        <m:r>
          <m:t>Q</m:t>
        </m:r>
      </m:oMath>
      <w:r>
        <w:t xml:space="preserve">-test và</w:t>
      </w:r>
      <w:r>
        <w:t xml:space="preserve"> </w:t>
      </w:r>
      <m:oMath>
        <m:sSup>
          <m:e>
            <m:r>
              <m:t>I</m:t>
            </m:r>
          </m:e>
          <m:sup>
            <m:r>
              <m:t>2</m:t>
            </m:r>
          </m:sup>
        </m:sSup>
      </m:oMath>
      <w:r>
        <w:t xml:space="preserve">, và đánh giá lệch lạc công bố bằng Egger và Begg-Mazumdar (Egger et al., 1997; Begg &amp; Mazumdar, 1994). Các các phân tích tổng hợp trước đây về quốc tế hóa và hiệu quả (Bausch &amp; Krist, 2007; Kirca et al., 2012; Marano et al., 2016; Wu et al., 2022; Arte &amp; Larimo, 2022) cung cấp quy trình mẫu mà luận án kế thừa và cập nhật.</w:t>
      </w:r>
    </w:p>
    <w:bookmarkEnd w:id="27"/>
    <w:bookmarkStart w:id="28" w:name="đóng-góp-mớiđiều-chỉnh"/>
    <w:p>
      <w:pPr>
        <w:pStyle w:val="Heading3"/>
      </w:pPr>
      <w:r>
        <w:t xml:space="preserve">3.2.2 Đóng góp mới/điều chỉnh</w:t>
      </w:r>
    </w:p>
    <w:p>
      <w:pPr>
        <w:numPr>
          <w:ilvl w:val="0"/>
          <w:numId w:val="1001"/>
        </w:numPr>
        <w:pStyle w:val="Compact"/>
      </w:pPr>
      <w:r>
        <w:rPr>
          <w:bCs/>
          <w:b/>
        </w:rPr>
        <w:t xml:space="preserve">Mở rộng coverage time</w:t>
      </w:r>
      <w:r>
        <w:t xml:space="preserve">: từ 1977–2022 (bài ICBEF 2025) sang</w:t>
      </w:r>
      <w:r>
        <w:t xml:space="preserve"> </w:t>
      </w:r>
      <w:r>
        <w:rPr>
          <w:bCs/>
          <w:b/>
        </w:rPr>
        <w:t xml:space="preserve">1977–2026</w:t>
      </w:r>
      <w:r>
        <w:t xml:space="preserve">, bổ sung các nghiên cứu 2023–2026 liên quan đến chuyển đổi số và doanh nghiệp đa quốc gia thị trường mới nổi.</w:t>
      </w:r>
    </w:p>
    <w:p>
      <w:pPr>
        <w:numPr>
          <w:ilvl w:val="0"/>
          <w:numId w:val="1001"/>
        </w:numPr>
        <w:pStyle w:val="Compact"/>
      </w:pPr>
      <w:r>
        <w:rPr>
          <w:bCs/>
          <w:b/>
        </w:rPr>
        <w:t xml:space="preserve">Mở rộng biến điều tiết coverage</w:t>
      </w:r>
      <w:r>
        <w:t xml:space="preserve">: thêm cụm biến điều tiết về năng lực số và 6 chế độ con ICRV, chưa được xem xét đầy đủ trong các các phân tích tổng hợp trước.</w:t>
      </w:r>
    </w:p>
    <w:p>
      <w:pPr>
        <w:numPr>
          <w:ilvl w:val="0"/>
          <w:numId w:val="1001"/>
        </w:numPr>
        <w:pStyle w:val="Compact"/>
      </w:pPr>
      <w:r>
        <w:rPr>
          <w:bCs/>
          <w:b/>
        </w:rPr>
        <w:t xml:space="preserve">Tập tổng hợp</w:t>
      </w:r>
      <w:r>
        <w:t xml:space="preserve">: K=288 cỡ ảnh hưởng / k=238 nghiên cứu, được xây dựng theo chiến lược tìm kiếm hệ thống nhưng có giới hạn (neo theo trích dẫn: quét trích dẫn xuôi và ngược từ 5 phân tích tổng hợp mỏ neo, bổ sung bằng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2025 (K=200 / k=113).</w:t>
      </w:r>
    </w:p>
    <w:p>
      <w:pPr>
        <w:numPr>
          <w:ilvl w:val="0"/>
          <w:numId w:val="1001"/>
        </w:numPr>
        <w:pStyle w:val="Compact"/>
      </w:pPr>
      <w:r>
        <w:rPr>
          <w:bCs/>
          <w:b/>
        </w:rPr>
        <w:t xml:space="preserve">Subgroup theo châu Á và Pacific</w:t>
      </w:r>
      <w:r>
        <w:t xml:space="preserve">: tách riêng nhóm nghiên cứu về doanh nghiệp châu Á và Pacific để cung cấp cơ sở trực tiếp cho giai đoạn thực nghiệm, đối chiếu với mẫu gộp 17 nước trong nghiên cứu thành phần P1.</w:t>
      </w:r>
    </w:p>
    <w:bookmarkEnd w:id="28"/>
    <w:bookmarkStart w:id="29"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lựa chọn: nghiên cứu thực nghiệm ở cấp doanh nghiệp, có đo lường quốc tế hóa và hiệu quả hoạt động kinh doanh của doanh nghiệp, có đủ thống kê để tính cỡ ảnh hưởng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29"/>
    <w:bookmarkStart w:id="30" w:name="Xd4c164ee6604550537899b3ed376afa74960928"/>
    <w:p>
      <w:pPr>
        <w:pStyle w:val="Heading3"/>
      </w:pPr>
      <w:r>
        <w:t xml:space="preserve">3.2.4 Công cụ trích xuất dữ liệu và công bố sử dụng trí tuệ nhân tạo</w:t>
      </w:r>
    </w:p>
    <w:p>
      <w:pPr>
        <w:pStyle w:val="FirstParagraph"/>
      </w:pPr>
      <w:r>
        <w:t xml:space="preserve">Việc trích xuất cỡ ảnh hưởng từ K=288 ước lượng (k=238 nghiên cứu) được thực hiện bằng phần mềm chuyên dụng</w:t>
      </w:r>
      <w:r>
        <w:t xml:space="preserve"> </w:t>
      </w:r>
      <w:r>
        <w:rPr>
          <w:bCs/>
          <w:b/>
        </w:rPr>
        <w:t xml:space="preserve">M-AIDA</w:t>
      </w:r>
      <w:r>
        <w:t xml:space="preserve"> </w:t>
      </w:r>
      <w:r>
        <w:t xml:space="preserve">(Meta-Analysis Intelligent Data Assistant, phiên bản 7.0) do chính nghiên cứu sinh phát triển và đã nộp hồ sơ đăng ký quyền tác giả. M-AIDA dùng mô hình ngôn ngữ lớn (large language model, LLM) để đọc và trích các thống kê gốc (cỡ mẫu</w:t>
      </w:r>
      <w:r>
        <w:t xml:space="preserve"> </w:t>
      </w:r>
      <m:oMath>
        <m:r>
          <m:t>N</m:t>
        </m:r>
      </m:oMath>
      <w:r>
        <w:t xml:space="preserve">, hệ số tương quan</w:t>
      </w:r>
      <w:r>
        <w:t xml:space="preserve"> </w:t>
      </w:r>
      <m:oMath>
        <m:r>
          <m:t>r</m:t>
        </m:r>
      </m:oMath>
      <w:r>
        <w:t xml:space="preserve">, thống kê</w:t>
      </w:r>
      <w:r>
        <w:t xml:space="preserve"> </w:t>
      </w:r>
      <m:oMath>
        <m:r>
          <m:t>t</m:t>
        </m:r>
      </m:oMath>
      <w:r>
        <w:t xml:space="preserve">, bậc tự do</w:t>
      </w:r>
      <w:r>
        <w:t xml:space="preserve"> </w:t>
      </w:r>
      <m:oMath>
        <m:r>
          <m:t>d</m:t>
        </m:r>
        <m:r>
          <m:t>f</m:t>
        </m:r>
      </m:oMath>
      <w:r>
        <w:t xml:space="preserve">, hệ số hồi quy chuẩn hóa</w:t>
      </w:r>
      <w:r>
        <w:t xml:space="preserve"> </w:t>
      </w:r>
      <m:oMath>
        <m:r>
          <m:t>β</m:t>
        </m:r>
      </m:oMath>
      <w:r>
        <w:t xml:space="preserve">, giá trị</w:t>
      </w:r>
      <w:r>
        <w:t xml:space="preserve"> </w:t>
      </w:r>
      <m:oMath>
        <m:r>
          <m:t>p</m:t>
        </m:r>
      </m:oMath>
      <w:r>
        <w:t xml:space="preserve">, khoảng tin cậy) từ bản PDF của từng nghiên cứu, kèm điểm tin cậy trích xuất (extraction confidence) ba mức — 1,0 khi lấy trực tiếp</w:t>
      </w:r>
      <w:r>
        <w:t xml:space="preserve"> </w:t>
      </w:r>
      <m:oMath>
        <m:r>
          <m:t>r</m:t>
        </m:r>
      </m:oMath>
      <w:r>
        <w:t xml:space="preserve">; 0,8 khi suy từ</w:t>
      </w:r>
      <w:r>
        <w:t xml:space="preserve"> </w:t>
      </w:r>
      <m:oMath>
        <m:r>
          <m:t>t</m:t>
        </m:r>
      </m:oMath>
      <w:r>
        <w:t xml:space="preserve">; 0,6 khi suy từ</w:t>
      </w:r>
      <w:r>
        <w:t xml:space="preserve"> </w:t>
      </w:r>
      <m:oMath>
        <m:r>
          <m:t>β</m:t>
        </m:r>
      </m:oMath>
      <w:r>
        <w:t xml:space="preserve"> </w:t>
      </w:r>
      <w:r>
        <w:t xml:space="preserve">theo Peterson và Brown (2005) — và tự động gắn cờ cần xác minh đối với mọi bản ghi có độ tin cậy dưới 0,7.</w:t>
      </w:r>
    </w:p>
    <w:p>
      <w:pPr>
        <w:pStyle w:val="BodyText"/>
      </w:pPr>
      <w:r>
        <w:t xml:space="preserve">Để bảo đảm liêm chính và khả năng tái lập, luận án áp dụng nguyên tắc</w:t>
      </w:r>
      <w:r>
        <w:t xml:space="preserve"> </w:t>
      </w:r>
      <w:r>
        <w:rPr>
          <w:bCs/>
          <w:b/>
        </w:rPr>
        <w:t xml:space="preserve">con người trong vòng lặp (human-in-the-loop) với kiểm chứng toàn bộ (100%) bởi nghiên cứu sinh</w:t>
      </w:r>
      <w:r>
        <w:t xml:space="preserve"> </w:t>
      </w:r>
      <w:r>
        <w:t xml:space="preserve">trong vai trò chủ trì nghiên cứu (Principal Investigator): (i) LLM</w:t>
      </w:r>
      <w:r>
        <w:t xml:space="preserve"> </w:t>
      </w:r>
      <w:r>
        <w:rPr>
          <w:bCs/>
          <w:b/>
        </w:rPr>
        <w:t xml:space="preserve">chỉ</w:t>
      </w:r>
      <w:r>
        <w:t xml:space="preserve"> </w:t>
      </w:r>
      <w:r>
        <w:t xml:space="preserve">trích xuất thống kê và</w:t>
      </w:r>
      <w:r>
        <w:t xml:space="preserve"> </w:t>
      </w:r>
      <w:r>
        <w:rPr>
          <w:bCs/>
          <w:b/>
        </w:rPr>
        <w:t xml:space="preserve">không</w:t>
      </w:r>
      <w:r>
        <w:t xml:space="preserve"> </w:t>
      </w:r>
      <w:r>
        <w:t xml:space="preserve">suy đoán các biến điều tiết thể chế — các nhãn chế độ ICRV, pha DPL và chỉ số cDAI do nghiên cứu sinh gán thủ công từ bảng tra cứu ngoài (WGI Rule of Law, năm dữ liệu trung vị, Digital Adoption Index), bảo đảm tính kiểm chứng độc lập; (ii) mỗi bản ghi phải được nghiên cứu sinh phê duyệt — với quyền ghi đè bất kỳ trường nào — trước khi được</w:t>
      </w:r>
      <w:r>
        <w:t xml:space="preserve"> </w:t>
      </w:r>
      <w:r>
        <w:rPr>
          <w:bCs/>
          <w:b/>
        </w:rPr>
        <w:t xml:space="preserve">khóa bất biến (irreversible data lock)</w:t>
      </w:r>
      <w:r>
        <w:t xml:space="preserve"> </w:t>
      </w:r>
      <w:r>
        <w:t xml:space="preserve">kèm dấu thời gian; (iii) chỉ các bản ghi đã khóa mới được đưa vào tập phân tích tổng hợp. Cơ chế hai bước phê duyệt–khóa tạo dấu vết kiểm toán (audit trail) phân tách rạch ròi phần do máy trích xuất và phần do con người quyết định, phù hợp với chuẩn mực công bố sử dụng trí tuệ nhân tạo ngày càng được các tạp chí học thuật yêu cầu. Kiến trúc, quy trình trích xuất–chuyển đổi cỡ ảnh hưởng và cơ chế quản trị dữ liệu của M-AIDA được trình bày chi tiết ở</w:t>
      </w:r>
      <w:r>
        <w:t xml:space="preserve"> </w:t>
      </w:r>
      <w:r>
        <w:rPr>
          <w:bCs/>
          <w:b/>
        </w:rPr>
        <w:t xml:space="preserve">Phụ lục B</w:t>
      </w:r>
      <w:r>
        <w:t xml:space="preserve">.</w:t>
      </w:r>
    </w:p>
    <w:bookmarkEnd w:id="30"/>
    <w:bookmarkEnd w:id="31"/>
    <w:bookmarkStart w:id="48" w:name="X2f2dc61cf51b22160123af8668c978f8ce43175"/>
    <w:p>
      <w:pPr>
        <w:pStyle w:val="Heading2"/>
      </w:pPr>
      <w:r>
        <w:t xml:space="preserve">3.3 Giai đoạn 2: Phân tích thực nghiệm đa quốc gia</w:t>
      </w:r>
    </w:p>
    <w:bookmarkStart w:id="32"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2006–2026</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kết quả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châu Á mới nổi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chế độ con ICRV (Advanced innovation-driven, tiên tiến tài nguyên, trung bình cao, chuyển đổi thu nhập trung bình thấp, đang nổi, SIDS). Quy mô này là lớn nhất cho khu vực trong tài liệu quốc tế hóa–performance, gồm cả trường hợp biên đảo nhỏ Thái Bình Dương (7 nước, n=959 (mẫu phân tích sau lọc missing)) cho phép kiểm định forced quốc tế hóa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tài liệu IB sử dụng WBES (Aterido et al., 2011; Cuervo-Cazurra et al., 2018); (2) hiệu ứng cố định ở cấp cặp nền kinh tế và năm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32"/>
    <w:bookmarkStart w:id="33"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module khác nhau: thế hệ PICS3 đời đầu, thế hệ Standardized toàn cầu áp dụng từ năm 2006, và thế hệ BREADY/BEE gần đây. Sự thay đổi này tạo ra thách thức then chốt cho hợp nhất đa quốc gia, vì cùng một khái niệm có thể được hỏi bằng trường khác nhau hoặc thiếu hẳn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đặc tả để bảo đảm kết quả không bị chi phối bởi cơ chế khuyết. Toàn bộ thao tác chi tiết của quy trình sáu bước, cùng dòng dữ liệu kiểu PRISMA và mã tái lập, được trình bày đầy đủ ở Phụ lục A.</w:t>
      </w:r>
    </w:p>
    <w:bookmarkEnd w:id="33"/>
    <w:bookmarkStart w:id="34"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năng suất lao động được sử dụng rộng rãi trong nghiên cứu WBES và trong tài liệu về firm productivity (Bloom et al., 2012; Hsieh &amp; Klenow, 2009). Chỉ tiêu này đã được vận hành hóa thành công trong bài thực trạng châu Á mới nổi (nghiên cứu thành phần P1).</w:t>
      </w:r>
    </w:p>
    <w:p>
      <w:pPr>
        <w:pStyle w:val="BodyText"/>
      </w:pPr>
      <w:r>
        <w:rPr>
          <w:bCs/>
          <w:b/>
        </w:rPr>
        <w:t xml:space="preserve">Lập luận chọn</w:t>
      </w:r>
      <w:r>
        <w:t xml:space="preserve">: WBES không phải bộ financial statement đầy đủ, nên năng suất lao động phù hợp hơn ROA/ROE/ROS trong bối cảnh đa quốc gia. Ngoài ra, năng suất lao động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nor/>
                <m:sty m:val="p"/>
              </m:rPr>
              <m:t>LP</m:t>
            </m:r>
          </m:e>
        </m:d>
      </m:oMath>
      <w:r>
        <w:t xml:space="preserve"> </w:t>
      </w:r>
      <w:r>
        <w:t xml:space="preserve">từ trường WBES d2/l1 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đợt/hiệu ứng cố định năm (P5:</w:t>
      </w:r>
      <w:r>
        <w:t xml:space="preserve"> </w:t>
      </w:r>
      <m:oMath>
        <m:sSub>
          <m:e>
            <m:r>
              <m:t>D</m:t>
            </m:r>
          </m:e>
          <m:sub>
            <m:r>
              <m:t>2024</m:t>
            </m:r>
          </m:sub>
        </m:sSub>
      </m:oMath>
      <w:r>
        <w:t xml:space="preserve">; P3 bổ sung hiệu chỉnh PPP cho khoảng cách 14 năm 2009–2023), kèm winsorize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nor/>
                <m:sty m:val="p"/>
              </m:rPr>
              <m:t>LP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 FSTS bằng</w:t>
      </w:r>
      <w:r>
        <w:t xml:space="preserve"> </w:t>
      </w:r>
      <w:r>
        <w:rPr>
          <w:bCs/>
          <w:b/>
        </w:rPr>
        <w:t xml:space="preserve">tổng xuất khẩu trực tiếp và gián tiếp</w:t>
      </w:r>
      <w:r>
        <w:t xml:space="preserve"> </w:t>
      </w:r>
      <w:r>
        <w:t xml:space="preserve">(trường WBES d3b + d3c),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(d3c),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tài liệu về quan hệ quốc tế hóa và hiệu quả (Lu &amp; Beamish, 2001; Sullivan, 1994); lựa chọn thao tác hóa được ghi rõ trong phần dữ liệu của từng nghiên cứu thành phần.</w:t>
      </w:r>
    </w:p>
    <w:p>
      <w:pPr>
        <w:pStyle w:val="BodyText"/>
      </w:pPr>
      <w:r>
        <w:rPr>
          <w:bCs/>
          <w:b/>
        </w:rPr>
        <w:t xml:space="preserve">Biến độ vững</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hiệu quả hoạt động kinh doanh của doanh nghiệp là khái niệm đa chiều và việc lựa chọn thước đo phải phù hợp với bối cảnh dữ liệu (xem Chương 2).</w:t>
      </w:r>
    </w:p>
    <w:bookmarkEnd w:id="34"/>
    <w:bookmarkStart w:id="35"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giữa các nước, một mối đe dọa hiệu lực được xử lý qua thiết kế ước lượng chứ không qua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khử triệt để khác biệt đơn vị tiền tệ và mặt bằng giá, đồng thời bảo toàn cấu trúc biến thiên bên trong mỗi nước, nơi diễn ra việc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35"/>
    <w:bookmarkStart w:id="36"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cường độ xuất khẩu (FSTS, tỷ lệ doanh thu xuất khẩu trên tổng doanh thu). Mô hình đưa vào đồng thời</w:t>
      </w:r>
      <w:r>
        <w:t xml:space="preserve"> </w:t>
      </w:r>
      <m:oMath>
        <m:r>
          <m:t>F</m:t>
        </m:r>
        <m:r>
          <m:t>S</m:t>
        </m:r>
        <m:r>
          <m:t>T</m:t>
        </m:r>
        <m:r>
          <m:t>S</m:t>
        </m:r>
      </m:oMath>
      <w:r>
        <w:t xml:space="preserve"> </w:t>
      </w:r>
      <w:r>
        <w:t xml:space="preserve">và</w:t>
      </w:r>
      <w:r>
        <w:t xml:space="preserve"> </w:t>
      </w:r>
      <m:oMath>
        <m:r>
          <m:t>F</m:t>
        </m:r>
        <m:r>
          <m:t>S</m:t>
        </m:r>
        <m:r>
          <m:t>T</m:t>
        </m:r>
        <m:sSup>
          <m:e>
            <m:r>
              <m:t>S</m:t>
            </m:r>
          </m:e>
          <m:sup>
            <m:r>
              <m:t>2</m:t>
            </m:r>
          </m:sup>
        </m:sSup>
      </m:oMath>
      <w:r>
        <w:t xml:space="preserve"> </w:t>
      </w:r>
      <w:r>
        <w:t xml:space="preserve">để kiểm định quan hệ phi tuyến dạng chữ U ngược.</w:t>
      </w:r>
    </w:p>
    <w:p>
      <w:pPr>
        <w:pStyle w:val="BodyText"/>
      </w:pPr>
      <w:r>
        <w:rPr>
          <w:bCs/>
          <w:b/>
        </w:rPr>
        <w:t xml:space="preserve">Cơ sở kế thừa</w:t>
      </w:r>
      <w:r>
        <w:t xml:space="preserve">: FSTS là thước đo quốc tế hóa phổ biến nhất trong tài liệu về quan hệ quốc tế hóa và hiệu quả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Dạng bậc hai được nghiên cứu thành phần P2 xác nhận có ý nghĩa thống kê ở Trung Quốc với điểm uốn khoảng 47,8% FSTS, làm cơ sở cho việc kiểm định mở rộng trong luận án.</w:t>
      </w:r>
    </w:p>
    <w:bookmarkEnd w:id="36"/>
    <w:bookmarkStart w:id="37"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tạo số hạng bậc hai, cường độ xuất khẩu được trung tâm hóa quanh trung bình trong từng đợt khảo sát hoặc trong từng mẫu gộp, một quy ước làm giảm tương quan giả tạo giữa số hạng tuyến tính và số hạng bình phương, qua đó cải thiện độ ổn định số học của ước lượng và làm rõ diễn giải hệ số tại điểm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Dạng bậc hai được dùng nhất quán trong mọi nghiên cứu thành phần, vì nó đủ để nhận dạng một điểm uốn nội miền và phù hợp với mật độ phân phối cường độ xuất khẩu của các mẫu doanh nghiệp WBES; luận án không mở rộng lên dạng bậc ba để tránh nhận dạng điểm uốn không ổn định ở vùng cường độ xuất khẩu cao vốn thưa quan sát.</w:t>
      </w:r>
    </w:p>
    <w:bookmarkEnd w:id="37"/>
    <w:bookmarkStart w:id="38" w:name="X454cd0efaa6c7f71cd04aad60b675e2b8b0384f"/>
    <w:p>
      <w:pPr>
        <w:pStyle w:val="Heading3"/>
      </w:pPr>
      <w:r>
        <w:t xml:space="preserve">3.3.3.2 Vận hành hóa chi tiết cường độ xuất khẩu xuyên các nghiên cứu thành phần</w:t>
      </w:r>
    </w:p>
    <w:p>
      <w:pPr>
        <w:pStyle w:val="FirstParagraph"/>
      </w:pPr>
      <w:r>
        <w:t xml:space="preserve">Sự thống nhất khái niệm của cường độ xuất khẩu xuyên các nghiên cứu thành phần không kéo theo một định nghĩa thao tác duy nhất, mà là một họ định nghĩa được hiệu chỉnh theo bản chất bộ công cụ của từng đợt và theo câu hỏi nghiên cứu. Khung đa quốc gia cộng gộp xuất khẩu trực tiếp và gián tiếp rồi chia cho một trăm để đưa về tỷ trọng, cụ thể</w:t>
      </w:r>
      <w:r>
        <w:t xml:space="preserve"> </w:t>
      </w:r>
      <m:oMath>
        <m:r>
          <m:t>F</m:t>
        </m:r>
        <m:r>
          <m:t>S</m:t>
        </m:r>
        <m:r>
          <m:t>T</m:t>
        </m:r>
        <m:r>
          <m:t>S</m:t>
        </m:r>
        <m:r>
          <m:rPr>
            <m:sty m:val="p"/>
          </m:rPr>
          <m:t>=</m:t>
        </m:r>
        <m:d>
          <m:dPr>
            <m:begChr m:val="("/>
            <m:endChr m:val=")"/>
            <m:sepChr m:val=""/>
            <m:grow/>
          </m:dPr>
          <m:e>
            <m:r>
              <m:t>d</m:t>
            </m:r>
            <m:r>
              <m:t>3</m:t>
            </m:r>
            <m:r>
              <m:t>b</m:t>
            </m:r>
            <m:r>
              <m:rPr>
                <m:sty m:val="p"/>
              </m:rPr>
              <m:t>+</m:t>
            </m:r>
            <m:r>
              <m:t>d</m:t>
            </m:r>
            <m:r>
              <m:t>3</m:t>
            </m:r>
            <m:r>
              <m:t>c</m:t>
            </m:r>
          </m:e>
        </m:d>
        <m:r>
          <m:rPr>
            <m:sty m:val="p"/>
          </m:rPr>
          <m:t>/</m:t>
        </m:r>
        <m:r>
          <m:t>100</m:t>
        </m:r>
      </m:oMath>
      <w:r>
        <w:t xml:space="preserve"> </w:t>
      </w:r>
      <w:r>
        <w:t xml:space="preserve">với miền giá trị từ 0 đến 1, đúng định nghĩa tham gia xuất khẩu chuẩn của bộ công cụ toàn cầu; trung bình mẫu của tỷ trọng này trong mẫu gộp năm mươi nền là 9,0%. Ngược lại, hai nghiên cứu đơn quốc gia dùng riêng xuất khẩu trực tiếp dựng từ một trường khảo sát: ở Trung Quốc cường độ xuất khẩu là tỷ trọng doanh thu xuất khẩu trực tiếp, còn ở đảo nhỏ Thái Bình Dương cường độ xuất khẩu được dựng từ trường</w:t>
      </w:r>
      <w:r>
        <w:t xml:space="preserve"> </w:t>
      </w:r>
      <w:r>
        <w:rPr>
          <w:rStyle w:val="VerbatimChar"/>
        </w:rPr>
        <w:t xml:space="preserve">d3c</w:t>
      </w:r>
      <w:r>
        <w:t xml:space="preserve"> </w:t>
      </w:r>
      <w:r>
        <w:t xml:space="preserve">chia cho một trăm. Lý do lựa chọn riêng xuất khẩu trực tiếp đã nêu ở Mục 3.3.3.1: xuất khẩu gián tiếp ủy thác chức năng quốc tế hóa cho trung gian thương mại, mang cơ chế học hỏi và yêu cầu nguồn lực khác về bản chất.</w:t>
      </w:r>
    </w:p>
    <w:p>
      <w:pPr>
        <w:pStyle w:val="BodyText"/>
      </w:pPr>
      <w:r>
        <w:t xml:space="preserve">Doanh nghiệp không xuất khẩu nhận giá trị cường độ bằng 0 và được giữ trong mẫu, vì giá trị này phản ánh trạng thái phi xuất khẩu hợp lệ chứ không phải dữ liệu khuyết; điểm uốn của quan hệ do đó được nhận dạng trên toàn mẫu chứ không chỉ trên tập doanh nghiệp xuất khẩu. Quy ước này đặc biệt hệ trọng ở đảo nhỏ Thái Bình Dương, nơi chỉ 132 trong số 959 quan sát phân tích, tương đương 13,8%, là doanh nghiệp có xuất khẩu với cường độ dương: loại bỏ nhóm phi xuất khẩu sẽ làm sụp đổ công suất thống kê và làm sai lệch ước lượng ở biên tham gia.</w:t>
      </w:r>
    </w:p>
    <w:p>
      <w:pPr>
        <w:pStyle w:val="BodyText"/>
      </w:pPr>
      <w:r>
        <w:t xml:space="preserve">Quy ước trung tâm hóa được áp dụng nhất quán nhưng theo hai cấp khác nhau. Ở mẫu gộp đa quốc gia, cường độ xuất khẩu được trung tâm hóa quanh trung bình toàn mẫu trước khi lập bình phương. Ở các nghiên cứu đa đợt, cường độ xuất khẩu được trung tâm hóa trong từng đợt nhằm chặn khác biệt thành phần mẫu giữa các đợt làm nhiễu vị trí điểm uốn. Trung tâm hóa làm giảm tương quan giả tạo giữa số hạng tuyến tính và số hạng bình phương mà không làm dịch chuyển vị trí điểm uốn, vì công thức điểm uốn</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bất biến với phép trung tâm hóa; điểm uốn trên thang trung tâm hóa được quy đổi về thang gốc bằng cách cộng trung bình mẫu, tức</w:t>
      </w:r>
      <w:r>
        <w:t xml:space="preserve"> </w:t>
      </w:r>
      <m:oMath>
        <m:r>
          <m:t>T</m:t>
        </m:r>
        <m:r>
          <m: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t>F</m:t>
            </m:r>
            <m:r>
              <m:t>S</m:t>
            </m:r>
            <m:r>
              <m:t>T</m:t>
            </m:r>
            <m:r>
              <m:t>S</m:t>
            </m:r>
          </m:e>
        </m:bar>
      </m:oMath>
      <w:r>
        <w:t xml:space="preserve">.</w:t>
      </w:r>
    </w:p>
    <w:bookmarkEnd w:id="38"/>
    <w:bookmarkStart w:id="42" w:name="đo-lường-biến-điều-tiết"/>
    <w:p>
      <w:pPr>
        <w:pStyle w:val="Heading3"/>
      </w:pPr>
      <w:r>
        <w:t xml:space="preserve">3.3.4 Đo lường biến điều tiết</w:t>
      </w:r>
    </w:p>
    <w:bookmarkStart w:id="39" w:name="digital-constructs-tci-và-dai"/>
    <w:p>
      <w:pPr>
        <w:pStyle w:val="Heading4"/>
      </w:pPr>
      <w:r>
        <w:t xml:space="preserve">Digital constructs (TCI và DAI)</w:t>
      </w:r>
    </w:p>
    <w:p>
      <w:pPr>
        <w:pStyle w:val="FirstParagraph"/>
      </w:pPr>
      <w:r>
        <w:t xml:space="preserve">Luận án phân biệt rõ hai cấu trúc:</w:t>
      </w:r>
    </w:p>
    <w:p>
      <w:pPr>
        <w:numPr>
          <w:ilvl w:val="0"/>
          <w:numId w:val="1002"/>
        </w:numPr>
        <w:pStyle w:val="Compact"/>
      </w:pPr>
      <w:r>
        <w:rPr>
          <w:bCs/>
          <w:b/>
        </w:rPr>
        <w:t xml:space="preserve">Technological Capability Index (TCI)</w:t>
      </w:r>
      <w:r>
        <w:t xml:space="preserve">: chiều sâu năng lực công nghệ, tổng hợp từ cấp phép công nghệ nước ngoài, chi tiêu nghiên cứu và phát triển, đổi mới sản phẩm, và chứng nhận chất lượng.</w:t>
      </w:r>
    </w:p>
    <w:p>
      <w:pPr>
        <w:numPr>
          <w:ilvl w:val="0"/>
          <w:numId w:val="1002"/>
        </w:numPr>
        <w:pStyle w:val="Compact"/>
      </w:pPr>
      <w:r>
        <w:rPr>
          <w:bCs/>
          <w:b/>
        </w:rPr>
        <w:t xml:space="preserve">Digital Adoption Index (DAI)</w:t>
      </w:r>
      <w:r>
        <w:t xml:space="preserve">: mức độ chấp nhận số bề mặt, tổng hợp từ website, thư điện tử, bán hàng trực tuyến (DAI_thin) hoặc bổ sung thanh toán điện tử và nhà cung cấp điện tử (DAI_rich).</w:t>
      </w:r>
    </w:p>
    <w:p>
      <w:pPr>
        <w:pStyle w:val="FirstParagraph"/>
      </w:pPr>
      <w:r>
        <w:rPr>
          <w:bCs/>
          <w:b/>
        </w:rPr>
        <w:t xml:space="preserve">Nguyên tắc không chồng lấn</w:t>
      </w:r>
      <w:r>
        <w:t xml:space="preserve">: TCI và DAI không chia sẻ thành phần chỉ báo để bảo đảm độ thuần cấu trúc. Đặc biệt, cấp phép công nghệ nước ngoài thuộc TCI chứ không được đồng thời tính vào DAI.</w:t>
      </w:r>
    </w:p>
    <w:p>
      <w:pPr>
        <w:pStyle w:val="BodyText"/>
      </w:pPr>
      <w:r>
        <w:rPr>
          <w:bCs/>
          <w:b/>
        </w:rPr>
        <w:t xml:space="preserve">Biến thể đo lường (rút gọn/đầy đủ).</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cấu thành:</w:t>
      </w:r>
    </w:p>
    <w:p>
      <w:pPr>
        <w:numPr>
          <w:ilvl w:val="0"/>
          <w:numId w:val="1003"/>
        </w:numPr>
        <w:pStyle w:val="Compact"/>
      </w:pPr>
      <w:r>
        <w:rPr>
          <w:bCs/>
          <w:b/>
        </w:rPr>
        <w:t xml:space="preserve">TCI_thin</w:t>
      </w:r>
      <w:r>
        <w:t xml:space="preserve"> </w:t>
      </w:r>
      <w:r>
        <w:t xml:space="preserve">= chuẩn hóa z của trung bình hai mục cốt lõi: chứng chỉ chất lượng quốc tế (b8) và cấp phép công nghệ nước ngoài (e6). Dùng trong các nghiên cứu Việt Nam (P3), Singapore (P4), đa quốc gia (P7) và đảo nhỏ Thái Bình Dương (P8).</w:t>
      </w:r>
    </w:p>
    <w:p>
      <w:pPr>
        <w:numPr>
          <w:ilvl w:val="0"/>
          <w:numId w:val="1003"/>
        </w:numPr>
        <w:pStyle w:val="Compact"/>
      </w:pPr>
      <w:r>
        <w:rPr>
          <w:bCs/>
          <w:b/>
        </w:rPr>
        <w:t xml:space="preserve">TCI_full</w:t>
      </w:r>
      <w:r>
        <w:t xml:space="preserve"> </w:t>
      </w:r>
      <w:r>
        <w:t xml:space="preserve">= chuẩn hóa z của trung bình bốn mục: b8, e6, đổi mới sản phẩm (h1), và chi R&amp;D (h8). Dùng trong nghiên cứu Trung Quốc (P5), nơi cả hai sóng 2012 và 2024 đều có đủ module đổi mới.</w:t>
      </w:r>
    </w:p>
    <w:p>
      <w:pPr>
        <w:pStyle w:val="FirstParagraph"/>
      </w:pPr>
      <w:r>
        <w:t xml:space="preserve">Bộ mục chính xác của mỗi nghiên cứu thành phần được nêu lại trong bảng định nghĩa biến của nghiên cứu đó (Mục 3.4.5) và Phụ lục A; khác biệt giữa biến thể rút gọn và đầy đủ phản ánh ràng buộc khả dụng dữ liệu khách quan, không phải lựa chọn tùy ý. Vì các mục là chỉ báo nhị phân của cùng một cấu trúc cấu thành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(quy trình xử lý dữ liệu thô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rút gọn nêu trên.</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giai đoạn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giao thức hài hòa hóa đo lường</w:t>
      </w:r>
      <w:r>
        <w:t xml:space="preserve"> </w:t>
      </w:r>
      <w:r>
        <w:t xml:space="preserve">trong bối cảnh WBES, đảm bảo độ thuần cấu trúc ở 50 nền kinh tế châu Á và Thái Bình Dương, với quy trình hòa hợp 3 thế hệ lược đồ. Phân tách TCI và DAI theo (i) Bharadwaj et al. (2013), năng lực công nghệ thông tin so với chiến lược kinh doanh số có mạng quan hệ lý thuyết khác nhau; (ii) phân tầng 3 cấp của Verhoef et al. (2021), số hóa dữ liệu, số hóa quy trình, chuyển đổi số; (iii) truyền thống Lall (1992) và Cohen &amp; Levinthal (1990) coi năng lực công nghệ là chiều sâu năng lực nội tại (absorptive capacity), khác về bản chất với chấp nhận số ở giao diện ngoại tại; (iv) logic điều phối nguồn lực của Bhandari et al. (2023) cho quan hệ quốc tế hóa và hiệu quả; và (v) 4 tiêu chí chỉ số hợp thành cấu thành của Coltman et al. (2008), đảm bảo TCI và DAI là hai chỉ số hợp thành độc lập.</w:t>
      </w:r>
    </w:p>
    <w:bookmarkEnd w:id="39"/>
    <w:bookmarkStart w:id="40"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chế độ con ICRV (classification từ Khanna &amp; Palepu, 2010 mở rộng).</w:t>
      </w:r>
    </w:p>
    <w:p>
      <w:pPr>
        <w:pStyle w:val="BodyText"/>
      </w:pPr>
      <w:r>
        <w:rPr>
          <w:bCs/>
          <w:b/>
        </w:rPr>
        <w:t xml:space="preserve">Cơ sở kế thừa</w:t>
      </w:r>
      <w:r>
        <w:t xml:space="preserve">: Khanna và Palepu (2010) với khoảng trống thể chế; North (1990) với institutional analysis; Marano et al. (2016) với phân tích tổng hợp evidence về institutional các biến điều tiết.</w:t>
      </w:r>
    </w:p>
    <w:bookmarkEnd w:id="40"/>
    <w:bookmarkStart w:id="41"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độ vững chứ không bắt buộc trong mô hình chính.</w:t>
      </w:r>
    </w:p>
    <w:bookmarkEnd w:id="41"/>
    <w:bookmarkEnd w:id="42"/>
    <w:bookmarkStart w:id="43"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Tầng 1 ghi nhận hiện diện số bề mặt qua chỉ báo website (trường c22b), một mục nhị phân khả dụng ở hầu hết các đợt khảo sát. Tầng 2 bổ sung các chức năng số kích hoạt giao dịch, cụ thể là thanh toán điện tử và tỷ trọng doanh thu qua kênh điện tử (trường k33), những mục chỉ xuất hiện ở các đợt khảo sát gần đây. Việc phân tầng tạo ra ba biến thể đo lường: biến thể chỉ Tầng 1 (đơn biến nhị phân) dùng ở Việt Nam và đảo nhỏ Thái Bình Dương, biến thể Tầng 1 cộng Tầng 2 dùng ở Singapore và khung đa quốc gia khi trường k33 có mặt, và biến thể thu gọn về Tầng 1 khi trường Tầng 2 thiếu.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43"/>
    <w:bookmarkStart w:id="44" w:name="X28e768cdab1f6eb217d762f0a95a756504bda1f"/>
    <w:p>
      <w:pPr>
        <w:pStyle w:val="Heading3"/>
      </w:pPr>
      <w:r>
        <w:t xml:space="preserve">3.3.4.2 Ánh xạ mục khảo sát của chỉ số năng lực công nghệ và chỉ số chấp nhận số</w:t>
      </w:r>
    </w:p>
    <w:p>
      <w:pPr>
        <w:pStyle w:val="FirstParagraph"/>
      </w:pPr>
      <w:r>
        <w:t xml:space="preserve">Để bảo đảm tính minh bạch và tái lập, mỗi biến thể của hai chỉ số hợp thành được truy nguyên về đúng bộ mục khảo sát WBES dùng để dựng nó. Biến thể mỏng của chỉ số năng lực công nghệ được dựng từ đúng hai mục nhị phân: chứng chỉ chất lượng được công nhận quốc tế (trường</w:t>
      </w:r>
      <w:r>
        <w:t xml:space="preserve"> </w:t>
      </w:r>
      <w:r>
        <w:rPr>
          <w:rStyle w:val="VerbatimChar"/>
        </w:rPr>
        <w:t xml:space="preserve">b8</w:t>
      </w:r>
      <w:r>
        <w:t xml:space="preserve">) và cấp phép công nghệ nước ngoài (trường</w:t>
      </w:r>
      <w:r>
        <w:t xml:space="preserve"> </w:t>
      </w:r>
      <w:r>
        <w:rPr>
          <w:rStyle w:val="VerbatimChar"/>
        </w:rPr>
        <w:t xml:space="preserve">e6</w:t>
      </w:r>
      <w:r>
        <w:t xml:space="preserve">); giá trị chỉ số là chuẩn hóa z của trung bình hai chỉ báo nhị phân này, xử lý như một chỉ số hợp thành cấu thành. Bộ mục hai trường này được dùng nhất quán ở khung đa quốc gia, ở Việt Nam, Singapore và đảo nhỏ Thái Bình Dương. Biến thể đầy đủ chỉ dùng ở Trung Quốc, nơi cả hai đợt đều có đủ module đổi mới, mở rộng lên bốn mục để nắm bắt chiều sâu năng lực nội tại phong phú hơn so với biến thể hai mục dùng ở các nghiên cứu khác. Khác biệt giữa biến thể mỏng và đầy đủ phản ánh ràng buộc khả dụng dữ liệu khách quan qua ba thế hệ bảng hỏi chứ không phải lựa chọn tùy ý; vì các mục là chỉ báo nhị phân của cùng một cấu trúc cấu thành, hai biến thể cho kết luận điều tiết nhất quán về dấu, và phần độ vững (Mục 3.5.1) kiểm tra trực tiếp độ nhạy với lựa chọn biến thể.</w:t>
      </w:r>
    </w:p>
    <w:p>
      <w:pPr>
        <w:pStyle w:val="BodyText"/>
      </w:pPr>
      <w:r>
        <w:t xml:space="preserve">Chỉ số chấp nhận số được vận hành hóa theo nguyên tắc phân tầng đã trình bày ở Mục 3.3.4.1, với bộ mục cụ thể cũng được truy nguyên về trường khảo sát. Biến thể Tầng 1 dùng đúng một chỉ báo nhị phân là hiện diện website vận hành (trường</w:t>
      </w:r>
      <w:r>
        <w:t xml:space="preserve"> </w:t>
      </w:r>
      <w:r>
        <w:rPr>
          <w:rStyle w:val="VerbatimChar"/>
        </w:rPr>
        <w:t xml:space="preserve">c22b</w:t>
      </w:r>
      <w:r>
        <w:t xml:space="preserve">); đây là biến thể duy nhất khả dụng ở đảo nhỏ Thái Bình Dương, nơi bộ công cụ không thu thập các mục Tầng 2 thanh toán điện tử và Tầng 3 đám mây/hệ hoạch định nguồn lực doanh nghiệp. Khung đa quốc gia dùng biến thể Tầng 1 cộng Tầng 2 khi trường thanh toán điện tử có mặt và thu gọn về Tầng 1 khi thiếu, đúng như nguyên tắc nhúng tầng theo khả dụng bộ công cụ. Nguyên tắc không chồng lấn được áp đặt nghiêm ngặt: cấp phép công nghệ nước ngoài thuộc chỉ số năng lực công nghệ và không bao giờ được tính đồng thời vào chỉ số chấp nhận số, bảo đảm hai chỉ số là hai cấu trúc độc lập với mạng quan hệ lý thuyết khác nhau. Bộ mục năng lực công nghệ của khung đa quốc gia đã được đối chiếu trực tiếp với mã xây dựng dữ liệu thực tế trên kho năm mươi nền, gồm Nhật Bản 2025, xác nhận biến</w:t>
      </w:r>
      <w:r>
        <w:t xml:space="preserve"> </w:t>
      </w:r>
      <w:r>
        <w:rPr>
          <w:rStyle w:val="VerbatimChar"/>
        </w:rPr>
        <w:t xml:space="preserve">tci_z</w:t>
      </w:r>
      <w:r>
        <w:t xml:space="preserve"> </w:t>
      </w:r>
      <w:r>
        <w:t xml:space="preserve">được dựng đúng từ hai mục</w:t>
      </w:r>
      <w:r>
        <w:t xml:space="preserve"> </w:t>
      </w:r>
      <w:r>
        <w:rPr>
          <w:rStyle w:val="VerbatimChar"/>
        </w:rPr>
        <w:t xml:space="preserve">b8</w:t>
      </w:r>
      <w:r>
        <w:t xml:space="preserve"> </w:t>
      </w:r>
      <w:r>
        <w:t xml:space="preserve">và</w:t>
      </w:r>
      <w:r>
        <w:t xml:space="preserve"> </w:t>
      </w:r>
      <w:r>
        <w:rPr>
          <w:rStyle w:val="VerbatimChar"/>
        </w:rPr>
        <w:t xml:space="preserve">e6</w:t>
      </w:r>
      <w:r>
        <w:t xml:space="preserve">.</w:t>
      </w:r>
    </w:p>
    <w:bookmarkEnd w:id="44"/>
    <w:bookmarkStart w:id="45" w:name="biến-kiểm-soát"/>
    <w:p>
      <w:pPr>
        <w:pStyle w:val="Heading3"/>
      </w:pPr>
      <w:r>
        <w:t xml:space="preserve">3.3.5 Biến kiểm soát</w:t>
      </w:r>
    </w:p>
    <w:p>
      <w:pPr>
        <w:pStyle w:val="FirstParagraph"/>
      </w:pPr>
      <w:r>
        <w:t xml:space="preserve">Khung thực nghiệm đưa vào một tập biến kiểm soát chuẩn trong nghiên cứu dữ liệu doanh nghiệp và kinh doanh quốc tế, nhằm tách hiệu ứng của quốc tế hóa và năng lực khỏi các yếu tố cấu trúc đồng biến với cả cường độ xuất khẩu lẫn năng suất. Quy mô doanh nghiệp được đo bằng logarit tự nhiên của số lao động toàn thời gian (mục l1 của WBES), một biến kiểm soát thiết yếu vì doanh nghiệp lớn vừa có xác suất xuất khẩu cao hơn vừa đạt năng suất cao hơn nhờ lợi thế quy mô; lấy logarit để xử lý phân phối lệch phải đặc trưng của biến quy mô. Tuổi doanh nghiệp được tính bằng số năm từ năm thành lập đến năm khảo sát, kiểm soát hiệu ứng học hỏi tích lũy và hiệu ứng sống sót, theo đó doanh nghiệp tồn tại lâu hơn có thể đã vượt qua các rào cản gia nhập và tích lũy năng lực.</w:t>
      </w:r>
    </w:p>
    <w:p>
      <w:pPr>
        <w:pStyle w:val="BodyText"/>
      </w:pPr>
      <w:r>
        <w:t xml:space="preserve">Sở hữu nước ngoài được đưa vào dưới dạng biến giả nhận giá trị một khi tỷ lệ sở hữu của nhà đầu tư nước ngoài đạt từ 10% trở lên, ngưỡng chuẩn của đầu tư trực tiếp nước ngoài, vì doanh nghiệp có vốn nước ngoài thường tiếp cận mạng lưới quốc tế, công nghệ và thị trường theo cách khác biệt về chất so với doanh nghiệp trong nước. Ngành được kiểm soát bằng hệ biến giả ngành nhằm hấp thụ chênh lệch năng suất và cường độ thương mại có hệ thống giữa các lĩnh vực. Quan trọng nhất, mọi đặc tả gộp đều mang hiệu ứng cố định nền kinh tế và hiệu ứng cố định năm: hiệu ứng cố định nền kinh tế hấp thụ mọi khác biệt bất biến theo thời gian giữa các nền kinh tế, gồm mặt bằng giá, chế độ tỷ giá, chất lượng thể chế nền và quy mô thị trường nội địa; hiệu ứng cố định năm hấp thụ các cú sốc vĩ mô chung như chu kỳ kinh tế toàn cầu và biến động thương mại theo năm. Cấu trúc hiệu ứng cố định hai chiều này là then chốt vì nó loại bỏ chính các nhiễu cấp nền kinh tế và cấp thời gian dễ tạo tương quan giả giữa quốc tế hóa và hiệu quả, qua đó cô lập biến thiên trong nội bộ nền kinh tế và năm để nhận dạng quan hệ trọng tâm.</w:t>
      </w:r>
    </w:p>
    <w:p>
      <w:pPr>
        <w:pStyle w:val="BodyText"/>
      </w:pPr>
      <w:r>
        <w:rPr>
          <w:bCs/>
          <w:b/>
        </w:rPr>
        <w:t xml:space="preserve">Cơ sở kế thừa</w:t>
      </w:r>
      <w:r>
        <w:t xml:space="preserve">: tập biến kiểm soát và cấu trúc hiệu ứng cố định tuân theo chuẩn trong nghiên cứu dữ liệu doanh nghiệp WBES và kinh doanh quốc tế (Aterido et al., 2011; Ayyagari et al., 2011).</w:t>
      </w:r>
    </w:p>
    <w:bookmarkEnd w:id="45"/>
    <w:bookmarkStart w:id="46" w:name="X1f43e4ff25e7b357857c1733d81b2a2e478cf99"/>
    <w:p>
      <w:pPr>
        <w:pStyle w:val="Heading3"/>
      </w:pPr>
      <w:r>
        <w:t xml:space="preserve">3.3.5.1 Vận hành hóa chế độ thể chế ICRV và đặc điểm nhà quản trị</w:t>
      </w:r>
    </w:p>
    <w:p>
      <w:pPr>
        <w:pStyle w:val="FirstParagraph"/>
      </w:pPr>
      <w:r>
        <w:t xml:space="preserve">Chế độ thể chế được vận hành hóa thành một biến phân loại số nguyên nhận giá trị từ một đến sáu theo phân loại ICRV, đi từ chế độ tiên tiến đổi mới đến chế độ đảo nhỏ Thái Bình Dương, trật tự tăng dần của số nhóm tương ứng với chất lượng thể chế giảm dần. Biến này được dùng theo hai vai trò trong khung đa quốc gia: làm biến điều tiết liên tục trong mô hình tương tác, nơi hiệu ứng chính của nó bị hấp thụ bởi hiệu ứng cố định nền kinh tế, và làm biến phân nhóm cho phân tích điểm uốn theo từng chế độ. Lựa chọn xử lý ICRV như biến số nguyên liên tục thay vì hệ biến giả là có chủ đích, nhằm giữ cỡ mẫu đủ lớn trong các mô hình điều tiết và ba chiều, nơi việc tách thành sáu biến giả tương tác sẽ làm phân mảnh mẫu và làm bất ổn ước lượng.</w:t>
      </w:r>
    </w:p>
    <w:p>
      <w:pPr>
        <w:pStyle w:val="BodyText"/>
      </w:pPr>
      <w:r>
        <w:t xml:space="preserve">Phân tích điểm uốn theo từng chế độ làm lộ rõ cấu trúc ba vùng đặc trưng của khu vực. Ở chế độ chuyển đổi thu nhập trung bình–thấp, vốn là chế độ neo ước lượng gộp, quan hệ chữ U ngược định hình sắc nét với điểm uốn quanh 43%. Ở chế độ tiên tiến đổi mới, gồm cả Nhật Bản, điểm uốn nằm gần hoặc vượt biên dữ liệu quan sát nên trong vùng dữ liệu quan hệ gần như tuyến tính dương, với điểm uốn xấp xỉ 80%. Ở các chế độ yếu nhất, chữ U ngược mất cấu trúc; riêng ở chế độ đảo nhỏ Thái Bình Dương số hạng bậc hai đổi dấu, không còn cực đại nội miền, nhất quán với gánh nặng quốc tế hóa bắt buộc ghi nhận ở nghiên cứu thành phần đảo nhỏ.</w:t>
      </w:r>
    </w:p>
    <w:p>
      <w:pPr>
        <w:pStyle w:val="BodyText"/>
      </w:pPr>
      <w:r>
        <w:t xml:space="preserve">Đặc điểm nhà quản trị cấp cao được vận hành hóa từ hai mục khảo sát: số năm kinh nghiệm của nhà quản trị cấp cao trong ngành (trường</w:t>
      </w:r>
      <w:r>
        <w:t xml:space="preserve"> </w:t>
      </w:r>
      <w:r>
        <w:rPr>
          <w:rStyle w:val="VerbatimChar"/>
        </w:rPr>
        <w:t xml:space="preserve">b7</w:t>
      </w:r>
      <w:r>
        <w:t xml:space="preserve">) và một biến nhị phân chỉ nhà quản trị cấp cao là nữ (trường</w:t>
      </w:r>
      <w:r>
        <w:t xml:space="preserve"> </w:t>
      </w:r>
      <w:r>
        <w:rPr>
          <w:rStyle w:val="VerbatimChar"/>
        </w:rPr>
        <w:t xml:space="preserve">b7a</w:t>
      </w:r>
      <w:r>
        <w:t xml:space="preserve"> </w:t>
      </w:r>
      <w:r>
        <w:t xml:space="preserve">hoặc</w:t>
      </w:r>
      <w:r>
        <w:t xml:space="preserve"> </w:t>
      </w:r>
      <w:r>
        <w:rPr>
          <w:rStyle w:val="VerbatimChar"/>
        </w:rPr>
        <w:t xml:space="preserve">b6a</w:t>
      </w:r>
      <w:r>
        <w:t xml:space="preserve"> </w:t>
      </w:r>
      <w:r>
        <w:t xml:space="preserve">tùy đợt). Hai biến này được đưa vào mô hình đa quốc gia để kiểm định hiệu ứng trực tiếp và hiệu ứng điều tiết của đặc điểm quản trị lên hình dạng đường quan hệ; ở các nghiên cứu thiếu dữ liệu quản trị, hai biến chỉ được dùng trong phân tích độ vững chứ không bắt buộc trong mô hình chính, đúng điều kiện sử dụng đã nêu.</w:t>
      </w:r>
    </w:p>
    <w:bookmarkEnd w:id="46"/>
    <w:bookmarkStart w:id="47" w:name="tổng-hợp-biến-nghiên-cứu"/>
    <w:p>
      <w:pPr>
        <w:pStyle w:val="Heading3"/>
      </w:pPr>
      <w:r>
        <w:t xml:space="preserve">3.3.6 Tổng hợp biến nghiên cứu</w:t>
      </w:r>
    </w:p>
    <w:p>
      <w:pPr>
        <w:pStyle w:val="FirstParagraph"/>
      </w:pPr>
      <w:r>
        <w:t xml:space="preserve">Toàn bộ biến của khung thực nghiệm được tổng hợp trong Bảng 3.1, nêu rõ với mỗi biến: vai trò trong mô hình, ký hiệu, trường khảo sát WBES nguồn, cách vận hành hóa và giả thuyết liên quan. Bảng này bảo đảm tính minh bạch đo lường và khả năng tái lập (Aguinis et al., 2019); chi tiết vận hành hóa theo từng nghiên cứu thành phần được trình bày trong các bảng định nghĩa biến ở Mục 3.4.5.</w:t>
      </w:r>
    </w:p>
    <w:p>
      <w:pPr>
        <w:pStyle w:val="BodyText"/>
      </w:pPr>
      <w:r>
        <w:rPr>
          <w:bCs/>
          <w:b/>
        </w:rPr>
        <w:t xml:space="preserve">Bảng 3.1.</w:t>
      </w:r>
      <w:r>
        <w:t xml:space="preserve"> </w:t>
      </w:r>
      <w:r>
        <w:rPr>
          <w:iCs/>
          <w:i/>
        </w:rPr>
        <w:t xml:space="preserve">Tổng hợp biến nghiên cứu của khung thực nghiệm đa quốc gia.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Vai trò</w:t>
            </w:r>
          </w:p>
        </w:tc>
        <w:tc>
          <w:tcPr/>
          <w:p>
            <w:pPr>
              <w:pStyle w:val="Compact"/>
              <w:jc w:val="left"/>
            </w:pPr>
            <w:r>
              <w:t xml:space="preserve">Biến (ký hiệu)</w:t>
            </w:r>
          </w:p>
        </w:tc>
        <w:tc>
          <w:tcPr/>
          <w:p>
            <w:pPr>
              <w:pStyle w:val="Compact"/>
              <w:jc w:val="left"/>
            </w:pPr>
            <w:r>
              <w:t xml:space="preserve">Trường WBES</w:t>
            </w:r>
          </w:p>
        </w:tc>
        <w:tc>
          <w:tcPr/>
          <w:p>
            <w:pPr>
              <w:pStyle w:val="Compact"/>
              <w:jc w:val="left"/>
            </w:pPr>
            <w:r>
              <w:t xml:space="preserve">Vận hành hóa</w:t>
            </w:r>
          </w:p>
        </w:tc>
        <w:tc>
          <w:tcPr/>
          <w:p>
            <w:pPr>
              <w:pStyle w:val="Compact"/>
              <w:jc w:val="left"/>
            </w:pPr>
            <w:r>
              <w:t xml:space="preserve">Giả thuyết</w:t>
            </w:r>
          </w:p>
        </w:tc>
      </w:tr>
      <w:tr>
        <w:tc>
          <w:tcPr/>
          <w:p>
            <w:pPr>
              <w:pStyle w:val="Compact"/>
              <w:jc w:val="left"/>
            </w:pPr>
            <w:r>
              <w:t xml:space="preserve">Biến phụ thuộc</w:t>
            </w:r>
          </w:p>
        </w:tc>
        <w:tc>
          <w:tcPr/>
          <w:p>
            <w:pPr>
              <w:pStyle w:val="Compact"/>
              <w:jc w:val="left"/>
            </w:pPr>
            <w:r>
              <w:t xml:space="preserve">Năng suất lao động, ln(LP)</w:t>
            </w:r>
          </w:p>
        </w:tc>
        <w:tc>
          <w:tcPr/>
          <w:p>
            <w:pPr>
              <w:pStyle w:val="Compact"/>
              <w:jc w:val="left"/>
            </w:pPr>
            <w:r>
              <w:rPr>
                <w:rStyle w:val="VerbatimChar"/>
              </w:rPr>
              <w:t xml:space="preserve">d2</w:t>
            </w:r>
            <w:r>
              <w:t xml:space="preserve">,</w:t>
            </w:r>
            <w:r>
              <w:t xml:space="preserve"> </w:t>
            </w:r>
            <w:r>
              <w:rPr>
                <w:rStyle w:val="VerbatimChar"/>
              </w:rPr>
              <w:t xml:space="preserve">l1</w:t>
            </w:r>
          </w:p>
        </w:tc>
        <w:tc>
          <w:tcPr/>
          <w:p>
            <w:pPr>
              <w:pStyle w:val="Compact"/>
              <w:jc w:val="left"/>
            </w:pPr>
            <w:r>
              <w:t xml:space="preserve">Logarit tự nhiên của doanh thu trên số lao động thường xuyên</w:t>
            </w:r>
          </w:p>
        </w:tc>
        <w:tc>
          <w:tcPr/>
          <w:p>
            <w:pPr>
              <w:pStyle w:val="Compact"/>
              <w:jc w:val="left"/>
            </w:pPr>
            <w:r>
              <w:t xml:space="preserve">—</w:t>
            </w:r>
          </w:p>
        </w:tc>
      </w:tr>
      <w:tr>
        <w:tc>
          <w:tcPr/>
          <w:p>
            <w:pPr>
              <w:pStyle w:val="Compact"/>
              <w:jc w:val="left"/>
            </w:pPr>
            <w:r>
              <w:t xml:space="preserve">Biến độc lập</w:t>
            </w:r>
          </w:p>
        </w:tc>
        <w:tc>
          <w:tcPr/>
          <w:p>
            <w:pPr>
              <w:pStyle w:val="Compact"/>
              <w:jc w:val="left"/>
            </w:pPr>
            <w:r>
              <w:t xml:space="preserve">Cường độ xuất khẩu (FSTS)</w:t>
            </w:r>
          </w:p>
        </w:tc>
        <w:tc>
          <w:tcPr/>
          <w:p>
            <w:pPr>
              <w:pStyle w:val="Compact"/>
              <w:jc w:val="left"/>
            </w:pPr>
            <w:r>
              <w:rPr>
                <w:rStyle w:val="VerbatimChar"/>
              </w:rPr>
              <w:t xml:space="preserve">d3c</w:t>
            </w:r>
            <w:r>
              <w:t xml:space="preserve"> </w:t>
            </w:r>
            <w:r>
              <w:t xml:space="preserve">(và</w:t>
            </w:r>
            <w:r>
              <w:t xml:space="preserve"> </w:t>
            </w:r>
            <w:r>
              <w:rPr>
                <w:rStyle w:val="VerbatimChar"/>
              </w:rPr>
              <w:t xml:space="preserve">d3b</w:t>
            </w:r>
            <w:r>
              <w:t xml:space="preserve">)</w:t>
            </w:r>
          </w:p>
        </w:tc>
        <w:tc>
          <w:tcPr/>
          <w:p>
            <w:pPr>
              <w:pStyle w:val="Compact"/>
              <w:jc w:val="left"/>
            </w:pPr>
            <w:r>
              <w:t xml:space="preserve">Tỷ lệ doanh thu nước ngoài trên tổng doanh thu (0–1), trung tâm hóa</w:t>
            </w:r>
          </w:p>
        </w:tc>
        <w:tc>
          <w:tcPr/>
          <w:p>
            <w:pPr>
              <w:pStyle w:val="Compact"/>
              <w:jc w:val="left"/>
            </w:pPr>
            <w:r>
              <w:t xml:space="preserve">H1</w:t>
            </w:r>
          </w:p>
        </w:tc>
      </w:tr>
      <w:tr>
        <w:tc>
          <w:tcPr/>
          <w:p>
            <w:pPr>
              <w:pStyle w:val="Compact"/>
              <w:jc w:val="left"/>
            </w:pPr>
            <w:r>
              <w:t xml:space="preserve">Biến độc lập</w:t>
            </w:r>
          </w:p>
        </w:tc>
        <w:tc>
          <w:tcPr/>
          <w:p>
            <w:pPr>
              <w:pStyle w:val="Compact"/>
              <w:jc w:val="left"/>
            </w:pPr>
            <w:r>
              <w:t xml:space="preserve">FSTS bình phương (FSTS²)</w:t>
            </w:r>
          </w:p>
        </w:tc>
        <w:tc>
          <w:tcPr/>
          <w:p>
            <w:pPr>
              <w:pStyle w:val="Compact"/>
              <w:jc w:val="left"/>
            </w:pPr>
            <w:r>
              <w:t xml:space="preserve">(suy ra)</w:t>
            </w:r>
          </w:p>
        </w:tc>
        <w:tc>
          <w:tcPr/>
          <w:p>
            <w:pPr>
              <w:pStyle w:val="Compact"/>
              <w:jc w:val="left"/>
            </w:pPr>
            <w:r>
              <w:t xml:space="preserve">Bình phương của FSTS đã trung tâm hóa, kiểm định phi tuyến</w:t>
            </w:r>
          </w:p>
        </w:tc>
        <w:tc>
          <w:tcPr/>
          <w:p>
            <w:pPr>
              <w:pStyle w:val="Compact"/>
              <w:jc w:val="left"/>
            </w:pPr>
            <w:r>
              <w:t xml:space="preserve">H1, H1b</w:t>
            </w:r>
          </w:p>
        </w:tc>
      </w:tr>
      <w:tr>
        <w:tc>
          <w:tcPr/>
          <w:p>
            <w:pPr>
              <w:pStyle w:val="Compact"/>
              <w:jc w:val="left"/>
            </w:pPr>
            <w:r>
              <w:t xml:space="preserve">Điều tiết – tầng doanh nghiệp</w:t>
            </w:r>
          </w:p>
        </w:tc>
        <w:tc>
          <w:tcPr/>
          <w:p>
            <w:pPr>
              <w:pStyle w:val="Compact"/>
              <w:jc w:val="left"/>
            </w:pPr>
            <w:r>
              <w:t xml:space="preserve">Năng lực công nghệ (TCI)</w:t>
            </w:r>
          </w:p>
        </w:tc>
        <w:tc>
          <w:tcPr/>
          <w:p>
            <w:pPr>
              <w:pStyle w:val="Compact"/>
              <w:jc w:val="left"/>
            </w:pPr>
            <w:r>
              <w:rPr>
                <w:rStyle w:val="VerbatimChar"/>
              </w:rPr>
              <w:t xml:space="preserve">b8</w:t>
            </w:r>
            <w:r>
              <w:t xml:space="preserve">,</w:t>
            </w:r>
            <w:r>
              <w:t xml:space="preserve"> </w:t>
            </w:r>
            <w:r>
              <w:rPr>
                <w:rStyle w:val="VerbatimChar"/>
              </w:rPr>
              <w:t xml:space="preserve">e6</w:t>
            </w:r>
          </w:p>
        </w:tc>
        <w:tc>
          <w:tcPr/>
          <w:p>
            <w:pPr>
              <w:pStyle w:val="Compact"/>
              <w:jc w:val="left"/>
            </w:pPr>
            <w:r>
              <w:t xml:space="preserve">Chỉ số hợp thành chuẩn hóa z (chứng chỉ chất lượng + công nghệ ngoại nhập)</w:t>
            </w:r>
          </w:p>
        </w:tc>
        <w:tc>
          <w:tcPr/>
          <w:p>
            <w:pPr>
              <w:pStyle w:val="Compact"/>
              <w:jc w:val="left"/>
            </w:pPr>
            <w:r>
              <w:t xml:space="preserve">H2</w:t>
            </w:r>
          </w:p>
        </w:tc>
      </w:tr>
      <w:tr>
        <w:tc>
          <w:tcPr/>
          <w:p>
            <w:pPr>
              <w:pStyle w:val="Compact"/>
              <w:jc w:val="left"/>
            </w:pPr>
            <w:r>
              <w:t xml:space="preserve">Điều tiết – tầng doanh nghiệp</w:t>
            </w:r>
          </w:p>
        </w:tc>
        <w:tc>
          <w:tcPr/>
          <w:p>
            <w:pPr>
              <w:pStyle w:val="Compact"/>
              <w:jc w:val="left"/>
            </w:pPr>
            <w:r>
              <w:t xml:space="preserve">Chấp nhận số (DAI)</w:t>
            </w:r>
          </w:p>
        </w:tc>
        <w:tc>
          <w:tcPr/>
          <w:p>
            <w:pPr>
              <w:pStyle w:val="Compact"/>
              <w:jc w:val="left"/>
            </w:pPr>
            <w:r>
              <w:rPr>
                <w:rStyle w:val="VerbatimChar"/>
              </w:rPr>
              <w:t xml:space="preserve">c22b</w:t>
            </w:r>
            <w:r>
              <w:t xml:space="preserve">,</w:t>
            </w:r>
            <w:r>
              <w:t xml:space="preserve"> </w:t>
            </w:r>
            <w:r>
              <w:rPr>
                <w:rStyle w:val="VerbatimChar"/>
              </w:rPr>
              <w:t xml:space="preserve">k33</w:t>
            </w:r>
            <w:r>
              <w:t xml:space="preserve">/</w:t>
            </w:r>
            <w:r>
              <w:rPr>
                <w:rStyle w:val="VerbatimChar"/>
              </w:rPr>
              <w:t xml:space="preserve">k38</w:t>
            </w:r>
          </w:p>
        </w:tc>
        <w:tc>
          <w:tcPr/>
          <w:p>
            <w:pPr>
              <w:pStyle w:val="Compact"/>
              <w:jc w:val="left"/>
            </w:pPr>
            <w:r>
              <w:t xml:space="preserve">Tầng 1: website (nhị phân); Tầng 2: hợp thành z (website + thanh toán điện tử)</w:t>
            </w:r>
          </w:p>
        </w:tc>
        <w:tc>
          <w:tcPr/>
          <w:p>
            <w:pPr>
              <w:pStyle w:val="Compact"/>
              <w:jc w:val="left"/>
            </w:pPr>
            <w:r>
              <w:t xml:space="preserve">H3</w:t>
            </w:r>
          </w:p>
        </w:tc>
      </w:tr>
      <w:tr>
        <w:tc>
          <w:tcPr/>
          <w:p>
            <w:pPr>
              <w:pStyle w:val="Compact"/>
              <w:jc w:val="left"/>
            </w:pPr>
            <w:r>
              <w:t xml:space="preserve">Điều tiết – tầng cá nhân</w:t>
            </w:r>
          </w:p>
        </w:tc>
        <w:tc>
          <w:tcPr/>
          <w:p>
            <w:pPr>
              <w:pStyle w:val="Compact"/>
              <w:jc w:val="left"/>
            </w:pPr>
            <w:r>
              <w:t xml:space="preserve">Kinh nghiệm nhà quản trị</w:t>
            </w:r>
          </w:p>
        </w:tc>
        <w:tc>
          <w:tcPr/>
          <w:p>
            <w:pPr>
              <w:pStyle w:val="Compact"/>
              <w:jc w:val="left"/>
            </w:pPr>
            <w:r>
              <w:rPr>
                <w:rStyle w:val="VerbatimChar"/>
              </w:rPr>
              <w:t xml:space="preserve">b7</w:t>
            </w:r>
          </w:p>
        </w:tc>
        <w:tc>
          <w:tcPr/>
          <w:p>
            <w:pPr>
              <w:pStyle w:val="Compact"/>
              <w:jc w:val="left"/>
            </w:pPr>
            <w:r>
              <w:t xml:space="preserve">Số năm kinh nghiệm của nhà quản trị cấp cao trong ngành</w:t>
            </w:r>
          </w:p>
        </w:tc>
        <w:tc>
          <w:tcPr/>
          <w:p>
            <w:pPr>
              <w:pStyle w:val="Compact"/>
              <w:jc w:val="left"/>
            </w:pPr>
            <w:r>
              <w:t xml:space="preserve">H4</w:t>
            </w:r>
          </w:p>
        </w:tc>
      </w:tr>
      <w:tr>
        <w:tc>
          <w:tcPr/>
          <w:p>
            <w:pPr>
              <w:pStyle w:val="Compact"/>
              <w:jc w:val="left"/>
            </w:pPr>
            <w:r>
              <w:t xml:space="preserve">Điều tiết – tầng cá nhân</w:t>
            </w:r>
          </w:p>
        </w:tc>
        <w:tc>
          <w:tcPr/>
          <w:p>
            <w:pPr>
              <w:pStyle w:val="Compact"/>
              <w:jc w:val="left"/>
            </w:pPr>
            <w:r>
              <w:t xml:space="preserve">Giới tính nhà quản trị</w:t>
            </w:r>
          </w:p>
        </w:tc>
        <w:tc>
          <w:tcPr/>
          <w:p>
            <w:pPr>
              <w:pStyle w:val="Compact"/>
              <w:jc w:val="left"/>
            </w:pPr>
            <w:r>
              <w:rPr>
                <w:rStyle w:val="VerbatimChar"/>
              </w:rPr>
              <w:t xml:space="preserve">b7a</w:t>
            </w:r>
            <w:r>
              <w:t xml:space="preserve">/</w:t>
            </w:r>
            <w:r>
              <w:rPr>
                <w:rStyle w:val="VerbatimChar"/>
              </w:rPr>
              <w:t xml:space="preserve">b6a</w:t>
            </w:r>
          </w:p>
        </w:tc>
        <w:tc>
          <w:tcPr/>
          <w:p>
            <w:pPr>
              <w:pStyle w:val="Compact"/>
              <w:jc w:val="left"/>
            </w:pPr>
            <w:r>
              <w:t xml:space="preserve">Biến nhị phân: nhà quản trị cấp cao là nữ</w:t>
            </w:r>
          </w:p>
        </w:tc>
        <w:tc>
          <w:tcPr/>
          <w:p>
            <w:pPr>
              <w:pStyle w:val="Compact"/>
              <w:jc w:val="left"/>
            </w:pPr>
            <w:r>
              <w:t xml:space="preserve">H4</w:t>
            </w:r>
          </w:p>
        </w:tc>
      </w:tr>
      <w:tr>
        <w:tc>
          <w:tcPr/>
          <w:p>
            <w:pPr>
              <w:pStyle w:val="Compact"/>
              <w:jc w:val="left"/>
            </w:pPr>
            <w:r>
              <w:t xml:space="preserve">Điều tiết – tầng quốc gia</w:t>
            </w:r>
          </w:p>
        </w:tc>
        <w:tc>
          <w:tcPr/>
          <w:p>
            <w:pPr>
              <w:pStyle w:val="Compact"/>
              <w:jc w:val="left"/>
            </w:pPr>
            <w:r>
              <w:t xml:space="preserve">Chế độ thể chế (ICRV)</w:t>
            </w:r>
          </w:p>
        </w:tc>
        <w:tc>
          <w:tcPr/>
          <w:p>
            <w:pPr>
              <w:pStyle w:val="Compact"/>
              <w:jc w:val="left"/>
            </w:pPr>
            <w:r>
              <w:t xml:space="preserve">(phân loại)</w:t>
            </w:r>
          </w:p>
        </w:tc>
        <w:tc>
          <w:tcPr/>
          <w:p>
            <w:pPr>
              <w:pStyle w:val="Compact"/>
              <w:jc w:val="left"/>
            </w:pPr>
            <w:r>
              <w:t xml:space="preserve">Biến số nguyên 1–6 theo khung ICRV (thể chế giảm dần)</w:t>
            </w:r>
          </w:p>
        </w:tc>
        <w:tc>
          <w:tcPr/>
          <w:p>
            <w:pPr>
              <w:pStyle w:val="Compact"/>
              <w:jc w:val="left"/>
            </w:pPr>
            <w:r>
              <w:t xml:space="preserve">H5</w:t>
            </w:r>
          </w:p>
        </w:tc>
      </w:tr>
      <w:tr>
        <w:tc>
          <w:tcPr/>
          <w:p>
            <w:pPr>
              <w:pStyle w:val="Compact"/>
              <w:jc w:val="left"/>
            </w:pPr>
            <w:r>
              <w:t xml:space="preserve">Điều tiết – thời gian</w:t>
            </w:r>
          </w:p>
        </w:tc>
        <w:tc>
          <w:tcPr/>
          <w:p>
            <w:pPr>
              <w:pStyle w:val="Compact"/>
              <w:jc w:val="left"/>
            </w:pPr>
            <w:r>
              <w:t xml:space="preserve">Đợt khảo sát</w:t>
            </w:r>
          </w:p>
        </w:tc>
        <w:tc>
          <w:tcPr/>
          <w:p>
            <w:pPr>
              <w:pStyle w:val="Compact"/>
              <w:jc w:val="left"/>
            </w:pPr>
            <w:r>
              <w:t xml:space="preserve">(năm khảo sát)</w:t>
            </w:r>
          </w:p>
        </w:tc>
        <w:tc>
          <w:tcPr/>
          <w:p>
            <w:pPr>
              <w:pStyle w:val="Compact"/>
              <w:jc w:val="left"/>
            </w:pPr>
            <w:r>
              <w:t xml:space="preserve">Biến giả đợt/năm; kiểm định ổn định hệ số Paternoster</w:t>
            </w:r>
          </w:p>
        </w:tc>
        <w:tc>
          <w:tcPr/>
          <w:p>
            <w:pPr>
              <w:pStyle w:val="Compact"/>
              <w:jc w:val="left"/>
            </w:pPr>
            <w:r>
              <w:t xml:space="preserve">H6</w:t>
            </w:r>
          </w:p>
        </w:tc>
      </w:tr>
      <w:tr>
        <w:tc>
          <w:tcPr/>
          <w:p>
            <w:pPr>
              <w:pStyle w:val="Compact"/>
              <w:jc w:val="left"/>
            </w:pPr>
            <w:r>
              <w:t xml:space="preserve">Kiểm soát</w:t>
            </w:r>
          </w:p>
        </w:tc>
        <w:tc>
          <w:tcPr/>
          <w:p>
            <w:pPr>
              <w:pStyle w:val="Compact"/>
              <w:jc w:val="left"/>
            </w:pPr>
            <w:r>
              <w:t xml:space="preserve">Quy mô doanh nghiệp</w:t>
            </w:r>
          </w:p>
        </w:tc>
        <w:tc>
          <w:tcPr/>
          <w:p>
            <w:pPr>
              <w:pStyle w:val="Compact"/>
              <w:jc w:val="left"/>
            </w:pPr>
            <w:r>
              <w:rPr>
                <w:rStyle w:val="VerbatimChar"/>
              </w:rPr>
              <w:t xml:space="preserve">l1</w:t>
            </w:r>
          </w:p>
        </w:tc>
        <w:tc>
          <w:tcPr/>
          <w:p>
            <w:pPr>
              <w:pStyle w:val="Compact"/>
              <w:jc w:val="left"/>
            </w:pPr>
            <w:r>
              <w:t xml:space="preserve">Logarit số lao động thường xuyên</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Tuổi doanh nghiệp</w:t>
            </w:r>
          </w:p>
        </w:tc>
        <w:tc>
          <w:tcPr/>
          <w:p>
            <w:pPr>
              <w:pStyle w:val="Compact"/>
              <w:jc w:val="left"/>
            </w:pPr>
            <w:r>
              <w:rPr>
                <w:rStyle w:val="VerbatimChar"/>
              </w:rPr>
              <w:t xml:space="preserve">b5</w:t>
            </w:r>
          </w:p>
        </w:tc>
        <w:tc>
          <w:tcPr/>
          <w:p>
            <w:pPr>
              <w:pStyle w:val="Compact"/>
              <w:jc w:val="left"/>
            </w:pPr>
            <w:r>
              <w:t xml:space="preserve">Năm khảo sát trừ năm thành lập</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Sở hữu nước ngoài</w:t>
            </w:r>
          </w:p>
        </w:tc>
        <w:tc>
          <w:tcPr/>
          <w:p>
            <w:pPr>
              <w:pStyle w:val="Compact"/>
              <w:jc w:val="left"/>
            </w:pPr>
            <w:r>
              <w:rPr>
                <w:rStyle w:val="VerbatimChar"/>
              </w:rPr>
              <w:t xml:space="preserve">b2b</w:t>
            </w:r>
          </w:p>
        </w:tc>
        <w:tc>
          <w:tcPr/>
          <w:p>
            <w:pPr>
              <w:pStyle w:val="Compact"/>
              <w:jc w:val="left"/>
            </w:pPr>
            <w:r>
              <w:t xml:space="preserve">Tỷ lệ vốn sở hữu nước ngoài (hoặc biến nhị phân ≥10%)</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Hiệu ứng cố định</w:t>
            </w:r>
          </w:p>
        </w:tc>
        <w:tc>
          <w:tcPr/>
          <w:p>
            <w:pPr>
              <w:pStyle w:val="Compact"/>
              <w:jc w:val="left"/>
            </w:pPr>
            <w:r>
              <w:t xml:space="preserve">—</w:t>
            </w:r>
          </w:p>
        </w:tc>
        <w:tc>
          <w:tcPr/>
          <w:p>
            <w:pPr>
              <w:pStyle w:val="Compact"/>
              <w:jc w:val="left"/>
            </w:pPr>
            <w:r>
              <w:t xml:space="preserve">Ngành (FE), nền kinh tế (FE), năm (FE)</w:t>
            </w:r>
          </w:p>
        </w:tc>
        <w:tc>
          <w:tcPr/>
          <w:p>
            <w:pPr>
              <w:pStyle w:val="Compact"/>
              <w:jc w:val="left"/>
            </w:pPr>
            <w:r>
              <w:t xml:space="preserve">—</w:t>
            </w:r>
          </w:p>
        </w:tc>
      </w:tr>
    </w:tbl>
    <w:p>
      <w:pPr>
        <w:pStyle w:val="BodyText"/>
      </w:pPr>
      <w:r>
        <w:rPr>
          <w:iCs/>
          <w:i/>
        </w:rPr>
        <w:t xml:space="preserve">Ghi chú: trường WBES tham chiếu mã biến của bộ công cụ khảo sát; một số mã thay đổi theo thế hệ lược đồ (PICS3 / Standardized / BREADY) và được hài hòa hóa theo Phụ lục A. Vận hành hóa chi tiết theo từng nghiên cứu thành phần xem Mục 3.4.5. Nguồn: tác giả tổng hợp.</w:t>
      </w:r>
    </w:p>
    <w:bookmarkEnd w:id="47"/>
    <w:bookmarkEnd w:id="48"/>
    <w:bookmarkStart w:id="66" w:name="mô-hình-phân-tích"/>
    <w:p>
      <w:pPr>
        <w:pStyle w:val="Heading2"/>
      </w:pPr>
      <w:r>
        <w:t xml:space="preserve">3.4 Mô hình phân tích</w:t>
      </w:r>
    </w:p>
    <w:bookmarkStart w:id="49" w:name="mô-hình-phân-tích-tổng-hợp"/>
    <w:p>
      <w:pPr>
        <w:pStyle w:val="Heading3"/>
      </w:pPr>
      <w:r>
        <w:t xml:space="preserve">3.4.1 Mô hình phân tích tổng hợp</w:t>
      </w:r>
    </w:p>
    <w:p>
      <w:pPr>
        <w:pStyle w:val="FirstParagraph"/>
      </w:pPr>
      <w:r>
        <w:t xml:space="preserve">Mô hình hiệu ứng ngẫu nhiên dựa trên phép biến đổi</w:t>
      </w:r>
      <w:r>
        <w:t xml:space="preserve"> </w:t>
      </w:r>
      <m:oMath>
        <m:r>
          <m:t>z</m:t>
        </m:r>
      </m:oMath>
      <w:r>
        <w:t xml:space="preserve"> </w:t>
      </w:r>
      <w:r>
        <w:t xml:space="preserve">của Fisher:</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cỡ ảnh hưởng của nghiên cứu</w:t>
      </w:r>
      <w:r>
        <w:t xml:space="preserve"> </w:t>
      </w:r>
      <m:oMath>
        <m:r>
          <m:t>i</m:t>
        </m:r>
      </m:oMath>
      <w:r>
        <w:t xml:space="preserve">. Cỡ ảnh hưởng gộp được tính theo trọng số nghịch đảo phương sai (Borenstein et al., 2009).</w:t>
      </w:r>
    </w:p>
    <w:p>
      <w:pPr>
        <w:pStyle w:val="BodyText"/>
      </w:pPr>
      <w:r>
        <w:t xml:space="preserve">Dị biệt được đo bằng kiểm định</w:t>
      </w:r>
      <w:r>
        <w:t xml:space="preserve"> </w:t>
      </w:r>
      <m:oMath>
        <m:r>
          <m:t>Q</m:t>
        </m:r>
      </m:oMath>
      <w:r>
        <w:t xml:space="preserve"> </w:t>
      </w:r>
      <w:r>
        <w:t xml:space="preserve">và chỉ số</w:t>
      </w:r>
      <w:r>
        <w:t xml:space="preserve"> </w:t>
      </w:r>
      <m:oMath>
        <m:sSup>
          <m:e>
            <m:r>
              <m:t>I</m:t>
            </m:r>
          </m:e>
          <m:sup>
            <m:r>
              <m:t>2</m:t>
            </m:r>
          </m:sup>
        </m:sSup>
      </m:oMath>
      <w:r>
        <w:t xml:space="preserve"> </w:t>
      </w:r>
      <w:r>
        <w:t xml:space="preserve">(Higgins et al., 2003). Phân tích theo nhóm con và hồi quy phân tích tổng hợp được dùng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49"/>
    <w:bookmarkStart w:id="50"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50"/>
    <w:bookmarkStart w:id="51"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giữ nguyên dạng bậc hai trên và được ước lượng riêng theo từng đợt khảo sát (2012 và 2024) cũng như trên mẫu gộp, kèm các kiểm định ổn định hệ số xuyên đợt để kiểm tra giả thuyết dị biệt thời gian H6, thay vì mở rộng lên dạng bậc ba; dạng bậc hai đủ để nhận dạng điểm uốn và phù hợp với mật độ phân phối cường độ xuất khẩu của mẫu doanh nghiệp Trung Quốc.</w:t>
      </w:r>
    </w:p>
    <w:p>
      <w:pPr>
        <w:pStyle w:val="BodyText"/>
      </w:pPr>
      <w:r>
        <w:rPr>
          <w:bCs/>
          <w:b/>
        </w:rPr>
        <w:t xml:space="preserve">Cơ sở kế thừa</w:t>
      </w:r>
      <w:r>
        <w:t xml:space="preserve">: Lu và Beamish (2004), Hitt et al. (1997), Contractor et al. (2003); nghiên cứu thành phần P2 cho dạng bậc hai ở Trung Quốc với điểm uốn khoảng 47,8% FSTS, và nghiên cứu thành phần P5 xác nhận dạng bậc hai ổn định theo thời gian với điểm uốn quanh 48% FSTS.</w:t>
      </w:r>
    </w:p>
    <w:p>
      <w:pPr>
        <w:pStyle w:val="BodyText"/>
      </w:pPr>
      <w:r>
        <w:rPr>
          <w:bCs/>
          <w:b/>
        </w:rPr>
        <w:t xml:space="preserve">Kiểm định chữ U của Lind và Mehlum</w:t>
      </w:r>
      <w:r>
        <w:t xml:space="preserve"> </w:t>
      </w:r>
      <w:r>
        <w:t xml:space="preserve">(Lind &amp; Mehlum, 2010; Haans et al., 2016) để xác nhận chặt chẽ chữ U ngược: kiểm định độ dốc dương ở bên trái và độ dốc âm ở bên phải của miền giá trị FSTS.</w:t>
      </w:r>
    </w:p>
    <w:bookmarkEnd w:id="51"/>
    <w:bookmarkStart w:id="52"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diễn giải là thông tin tích cực theo khung bão hòa chứ không phải là thất bại của giả thuyết phi tuyến, vì nó cho biết doanh nghiệp trong mẫu chưa vượt qua ngưỡng nơi lợi suất quốc tế hóa bắt đầu suy giảm.</w:t>
      </w:r>
    </w:p>
    <w:p>
      <w:pPr>
        <w:pStyle w:val="BodyText"/>
      </w:pPr>
      <w:r>
        <w:t xml:space="preserve">Cách vận hành thủ tục này thể hiện rõ ở các nghiên cứu thành phần. Ở Trung Quốc, kiểm định của Lind và Mehlum được kiểm chứng cho từng đợt qua điều kiện độ dốc dương có ý nghĩa tại biên trái khi cường độ xuất khẩu bằng 0 và độ dốc âm có ý nghĩa tại biên phải khi cường độ bằng 1; điểm uốn được khôi phục bằng phương pháp delta cùng khoảng tin cậy 95 phần trăm theo phổ thể chế của phương pháp delta, cho ra điểm uốn 49,4% với khoảng tin cậy từ 43,1% đến 55,7% năm 2012 và 47,2% với khoảng từ 40,8% đến 53,6% năm 2024, hai khoảng chồng lấn rộng; trên mẫu gộp điểm uốn là 48,8% với khoảng tin cậy từ 44,2% đến 53,4%. Ở khung đa quốc gia, ba điều kiện của Lind và Mehlum, gồm dấu hệ số, điểm uốn nằm chặt bên trong miền quan sát, và dấu độ dốc tại hai biên, được gộp thành một kiểm định giao điểm duy nhất. Trường hợp đảo nhỏ Thái Bình Dương minh họa giá trị thông tin của một kiểm định không bác bỏ: cả hai số hạng mất ý nghĩa khi đưa vào đồng thời do cộng tuyến cao trong mẫu cường độ thấp với trung bình cường độ chỉ 0,048, và hệ số bậc hai dương hàm ý dạng chữ U xuôi thay vì chữ U ngược, một sự đảo dạng bản thân nó nhất quán với quan hệ đơn điệu âm không có điểm quay nội miền.</w:t>
      </w:r>
    </w:p>
    <w:bookmarkEnd w:id="52"/>
    <w:bookmarkStart w:id="55" w:name="mô-hình-điều-tiết-h2h6"/>
    <w:p>
      <w:pPr>
        <w:pStyle w:val="Heading3"/>
      </w:pPr>
      <w:r>
        <w:t xml:space="preserve">3.4.4 Mô hình điều tiết (H2–H6)</w:t>
      </w:r>
    </w:p>
    <w:bookmarkStart w:id="53"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53"/>
    <w:bookmarkStart w:id="54" w:name="tương-tác-ba-chiều-synthesis"/>
    <w:p>
      <w:pPr>
        <w:pStyle w:val="Heading4"/>
      </w:pPr>
      <w:r>
        <w:t xml:space="preserve">Tương tác ba chiều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three-way điều tiết digital × institutional × manager trong bối cảnh châu Á và Pacific với 50 nước chưa được kiểm định trước đây.</w:t>
      </w:r>
    </w:p>
    <w:bookmarkEnd w:id="54"/>
    <w:bookmarkEnd w:id="55"/>
    <w:bookmarkStart w:id="56"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tiến hóa hai mươi năm; Xiao et al. (2013) với các điều kiện đặc thù của Trung Quốc; nghiên cứu thành phần P2 làm cơ sở dạng bậc hai năm 2012.</w:t>
      </w:r>
    </w:p>
    <w:p>
      <w:pPr>
        <w:pStyle w:val="BodyText"/>
      </w:pPr>
      <w:r>
        <w:rPr>
          <w:bCs/>
          <w:b/>
        </w:rPr>
        <w:t xml:space="preserve">Đóng góp mới</w:t>
      </w:r>
      <w:r>
        <w:t xml:space="preserve">: áp dụng cho Trung Quốc các năm 2012 và 2024 để kiểm định tính ổn định của điểm uốn dạng bậc hai (khoảng 47,8% FSTS) sau hơn một thập kỷ chuyển đổi số.</w:t>
      </w:r>
    </w:p>
    <w:bookmarkEnd w:id="56"/>
    <w:bookmarkStart w:id="57"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Việc tách kiểm định theo từng tham số cho phép phân biệt hai loại dịch chuyển có ý nghĩa lý thuyết khác nhau: dịch chuyển ở tham số độ cong báo hiệu hình dạng quan hệ thay đổi cấu trúc, còn dịch chuyển ở hệ số trực tiếp báo hiệu vai trò của một chiều năng lực biến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p>
      <w:pPr>
        <w:pStyle w:val="BodyText"/>
      </w:pPr>
      <w:r>
        <w:t xml:space="preserve">Thủ tục này cho ra hai kết cục đối lập về mặt lý thuyết tùy bối cảnh thể chế. Ở Trung Quốc, kiểm định không bác bỏ bình đẳng hệ số giữa hai đợt cho cả số hạng bậc nhất và bậc hai, với thống kê dịch chuyển bậc nhất bằng +0,82 (giá trị p bằng 0,412) và dịch chuyển bậc hai bằng −0,61 (giá trị p bằng 0,545), hỗ trợ cách diễn giải rằng ngưỡng chữ U ngược là một quy luật cấu trúc bền vững với điểm uốn ổn định quanh 48% bất kể thập niên. Tính bền vững này còn vững trước giới hạn mẫu: trên mẫu con chế biến chế tạo, điểm uốn là 48,1% năm 2012 và 46,4% năm 2024 với các thống kê Paternoster vẫn không có ý nghĩa. Ngược lại, ở Ấn Độ, kiểm định Paternoster xuyên đợt bác bỏ bình đẳng hệ số ở mức rất nhỏ hơn 0,0001 cho cả số hạng tuyến tính và bậc hai, một sự sụp đổ trùng với thập niên thay đổi thể chế ngoại lệ gồm bãi bỏ tiền mặt, thuế hàng hóa và dịch vụ, luật phá sản, hạ tầng thanh toán hợp nhất, chương trình khuyến khích sản xuất và đại dịch. Sự đối lập giữa bền vững ở Trung Quốc và sụp đổ ở Ấn Độ chính là giá trị nhận dạng của kiểm định xuyên đợt: nó phân biệt được dịch chuyển cấu trúc thực do cú sốc thể chế khỏi biến thiên ngẫu nhiên của mẫu.</w:t>
      </w:r>
    </w:p>
    <w:bookmarkEnd w:id="57"/>
    <w:bookmarkStart w:id="58"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trên mẫu gộp. Ký hiệu tiếng Việt:</w:t>
      </w:r>
    </w:p>
    <w:p>
      <w:pPr>
        <w:numPr>
          <w:ilvl w:val="0"/>
          <w:numId w:val="1004"/>
        </w:numPr>
        <w:pStyle w:val="Compact"/>
      </w:pPr>
      <w:r>
        <w:rPr>
          <w:bCs/>
          <w:b/>
        </w:rPr>
        <w:t xml:space="preserve">lnNSLD_it</w:t>
      </w:r>
      <w:r>
        <w:t xml:space="preserve"> </w:t>
      </w:r>
      <w:r>
        <w:t xml:space="preserve">= lnLP_it: log năng suất lao động (ln doanh thu PPP / lao động thường xuyên)</w:t>
      </w:r>
    </w:p>
    <w:p>
      <w:pPr>
        <w:numPr>
          <w:ilvl w:val="0"/>
          <w:numId w:val="1004"/>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4"/>
        </w:numPr>
        <w:pStyle w:val="Compact"/>
      </w:pPr>
      <w:r>
        <w:rPr>
          <w:bCs/>
          <w:b/>
        </w:rPr>
        <w:t xml:space="preserve">CDDXK_c²_it</w:t>
      </w:r>
      <w:r>
        <w:t xml:space="preserve"> </w:t>
      </w:r>
      <w:r>
        <w:t xml:space="preserve">= FSTS_c²_it: bình phương cường độ xuất khẩu điều chỉnh</w:t>
      </w:r>
    </w:p>
    <w:p>
      <w:pPr>
        <w:numPr>
          <w:ilvl w:val="0"/>
          <w:numId w:val="1004"/>
        </w:numPr>
        <w:pStyle w:val="Compact"/>
      </w:pPr>
      <w:r>
        <w:rPr>
          <w:bCs/>
          <w:b/>
        </w:rPr>
        <w:t xml:space="preserve">NLCN_z_it</w:t>
      </w:r>
      <w:r>
        <w:t xml:space="preserve"> </w:t>
      </w:r>
      <w:r>
        <w:t xml:space="preserve">= TCI_z_it: năng lực công nghệ (chuẩn hoá z trong sóng)</w:t>
      </w:r>
    </w:p>
    <w:p>
      <w:pPr>
        <w:numPr>
          <w:ilvl w:val="0"/>
          <w:numId w:val="1004"/>
        </w:numPr>
        <w:pStyle w:val="Compact"/>
      </w:pPr>
      <w:r>
        <w:rPr>
          <w:bCs/>
          <w:b/>
        </w:rPr>
        <w:t xml:space="preserve">CSS_z_it</w:t>
      </w:r>
      <w:r>
        <w:t xml:space="preserve"> </w:t>
      </w:r>
      <w:r>
        <w:t xml:space="preserve">= DAI_z_it: chỉ số số hoá cơ sở, Tầng 1 (chuẩn hoá z trong sóng)</w:t>
      </w:r>
    </w:p>
    <w:p>
      <w:pPr>
        <w:numPr>
          <w:ilvl w:val="0"/>
          <w:numId w:val="1004"/>
        </w:numPr>
        <w:pStyle w:val="Compact"/>
      </w:pPr>
      <w:r>
        <w:rPr>
          <w:bCs/>
          <w:b/>
        </w:rPr>
        <w:t xml:space="preserve">lnLD, TuoiDN, SoHuuNuocNgoai</w:t>
      </w:r>
      <w:r>
        <w:t xml:space="preserve">: kiểm soát quy mô, tuổi, sở hữu</w:t>
      </w:r>
    </w:p>
    <w:p>
      <w:pPr>
        <w:numPr>
          <w:ilvl w:val="0"/>
          <w:numId w:val="1004"/>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e>
            </m:mr>
            <m:mr>
              <m:e/>
              <m:e>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M4, Điều tiết CSS/DAI (H3 thăm dò):</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e>
            </m:mr>
            <m:mr>
              <m:e/>
              <m:e>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e>
            </m:mr>
            <m:mr>
              <m:e/>
              <m:e>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 trong sóng của c22b₀₁: hiện diện website</w:t>
            </w:r>
          </w:p>
        </w:tc>
        <w:tc>
          <w:tcPr/>
          <w:p>
            <w:pPr>
              <w:pStyle w:val="Compact"/>
              <w:jc w:val="left"/>
            </w:pPr>
            <w:r>
              <w:t xml:space="preserve">Số hoá Tầng 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58"/>
    <w:bookmarkStart w:id="59"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5"/>
        </w:numPr>
        <w:pStyle w:val="Compact"/>
      </w:pPr>
      <w:r>
        <w:rPr>
          <w:bCs/>
          <w:b/>
        </w:rPr>
        <w:t xml:space="preserve">lnNSLD_i</w:t>
      </w:r>
      <w:r>
        <w:t xml:space="preserve"> </w:t>
      </w:r>
      <w:r>
        <w:t xml:space="preserve">= lnLP_i: log năng suất lao động (ln doanh thu PPP / lao động thường xuyên)</w:t>
      </w:r>
    </w:p>
    <w:p>
      <w:pPr>
        <w:numPr>
          <w:ilvl w:val="0"/>
          <w:numId w:val="1005"/>
        </w:numPr>
        <w:pStyle w:val="Compact"/>
      </w:pPr>
      <w:r>
        <w:rPr>
          <w:bCs/>
          <w:b/>
        </w:rPr>
        <w:t xml:space="preserve">CDDXK_i</w:t>
      </w:r>
      <w:r>
        <w:t xml:space="preserve"> </w:t>
      </w:r>
      <w:r>
        <w:t xml:space="preserve">= FSTS_i: cường độ xuất khẩu trực tiếp (d3c / 100)</w:t>
      </w:r>
    </w:p>
    <w:p>
      <w:pPr>
        <w:numPr>
          <w:ilvl w:val="0"/>
          <w:numId w:val="1005"/>
        </w:numPr>
        <w:pStyle w:val="Compact"/>
      </w:pPr>
      <w:r>
        <w:rPr>
          <w:bCs/>
          <w:b/>
        </w:rPr>
        <w:t xml:space="preserve">CDDXK_c_i</w:t>
      </w:r>
      <w:r>
        <w:t xml:space="preserve"> </w:t>
      </w:r>
      <w:r>
        <w:t xml:space="preserve">= FSTS_c_i: CDDXK trung bình mẫu; CDDXK_c² là bình phương</w:t>
      </w:r>
    </w:p>
    <w:p>
      <w:pPr>
        <w:numPr>
          <w:ilvl w:val="0"/>
          <w:numId w:val="1005"/>
        </w:numPr>
        <w:pStyle w:val="Compact"/>
      </w:pPr>
      <w:r>
        <w:rPr>
          <w:bCs/>
          <w:b/>
        </w:rPr>
        <w:t xml:space="preserve">NLCN_z_i</w:t>
      </w:r>
      <w:r>
        <w:t xml:space="preserve"> </w:t>
      </w:r>
      <w:r>
        <w:t xml:space="preserve">= TCI_z_i: năng lực công nghệ, chuẩn hóa z của trung bình(b8₀₁, e6₀₁)</w:t>
      </w:r>
    </w:p>
    <w:p>
      <w:pPr>
        <w:numPr>
          <w:ilvl w:val="0"/>
          <w:numId w:val="1005"/>
        </w:numPr>
        <w:pStyle w:val="Compact"/>
      </w:pPr>
      <w:r>
        <w:rPr>
          <w:bCs/>
          <w:b/>
        </w:rPr>
        <w:t xml:space="preserve">CSS_z_i</w:t>
      </w:r>
      <w:r>
        <w:t xml:space="preserve"> </w:t>
      </w:r>
      <w:r>
        <w:t xml:space="preserve">= DAI_z_i: chỉ số số hoá</w:t>
      </w:r>
      <w:r>
        <w:t xml:space="preserve"> </w:t>
      </w:r>
      <w:r>
        <w:rPr>
          <w:bCs/>
          <w:b/>
        </w:rPr>
        <w:t xml:space="preserve">Tầng 1 và 2</w:t>
      </w:r>
      <w:r>
        <w:t xml:space="preserve">, chuẩn hóa z của trung bình(c22b₀₁, k33₀₁, k38₀₁); khác P3 ở chỗ bao gồm thanh toán điện tử hai chiều (Tầng 2)</w:t>
      </w:r>
    </w:p>
    <w:p>
      <w:pPr>
        <w:numPr>
          <w:ilvl w:val="0"/>
          <w:numId w:val="1005"/>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5"/>
        </w:numPr>
        <w:pStyle w:val="Compact"/>
      </w:pPr>
      <w:r>
        <w:rPr>
          <w:bCs/>
          <w:b/>
        </w:rPr>
        <w:t xml:space="preserve">δ_s</w:t>
      </w:r>
      <w:r>
        <w:t xml:space="preserve">: ngành hiệu ứng cố định (ISIC 1-chữ số)</w:t>
      </w:r>
    </w:p>
    <w:p>
      <w:pPr>
        <w:numPr>
          <w:ilvl w:val="0"/>
          <w:numId w:val="1005"/>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DAI khuếch đại lợi nhuận quốc tế hóa và hiệu quả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chuẩn hóa z của TB(c22b₀₁, k33₀₁, k38₀₁):</w:t>
            </w:r>
            <w:r>
              <w:t xml:space="preserve"> </w:t>
            </w:r>
            <w:r>
              <w:rPr>
                <w:bCs/>
                <w:b/>
              </w:rPr>
              <w:t xml:space="preserve">Tầng 1 và 2</w:t>
            </w:r>
          </w:p>
        </w:tc>
        <w:tc>
          <w:tcPr/>
          <w:p>
            <w:pPr>
              <w:pStyle w:val="Compact"/>
              <w:jc w:val="left"/>
            </w:pPr>
            <w:r>
              <w:t xml:space="preserve">Số hoá Tầng 1 và 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ngành FE (ISIC 1-chữ số)</w:t>
            </w:r>
          </w:p>
        </w:tc>
        <w:tc>
          <w:tcPr/>
          <w:p>
            <w:pPr>
              <w:pStyle w:val="Compact"/>
              <w:jc w:val="left"/>
            </w:pPr>
            <w:r>
              <w:t xml:space="preserve">Hiệu ứng cố định ngành</w:t>
            </w:r>
          </w:p>
        </w:tc>
      </w:tr>
    </w:tbl>
    <w:p>
      <w:r>
        <w:pict>
          <v:rect style="width:0;height:1.5pt" o:hralign="center" o:hrstd="t" o:hr="t"/>
        </w:pict>
      </w:r>
    </w:p>
    <w:bookmarkEnd w:id="59"/>
    <w:bookmarkStart w:id="60"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6"/>
        </w:numPr>
        <w:pStyle w:val="Compact"/>
      </w:pPr>
      <w:r>
        <w:rPr>
          <w:bCs/>
          <w:b/>
        </w:rPr>
        <w:t xml:space="preserve">lnNSLD_it</w:t>
      </w:r>
      <w:r>
        <w:t xml:space="preserve"> </w:t>
      </w:r>
      <w:r>
        <w:t xml:space="preserve">= lnLP_it: log năng suất lao động (biến phụ thuộc)</w:t>
      </w:r>
    </w:p>
    <w:p>
      <w:pPr>
        <w:numPr>
          <w:ilvl w:val="0"/>
          <w:numId w:val="1006"/>
        </w:numPr>
        <w:pStyle w:val="Compact"/>
      </w:pPr>
      <w:r>
        <w:rPr>
          <w:bCs/>
          <w:b/>
        </w:rPr>
        <w:t xml:space="preserve">CDDXK_c_it</w:t>
      </w:r>
      <w:r>
        <w:t xml:space="preserve"> </w:t>
      </w:r>
      <w:r>
        <w:t xml:space="preserve">= FSTS_c_it: cường độ xuất khẩu centred theo trung bình sóng</w:t>
      </w:r>
    </w:p>
    <w:p>
      <w:pPr>
        <w:numPr>
          <w:ilvl w:val="0"/>
          <w:numId w:val="1006"/>
        </w:numPr>
        <w:pStyle w:val="Compact"/>
      </w:pPr>
      <w:r>
        <w:rPr>
          <w:bCs/>
          <w:b/>
        </w:rPr>
        <w:t xml:space="preserve">NLCN_z_it</w:t>
      </w:r>
      <w:r>
        <w:t xml:space="preserve"> </w:t>
      </w:r>
      <w:r>
        <w:t xml:space="preserve">= TCI_full_z_it: năng lực công nghệ toàn diện, chuẩn hóa z của TB(b8₀₁, e6₀₁, h1₀₁, h8₀₁); mở rộng hơn P3</w:t>
      </w:r>
    </w:p>
    <w:p>
      <w:pPr>
        <w:numPr>
          <w:ilvl w:val="0"/>
          <w:numId w:val="1006"/>
        </w:numPr>
        <w:pStyle w:val="Compact"/>
      </w:pPr>
      <w:r>
        <w:rPr>
          <w:bCs/>
          <w:b/>
        </w:rPr>
        <w:t xml:space="preserve">CSS_z_it</w:t>
      </w:r>
      <w:r>
        <w:t xml:space="preserve"> </w:t>
      </w:r>
      <w:r>
        <w:t xml:space="preserve">= DAI_core_it: chỉ số số hoá cơ bản, chỉ c22b₀₁ (Tầng 1 mỏng, một chỉ báo nhị phân)</w:t>
      </w:r>
    </w:p>
    <w:p>
      <w:pPr>
        <w:numPr>
          <w:ilvl w:val="0"/>
          <w:numId w:val="1006"/>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6"/>
        </w:numPr>
        <w:pStyle w:val="Compact"/>
      </w:pPr>
      <w:r>
        <w:rPr>
          <w:bCs/>
          <w:b/>
        </w:rPr>
        <w:t xml:space="preserve">δ_s</w:t>
      </w:r>
      <w:r>
        <w:t xml:space="preserve">: ngành hiệu ứng cố định;</w:t>
      </w:r>
      <w:r>
        <w:t xml:space="preserve"> </w:t>
      </w:r>
      <w:r>
        <w:rPr>
          <w:bCs/>
          <w:b/>
        </w:rPr>
        <w:t xml:space="preserve">λ_t</w:t>
      </w:r>
      <w:r>
        <w:t xml:space="preserve">: đợt hiệu ứng cố định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et al. (1998) z-test: z(FSTS) = +0,82 (p = 0,412); z(FSTS²) = −0,61 (p = 0,545),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do đó H4b (không có điều tiết độ cong theo năng lực)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h1, h8</w:t>
            </w:r>
          </w:p>
        </w:tc>
        <w:tc>
          <w:tcPr/>
          <w:p>
            <w:pPr>
              <w:pStyle w:val="Compact"/>
              <w:jc w:val="left"/>
            </w:pPr>
            <w:r>
              <w:t xml:space="preserve">chuẩn hóa z của TB(b8₀₁, e6₀₁, h1₀₁, h8₀₁):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Tầng 1 đơn biến</w:t>
            </w:r>
            <w:r>
              <w:t xml:space="preserve"> </w:t>
            </w:r>
            <w:r>
              <w:t xml:space="preserve">(binary)</w:t>
            </w:r>
          </w:p>
        </w:tc>
        <w:tc>
          <w:tcPr/>
          <w:p>
            <w:pPr>
              <w:pStyle w:val="Compact"/>
              <w:jc w:val="left"/>
            </w:pPr>
            <w:r>
              <w:t xml:space="preserve">Số hoá Tầng 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ngành</w:t>
            </w:r>
          </w:p>
        </w:tc>
        <w:tc>
          <w:tcPr/>
          <w:p>
            <w:pPr>
              <w:pStyle w:val="Compact"/>
              <w:jc w:val="left"/>
            </w:pPr>
            <w:r>
              <w:t xml:space="preserve">ngành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Tầng 1 đơn biến, không đủ để kiểm định CDCM; hàm ý chính sách và lý thuyết khác với P4 Singapore (Tầng 1 và 2).</w:t>
      </w:r>
    </w:p>
    <w:p>
      <w:r>
        <w:pict>
          <v:rect style="width:0;height:1.5pt" o:hralign="center" o:hrstd="t" o:hr="t"/>
        </w:pict>
      </w:r>
    </w:p>
    <w:bookmarkEnd w:id="60"/>
    <w:bookmarkStart w:id="63" w:name="X2a5dc3aad8f8594bf12150debe5bfd020984bc8"/>
    <w:p>
      <w:pPr>
        <w:pStyle w:val="Heading3"/>
      </w:pPr>
      <w:r>
        <w:t xml:space="preserve">3.4.5.4 Mô hình cụ thể: Nghiên cứu 7 (Đa quốc gia châu Á, WBES 2006–2026)</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tiếng Việt:</w:t>
      </w:r>
    </w:p>
    <w:p>
      <w:pPr>
        <w:numPr>
          <w:ilvl w:val="0"/>
          <w:numId w:val="1007"/>
        </w:numPr>
        <w:pStyle w:val="Compact"/>
      </w:pPr>
      <w:r>
        <w:rPr>
          <w:bCs/>
          <w:b/>
        </w:rPr>
        <w:t xml:space="preserve">lnNSLD_it</w:t>
      </w:r>
      <w:r>
        <w:t xml:space="preserve">: ln(năng suất lao động) = ln(doanh thu / lao động thường trực), biến phụ thuộc</w:t>
      </w:r>
    </w:p>
    <w:p>
      <w:pPr>
        <w:numPr>
          <w:ilvl w:val="0"/>
          <w:numId w:val="1007"/>
        </w:numPr>
        <w:pStyle w:val="Compact"/>
      </w:pPr>
      <w:r>
        <w:rPr>
          <w:bCs/>
          <w:b/>
        </w:rPr>
        <w:t xml:space="preserve">CDDXK_c_it</w:t>
      </w:r>
      <w:r>
        <w:t xml:space="preserve">: cường độ xuất khẩu mean-centred, FSTS_c = (d3c/100) − mean_pool(FSTS)</w:t>
      </w:r>
    </w:p>
    <w:p>
      <w:pPr>
        <w:numPr>
          <w:ilvl w:val="0"/>
          <w:numId w:val="1007"/>
        </w:numPr>
        <w:pStyle w:val="Compact"/>
      </w:pPr>
      <w:r>
        <w:rPr>
          <w:bCs/>
          <w:b/>
        </w:rPr>
        <w:t xml:space="preserve">CDDXK_c²_it</w:t>
      </w:r>
      <w:r>
        <w:t xml:space="preserve">: CDDXK_c bình phương, kiểm định phi tuyến</w:t>
      </w:r>
    </w:p>
    <w:p>
      <w:pPr>
        <w:numPr>
          <w:ilvl w:val="0"/>
          <w:numId w:val="1007"/>
        </w:numPr>
        <w:pStyle w:val="Compact"/>
      </w:pPr>
      <w:r>
        <w:rPr>
          <w:bCs/>
          <w:b/>
        </w:rPr>
        <w:t xml:space="preserve">NLCN_z_it</w:t>
      </w:r>
      <w:r>
        <w:t xml:space="preserve">: năng lực công nghệ z-standardised, TCI_z = chuẩn hóa z(b8, e6)</w:t>
      </w:r>
    </w:p>
    <w:p>
      <w:pPr>
        <w:numPr>
          <w:ilvl w:val="0"/>
          <w:numId w:val="1007"/>
        </w:numPr>
        <w:pStyle w:val="Compact"/>
      </w:pPr>
      <w:r>
        <w:rPr>
          <w:bCs/>
          <w:b/>
        </w:rPr>
        <w:t xml:space="preserve">CSS_z_it</w:t>
      </w:r>
      <w:r>
        <w:t xml:space="preserve">: chỉ số số hoá z-standardised, DAI_z = chuẩn hóa z(website + e-pay, Tầng 1 và 2: c22b/e1, k33)</w:t>
      </w:r>
    </w:p>
    <w:p>
      <w:pPr>
        <w:numPr>
          <w:ilvl w:val="0"/>
          <w:numId w:val="1007"/>
        </w:numPr>
        <w:pStyle w:val="Compact"/>
      </w:pPr>
      <w:r>
        <w:rPr>
          <w:bCs/>
          <w:b/>
        </w:rPr>
        <w:t xml:space="preserve">KNQLy_it</w:t>
      </w:r>
      <w:r>
        <w:t xml:space="preserve">: kinh nghiệm nhà quản lý trong ngành (năm, b7)</w:t>
      </w:r>
    </w:p>
    <w:p>
      <w:pPr>
        <w:numPr>
          <w:ilvl w:val="0"/>
          <w:numId w:val="1007"/>
        </w:numPr>
        <w:pStyle w:val="Compact"/>
      </w:pPr>
      <w:r>
        <w:rPr>
          <w:bCs/>
          <w:b/>
        </w:rPr>
        <w:t xml:space="preserve">NQL_nu_it</w:t>
      </w:r>
      <w:r>
        <w:t xml:space="preserve">: top manager là nữ (binary, b7a/b6a)</w:t>
      </w:r>
    </w:p>
    <w:p>
      <w:pPr>
        <w:numPr>
          <w:ilvl w:val="0"/>
          <w:numId w:val="1007"/>
        </w:numPr>
        <w:pStyle w:val="Compact"/>
      </w:pPr>
      <w:r>
        <w:rPr>
          <w:bCs/>
          <w:b/>
        </w:rPr>
        <w:t xml:space="preserve">ICRV_j</w:t>
      </w:r>
      <w:r>
        <w:t xml:space="preserve">: phân loại chế độ thể chế ICRV (integer 1–6, Advanced sang SIDS)</w:t>
      </w:r>
    </w:p>
    <w:p>
      <w:pPr>
        <w:numPr>
          <w:ilvl w:val="0"/>
          <w:numId w:val="1007"/>
        </w:numPr>
        <w:pStyle w:val="Compact"/>
      </w:pPr>
      <w:r>
        <w:rPr>
          <w:bCs/>
          <w:b/>
        </w:rPr>
        <w:t xml:space="preserve">lnLD_it</w:t>
      </w:r>
      <w:r>
        <w:t xml:space="preserve">: ln(lao động thường trực), kiểm soát quy mô doanh nghiệp</w:t>
      </w:r>
    </w:p>
    <w:p>
      <w:pPr>
        <w:numPr>
          <w:ilvl w:val="0"/>
          <w:numId w:val="1007"/>
        </w:numPr>
        <w:pStyle w:val="Compact"/>
      </w:pPr>
      <w:r>
        <w:rPr>
          <w:bCs/>
          <w:b/>
        </w:rPr>
        <w:t xml:space="preserve">TuoiDN_it</w:t>
      </w:r>
      <w:r>
        <w:t xml:space="preserve">: tuổi doanh nghiệp (năm_khảo_sát − b5)</w:t>
      </w:r>
    </w:p>
    <w:p>
      <w:pPr>
        <w:numPr>
          <w:ilvl w:val="0"/>
          <w:numId w:val="1007"/>
        </w:numPr>
        <w:pStyle w:val="Compact"/>
      </w:pPr>
      <w:r>
        <w:rPr>
          <w:bCs/>
          <w:b/>
        </w:rPr>
        <w:t xml:space="preserve">SoHuuNN_it</w:t>
      </w:r>
      <w:r>
        <w:t xml:space="preserve">: tỷ lệ sở hữu nước ngoài (b6a/100)</w:t>
      </w:r>
    </w:p>
    <w:p>
      <w:pPr>
        <w:numPr>
          <w:ilvl w:val="0"/>
          <w:numId w:val="1007"/>
        </w:numPr>
        <w:pStyle w:val="Compact"/>
      </w:pPr>
      <w:r>
        <w:rPr>
          <w:bCs/>
          <w:b/>
        </w:rPr>
        <w:t xml:space="preserve">δ_ct</w:t>
      </w:r>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t>T</m:t>
          </m:r>
          <m: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t>T</m:t>
          </m:r>
          <m: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H3: </m:t>
                </m:r>
              </m:e>
              <m:e>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sty m:val="p"/>
                  </m:rPr>
                  <m:t>,</m:t>
                </m:r>
              </m:e>
            </m:mr>
            <m:mr>
              <m:e/>
              <m:e>
                <m:r>
                  <m:rPr>
                    <m:nor/>
                    <m:sty m:val="p"/>
                  </m:rPr>
                  <m:t>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e>
            </m:mr>
          </m:m>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088</m:t>
              </m:r>
            </m:e>
            <m:sup>
              <m:r>
                <m:rPr>
                  <m:sty m:val="p"/>
                </m:rPr>
                <m:t>*</m:t>
              </m:r>
            </m:sup>
          </m:sSup>
          <m:r>
            <m:t> </m:t>
          </m:r>
          <m:d>
            <m:dPr>
              <m:begChr m:val="("/>
              <m:endChr m:val=")"/>
              <m:sepChr m:val=""/>
              <m:grow/>
            </m:dPr>
            <m:e>
              <m:r>
                <m:t>p</m:t>
              </m:r>
              <m:r>
                <m:rPr>
                  <m:sty m:val="p"/>
                </m:rPr>
                <m:t>=</m:t>
              </m:r>
              <m:r>
                <m:rPr>
                  <m:sty m:val="p"/>
                </m:rPr>
                <m:t>,</m:t>
              </m:r>
              <m:r>
                <m:t>026</m:t>
              </m:r>
            </m:e>
          </m:d>
          <m:r>
            <m:rPr>
              <m:nor/>
              <m:sty m:val="p"/>
            </m:rPr>
            <m:t> (nữ quản lý cấp cao: hệ số mức âm nhẹ;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H5 (ba vùng): </m:t>
                </m:r>
              </m:e>
              <m:e>
                <m:r>
                  <m:rPr>
                    <m:nor/>
                    <m:sty m:val="p"/>
                  </m:rPr>
                  <m:t>chữ U ngược định hình rõ ở Nhóm IV </m:t>
                </m:r>
                <m:d>
                  <m:dPr>
                    <m:begChr m:val="("/>
                    <m:endChr m:val=")"/>
                    <m:sepChr m:val=""/>
                    <m:grow/>
                  </m:dPr>
                  <m:e>
                    <m:r>
                      <m:t>T</m:t>
                    </m:r>
                    <m: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e>
            </m:mr>
            <m:mr>
              <m:e/>
              <m:e>
                <m:r>
                  <m:rPr>
                    <m:nor/>
                    <m:sty m:val="p"/>
                  </m:rPr>
                  <m:t>gần tuyến tính ở Nhóm I; mất cấu trúc ở Nhóm V–VI</m:t>
                </m:r>
              </m:e>
            </m:mr>
          </m:m>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r>
                  <m:rPr>
                    <m:nor/>
                    <m:sty m:val="p"/>
                  </m:rPr>
                  <m:t>Tương tác chế độ-yếu: FSTS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e>
            </m:mr>
            <m:mr>
              <m:e/>
              <m:e>
                <m:r>
                  <m:rPr>
                    <m:nor/>
                    <m:sty m:val="p"/>
                  </m:rPr>
                  <m:t>ba chiều không ý nghĩa; </m:t>
                </m:r>
                <m:r>
                  <m:t>T</m:t>
                </m:r>
                <m: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e>
            </m:mr>
          </m:m>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chuẩn hóa z(website + thanh toán điện tử): Tầng 1 và 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(tiên tiến đổi mới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Tầng 1 và 2 khi k33 có mặt, Tầng 1 only khi thiếu, khác với P3 Vietnam (chỉ Tầng 1) và đồng nhất với P4 Singapore (Tầng 1 và 2). ICRV là biến điều tiết liên tục (integer), không phải dummies, nhằm giữ N đủ lớn trong M10–M11.</w:t>
      </w:r>
    </w:p>
    <w:p>
      <w:r>
        <w:pict>
          <v:rect style="width:0;height:1.5pt" o:hralign="center" o:hrstd="t" o:hr="t"/>
        </w:pict>
      </w:r>
    </w:p>
    <w:bookmarkStart w:id="61" w:name="X7ae0fbe3e53b09e3ffb61b533c4c804e40982e2"/>
    <w:p>
      <w:pPr>
        <w:pStyle w:val="Heading4"/>
      </w:pPr>
      <w:r>
        <w:t xml:space="preserve">3.4.5.5 Mô hình cụ thể: Nghiên cứu 8: đảo nhỏ Thái Bình Dương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&gt;,10), xác nhận không có điểm quay.</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chuẩn hóa z(trung bình cert chất lượng + CN nước ngoài)</w:t>
            </w:r>
          </w:p>
        </w:tc>
      </w:tr>
      <w:tr>
        <w:tc>
          <w:tcPr/>
          <w:p>
            <w:pPr>
              <w:pStyle w:val="Compact"/>
              <w:jc w:val="left"/>
            </w:pPr>
            <w:r>
              <w:t xml:space="preserve">CSS_z</w:t>
            </w:r>
          </w:p>
        </w:tc>
        <w:tc>
          <w:tcPr/>
          <w:p>
            <w:pPr>
              <w:pStyle w:val="Compact"/>
              <w:jc w:val="left"/>
            </w:pPr>
            <w:r>
              <w:t xml:space="preserve">Chỉ số số hoá (Tầng 1)</w:t>
            </w:r>
          </w:p>
        </w:tc>
        <w:tc>
          <w:tcPr/>
          <w:p>
            <w:pPr>
              <w:pStyle w:val="Compact"/>
              <w:jc w:val="left"/>
            </w:pPr>
            <w:r>
              <w:t xml:space="preserve">c22b</w:t>
            </w:r>
          </w:p>
        </w:tc>
        <w:tc>
          <w:tcPr/>
          <w:p>
            <w:pPr>
              <w:pStyle w:val="Compact"/>
              <w:jc w:val="left"/>
            </w:pPr>
            <w:r>
              <w:t xml:space="preserve">chuẩn hóa z(website binary):</w:t>
            </w:r>
            <w:r>
              <w:t xml:space="preserve"> </w:t>
            </w:r>
            <w:r>
              <w:rPr>
                <w:bCs/>
                <w:b/>
              </w:rPr>
              <w:t xml:space="preserve">chỉ Tầng 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CSS_z (DAI) là biến đại diện tĩnh Tầng 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e>
            </m:mr>
            <m:mr>
              <m:e/>
              <m:e>
                <m:r>
                  <m:rPr>
                    <m:sty m:val="p"/>
                  </m:rPr>
                  <m:t>⇒</m:t>
                </m:r>
                <m:r>
                  <m:rPr>
                    <m:nor/>
                    <m:sty m:val="p"/>
                  </m:rPr>
                  <m:t>không có điểm quay, đơn điệu âm</m:t>
                </m:r>
              </m:e>
            </m:mr>
          </m:m>
        </m:oMath>
      </m:oMathPara>
    </w:p>
    <w:p>
      <w:pPr>
        <w:pStyle w:val="FirstParagraph"/>
      </w:pPr>
      <w:r>
        <w:t xml:space="preserve">M3, Kiểm định năng lực điều tiết (H2 null cho SIDS):</w:t>
      </w:r>
    </w:p>
    <w:p>
      <w:pPr>
        <w:pStyle w:val="BodyText"/>
      </w:pPr>
      <m:oMathPara>
        <m:oMathParaPr>
          <m:jc m:val="center"/>
        </m:oMathParaPr>
        <m:oMath>
          <m:m>
            <m:mPr>
              <m:baseJc m:val="center"/>
              <m:plcHide m:val="on"/>
              <m:mcs>
                <m:mc>
                  <m:mcPr>
                    <m:mcJc m:val="right"/>
                    <m:count m:val="1"/>
                  </m:mcPr>
                </m:mc>
                <m:mc>
                  <m:mcPr>
                    <m:mcJc m:val="left"/>
                    <m:count m:val="1"/>
                  </m:mcPr>
                </m:mc>
              </m:mcs>
            </m:mPr>
            <m:mr>
              <m:e>
                <m:r>
                  <m:t>l</m:t>
                </m:r>
                <m:r>
                  <m:t>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e>
            </m:mr>
            <m:mr>
              <m:e/>
              <m:e>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e>
            </m:mr>
          </m:m>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285</m:t>
                </m:r>
                <m:r>
                  <m:t> </m:t>
                </m:r>
                <m:r>
                  <m:rPr>
                    <m:nor/>
                    <m:sty m:val="p"/>
                  </m:rPr>
                  <m:t>NS</m:t>
                </m:r>
              </m:e>
            </m:mr>
            <m:mr>
              <m:e/>
              <m:e>
                <m:r>
                  <m:rPr>
                    <m:sty m:val="p"/>
                  </m:rPr>
                  <m:t>⇒</m:t>
                </m:r>
                <m:r>
                  <m:rPr>
                    <m:nor/>
                    <m:sty m:val="p"/>
                  </m:rPr>
                  <m:t>TCI nâng mặt bằng năng suất; không có biến điều tiết uốn đường cong (H2 null)</m:t>
                </m:r>
              </m:e>
            </m:mr>
          </m:m>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Đặc tả</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chỉ doanh nghiệp xuất khẩu (N=26) thiếu công suất thống kê.</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z(website binary): Tầng 1 only</w:t>
            </w:r>
          </w:p>
        </w:tc>
        <w:tc>
          <w:tcPr/>
          <w:p>
            <w:pPr>
              <w:pStyle w:val="Compact"/>
              <w:jc w:val="left"/>
            </w:pPr>
            <w:r>
              <w:t xml:space="preserve">Số hoá, biến đại diện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Tầng 1 only, WBES không thu thập thang đo đầy đủ cho số hoá động tại SIDS.</w:t>
      </w:r>
    </w:p>
    <w:p>
      <w:r>
        <w:pict>
          <v:rect style="width:0;height:1.5pt" o:hralign="center" o:hrstd="t" o:hr="t"/>
        </w:pict>
      </w:r>
    </w:p>
    <w:bookmarkEnd w:id="61"/>
    <w:bookmarkStart w:id="62"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mẫu gộp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Tầng 2 (</w:t>
      </w:r>
      <w:r>
        <w:rPr>
          <w:rStyle w:val="VerbatimChar"/>
        </w:rPr>
        <w:t xml:space="preserve">k33</w:t>
      </w:r>
      <w:r>
        <w:t xml:space="preserve">, tỷ trọng doanh thu qua thanh toán điện tử) cho phép kiểm định điều tiết DAI Tầng 2, được xử lý như phân tích thăm dò vì chỉ có ở một đợt.</w:t>
      </w:r>
    </w:p>
    <w:bookmarkEnd w:id="62"/>
    <w:bookmarkEnd w:id="63"/>
    <w:bookmarkStart w:id="64" w:name="sai-số-chuẩn"/>
    <w:p>
      <w:pPr>
        <w:pStyle w:val="Heading3"/>
      </w:pPr>
      <w:r>
        <w:t xml:space="preserve">3.4.6 Sai số chuẩn</w:t>
      </w:r>
    </w:p>
    <w:p>
      <w:pPr>
        <w:pStyle w:val="FirstParagraph"/>
      </w:pPr>
      <w:r>
        <w:t xml:space="preserve">Tất cả các mô hình đều sử dụng HC1/HC3 sai số chuẩn vững (Long &amp; Ervin, 2000; White, 1980) để xử lý phương sai thay đổi. Đối với multi-country, bổ sung clustered SE theo country.</w:t>
      </w:r>
    </w:p>
    <w:bookmarkEnd w:id="64"/>
    <w:bookmarkStart w:id="65"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Cụ thể, mọi mô hình trong khung đa quốc gia đều mang hiệu ứng cố định hai chiều theo nền kinh tế và theo năm, cùng sai số chuẩn vững phân cụm theo nền kinh tế theo hiệu chỉnh CRV1. Cấp phân cụm theo nền kinh tế được chọn vì thiết kế chọn mẫu phân tầng của bộ công cụ tạo tương quan nội cụm giữa các doanh nghiệp trong cùng một nền, và vì các cú sốc thể chế cùng chính sách tác động đồng thời lên nhiều doanh nghiệp ở cùng cấp này.</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đặc tả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65"/>
    <w:bookmarkEnd w:id="66"/>
    <w:bookmarkStart w:id="77" w:name="kiểm-định-độ-vững"/>
    <w:p>
      <w:pPr>
        <w:pStyle w:val="Heading2"/>
      </w:pPr>
      <w:r>
        <w:t xml:space="preserve">3.5 Kiểm định độ vững</w:t>
      </w:r>
    </w:p>
    <w:bookmarkStart w:id="67" w:name="thay-đổi-thước-đo"/>
    <w:p>
      <w:pPr>
        <w:pStyle w:val="Heading3"/>
      </w:pPr>
      <w:r>
        <w:t xml:space="preserve">3.5.1 Thay đổi thước đo</w:t>
      </w:r>
    </w:p>
    <w:p>
      <w:pPr>
        <w:pStyle w:val="FirstParagraph"/>
      </w:pPr>
      <w:r>
        <w:t xml:space="preserve">Lớp độ vững thứ nhất hoán đổi thước đo các biến trọng tâm. Biến phụ thuộc năng suất lao động dạng logarit được thay bằng tỷ suất lợi nhuận trên doanh thu, tăng trưởng doanh thu và tăng trưởng việc làm để kiểm tra liệu hình dạng quan hệ có phụ thuộc vào một định nghĩa hiệu quả duy nhất hay không. Biến độc lập cường độ xuất khẩu được thay bằng trạng thái xuất khẩu nhị phân nhằm phân biệt hiệu ứng ở biên tham gia khỏi hiệu ứng ở biên cường độ. Biến điều tiết số được hoán đổi giữa biến thể chỉ gồm Tầng 1 và biến thể gồm cả Tầng 2 trên mẫu con từ năm 2024 trở đi, nơi các chỉ báo số phong phú hơn đã sẵn có.</w:t>
      </w:r>
    </w:p>
    <w:bookmarkEnd w:id="67"/>
    <w:bookmarkStart w:id="68" w:name="mẫu-phụ"/>
    <w:p>
      <w:pPr>
        <w:pStyle w:val="Heading3"/>
      </w:pPr>
      <w:r>
        <w:t xml:space="preserve">3.5.2 Mẫu phụ</w:t>
      </w:r>
    </w:p>
    <w:p>
      <w:pPr>
        <w:pStyle w:val="FirstParagraph"/>
      </w:pPr>
      <w:r>
        <w:t xml:space="preserve">Lớp thứ hai giới hạn mẫu để loại trừ các giải thích thay thế dựa trên thành phần mẫu. Các mẫu con gồm: loại doanh nghiệp siêu nhỏ dưới năm lao động, chỉ giữ doanh nghiệp vừa và nhỏ, chỉ giữ ngành chế biến chế tạo, chỉ giữ doanh nghiệp có xuất khẩu với cường độ dương, và tách theo từng chế độ trong sáu chế độ thể chế ICRV. Việc điểm uốn và dấu của độ cong được bảo toàn qua các mẫu con này là bằng chứng rằng quan hệ trọng tâm không phải tạo tác của một nhóm doanh nghiệp đặc thù.</w:t>
      </w:r>
    </w:p>
    <w:bookmarkEnd w:id="68"/>
    <w:bookmarkStart w:id="69" w:name="giá-trị-ngoại-lai"/>
    <w:p>
      <w:pPr>
        <w:pStyle w:val="Heading3"/>
      </w:pPr>
      <w:r>
        <w:t xml:space="preserve">3.5.3 Giá trị ngoại lai</w:t>
      </w:r>
    </w:p>
    <w:p>
      <w:pPr>
        <w:pStyle w:val="FirstParagraph"/>
      </w:pPr>
      <w:r>
        <w:t xml:space="preserve">Lớp thứ ba kiểm soát ảnh hưởng của giá trị ngoại lai bằng cách cắt đuôi năng suất lao động và số lao động tại các ngưỡng phân vị 1 và 99, rồi lặp lại tại ngưỡng 5 và 95, áp dụng riêng trong từng cặp nền kinh tế và năm để tránh nhầm chênh lệch mặt bằng giữa các nền kinh tế với giá trị ngoại lai thực.</w:t>
      </w:r>
    </w:p>
    <w:bookmarkEnd w:id="69"/>
    <w:bookmarkStart w:id="70" w:name="đa-cộng-tuyến-và-phương-sai-thay-đổi"/>
    <w:p>
      <w:pPr>
        <w:pStyle w:val="Heading3"/>
      </w:pPr>
      <w:r>
        <w:t xml:space="preserve">3.5.4 Đa cộng tuyến và phương sai thay đổi</w:t>
      </w:r>
    </w:p>
    <w:p>
      <w:pPr>
        <w:pStyle w:val="FirstParagraph"/>
      </w:pPr>
      <w:r>
        <w:t xml:space="preserve">Hai mối lo của hồi quy có số hạng phi tuyến và tương tác là đa cộng tuyến và phương sai sai số thay đổi. Để xử lý đa cộng tuyến giữa số hạng bậc nhất và số hạng bậc hai của cường độ xuất khẩu, cũng như giữa các thành phần của số hạng tương tác, biến cường độ xuất khẩu được căn giữa quanh trung bình mẫu trước khi lập bình phương và lập tương tác; căn giữa làm giảm mạnh tương quan giả tạo giữa một biến và bình phương của chính nó mà không làm thay đổi hệ số bậc hai hay vị trí điểm uốn. Hệ số phóng đại phương sai được tính cho mọi mô hình với ngưỡng cảnh báo dưới năm (Hair et al., 2019); trong các đặc tả đã căn giữa, hệ số phóng đại phương sai nằm an toàn dưới ngưỡng này, xác nhận rằng các ước lượng hệ số không bị bất ổn do cộng tuyến. Đối với phương sai sai số thay đổi, kiểm định Breusch và Pagan (1979) được dùng để phát hiện, và quan trọng hơn, mọi suy luận đều dựa trên sai số chuẩn vững với phương sai thay đổi và được gom cụm theo nền kinh tế, do đó kết luận thống kê có hiệu lực ngay cả khi phương sai sai số không đồng nhất, một cấu trúc sai số phù hợp với thiết kế dữ liệu gộp nhiều nền kinh tế đã trình bày ở Mục 3.4.6.</w:t>
      </w:r>
    </w:p>
    <w:bookmarkEnd w:id="70"/>
    <w:bookmarkStart w:id="71" w:name="phân-tích-độ-nhạy-cho-phân-tích-tổng-hợp"/>
    <w:p>
      <w:pPr>
        <w:pStyle w:val="Heading3"/>
      </w:pPr>
      <w:r>
        <w:t xml:space="preserve">3.5.5 Phân tích độ nhạy cho phân tích tổng hợp</w:t>
      </w:r>
    </w:p>
    <w:p>
      <w:pPr>
        <w:pStyle w:val="FirstParagraph"/>
      </w:pPr>
      <w:r>
        <w:t xml:space="preserve">Khung phân tích tổng hợp (P6) áp dụng một bộ kiểm định độ nhạy riêng phù hợp với cấu trúc dữ liệu ba tầng. Kiểm định bỏ một nghiên cứu lần lượt loại từng nghiên cứu khỏi mẫu và tái ước lượng cỡ ảnh hưởng gộp, nhằm bảo đảm kết luận không bị chi phối bởi một nghiên cứu đơn lẻ có trọng số lớn hay giá trị cực đoan. Lệch lạc công bố được đánh giá bằng nhiều công cụ bổ trợ: kiểm tra trực quan biểu đồ phễu, kiểm định bất đối xứng của Egger, và thủ tục cắt và điền của Duval và Tweedie (2000) để ước lượng và hiệu chỉnh số nghiên cứu khuyết có thể có. Ngoài ra, cấu trúc ba tầng cho phép so sánh mô hình ba tầng với mô hình hai tầng truyền thống nhằm kiểm tra xem việc tách riêng phương sai trong nội bộ nghiên cứu khỏi phương sai giữa các nghiên cứu có thực sự cải thiện độ phù hợp hay không, đồng thời cho phép phân rã</w:t>
      </w:r>
      <w:r>
        <w:t xml:space="preserve"> </w:t>
      </w:r>
      <m:oMath>
        <m:sSup>
          <m:e>
            <m:r>
              <m:t>I</m:t>
            </m:r>
          </m:e>
          <m:sup>
            <m:r>
              <m:t>2</m:t>
            </m:r>
          </m:sup>
        </m:sSup>
      </m:oMath>
      <w:r>
        <w:t xml:space="preserve"> </w:t>
      </w:r>
      <w:r>
        <w:t xml:space="preserve">thành thành phần trong và giữa nghiên cứu để định vị nguồn dị biệt. Kết hợp các kiểm định này bảo đảm rằng cỡ ảnh hưởng gộp và kết luận điều tiết theo ICRV là vững trước cả lựa chọn mẫu nghiên cứu lẫn giả định cấu trúc phương sai.</w:t>
      </w:r>
    </w:p>
    <w:bookmarkEnd w:id="71"/>
    <w:bookmarkStart w:id="72"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đặc tả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Tầng 1 và biến thể Tầng 1 cộng Tầng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phân tích tổng hợp,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72"/>
    <w:bookmarkStart w:id="73"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quốc tế hóa và hiệu quả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Cần phân biệt nội sinh của năng lực, vốn được xử lý bằng biến công cụ nói trên, với một mối đe dọa nhận dạng riêng là tự chọn lọc tham gia xuất khẩu: theo logic Melitz (2003), doanh nghiệp năng suất cao tự chọn vào xuất khẩu, nên hệ số FSTS có thể trộn lẫn hiệu ứng nhân quả của quốc tế hóa với sự chọn lọc có sẵn. Luận án khoanh vùng đe dọa này theo ba cách: (i) hiệu ứng cố định hai chiều cùng chuẩn hóa within country–year hấp thụ chênh lệch mức năng suất cố định giữa doanh nghiệp xuất khẩu và không xuất khẩu ở tầng nền kinh tế–năm; (ii) đối tượng suy luận trọng tâm là hình dạng phi tuyến (độ cong và vị trí điểm uốn) chứ không chỉ là mức hệ số, mà một câu chuyện chọn lọc mức đơn thuần khó tạo ra một cực đại nội vùng có hệ thống; và (iii) nghiên cứu Singapore (P4) bổ sung hiệu chỉnh chọn lọc kiểu Heckman với tỷ số Mills nghịch đảo như một kiểm tra cục bộ. Tuy vậy, do hiệu chỉnh chọn lọc tham gia không được thực hiện đồng bộ ở mọi nghiên cứu thành phần, luận án thừa nhận đây là một ranh giới suy luận còn lại của thiết kế lát cắt ngang. Một kiểm tra chọn lọc kiểu Heckman ở cấp gộp 50 nền (Mục 4.6.8) củng cố thêm: khi thêm tỷ số Mills nghịch đảo từ probit tham gia xuất khẩu, độ cong chữ U ngược và điểm uốn gần như không đổi và bản thân tỷ số Mills không có ý nghĩa, cho thấy thiên lệch tự chọn lọc trong độ cong ước lượng là không đáng kể trong miền dữ liệu.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phân tích tổng hợp và phổ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lược đồ thay vì thay đổi thực chất (ví dụ mức R&amp;D đo được ở một số nhóm). Luận án giảm thiểu rủi ro này bằng hiệu ứng cố định năm/đợt, chuẩn hóa within country–year, và kiểm tra độ nhạy với biến thể thước đo (Mục 3.5.1). Luận án chưa thực hiện kiểm định bất biến đo lường đầy đủ (full measurement invariance), nhưng một kiểm tra bất biến bộ phận (Mục 4.6.8) cho thấy các mục lõi của TCI và DAI hiện diện cho khoảng</w:t>
      </w:r>
      <w:r>
        <w:t xml:space="preserve"> </w:t>
      </w:r>
      <m:oMath>
        <m:r>
          <m:t>99</m:t>
        </m:r>
        <m:r>
          <m:rPr>
            <m:sty m:val="p"/>
          </m:rPr>
          <m:t>%</m:t>
        </m:r>
      </m:oMath>
      <w:r>
        <w:t xml:space="preserve"> </w:t>
      </w:r>
      <w:r>
        <w:t xml:space="preserve">doanh nghiệp ở cả ba thế hệ lược đồ và thay đổi trung bình theo thời gian phản ánh khuếch tán số thực chất chứ không phải đứt gãy lược đồ; do đó các so sánh xuyên-lược đồ trên các mục lõi này là có cơ sở, dù vẫn cần đọc thận trọng.</w:t>
      </w:r>
    </w:p>
    <w:bookmarkEnd w:id="73"/>
    <w:bookmarkStart w:id="74"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Tầng 1 không khác biệt thống kê với không, một kết quả độ vững củng cố cách diễn giải tính lỗi thời của biến đại diện Tầng 1 trong môi trường số đã lan tỏa gần phổ quát.</w:t>
      </w:r>
    </w:p>
    <w:bookmarkEnd w:id="74"/>
    <w:bookmarkStart w:id="75"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75"/>
    <w:bookmarkStart w:id="76" w:name="X9d6404b3058a9ea6c8e6196550350ab05ad4e76"/>
    <w:p>
      <w:pPr>
        <w:pStyle w:val="Heading3"/>
      </w:pPr>
      <w:r>
        <w:t xml:space="preserve">3.5.6.3 Tính nhất quán về dấu qua nhiều đặc tả như nguyên tắc suy luận nền tảng</w:t>
      </w:r>
    </w:p>
    <w:p>
      <w:pPr>
        <w:pStyle w:val="FirstParagraph"/>
      </w:pPr>
      <w:r>
        <w:t xml:space="preserve">Triết lý suy luận xuyên suốt khung độ vững là neo kết luận thực chất vào tính nhất quán về dấu của ước lượng trọng tâm qua nhiều đặc tả, chứ không vào ý nghĩa của một hệ số đơn lẻ, vì các bảng độ vững kiểm tra các quan ngại nhận diện khác nhau thay vì lặp lại cùng một giả thuyết. Nguyên tắc này được minh họa rõ nhất ở nghiên cứu đảo nhỏ Thái Bình Dương, nơi hệ số cường độ xuất khẩu giữ dấu âm nhất quán qua mọi đặc tả: âm và có ý nghĩa rất cao trong mô hình hiệu ứng cố định nền kinh tế và năm với hệ số −1,339, vẫn âm và có ý nghĩa khi chỉ giữ hiệu ứng cố định năm hoặc khi bỏ toàn bộ biến kiểm soát, và chỉ mất ý nghĩa ở mẫu con chỉ gồm doanh nghiệp xuất khẩu vốn quá nhỏ. Suy luận về gánh nặng quốc tế hóa bắt buộc do đó được neo chủ yếu vào các mô hình hiệu ứng cố định chứ không vào mẫu con thiếu công suất, đúng nguyên tắc báo cáo trung thực đã nêu ở Mục 3.5.6.</w:t>
      </w:r>
    </w:p>
    <w:p>
      <w:pPr>
        <w:pStyle w:val="BodyText"/>
      </w:pPr>
      <w:r>
        <w:t xml:space="preserve">Nguyên tắc tương tự áp dụng cho các kết quả điều tiết không có ý nghĩa trong khung đa quốc gia. Năng lực công nghệ vào mô hình với hiệu ứng mức dương và rất có ý nghĩa, cho thấy doanh nghiệp năng lực cao hơn năng suất hơn ở mọi mức quốc tế hóa, nhưng các số hạng tương tác với cường độ xuất khẩu đều không có ý nghĩa và điểm uốn gần như không đổi, nghĩa là năng lực nâng nền mà không bẻ cong đường. Kết quả không có ý nghĩa của các số hạng tương tác vì vậy không bị diễn giải là thất bại đo lường mà là bằng chứng tích cực cho cách phân vai năng lực công nghệ là bộ tăng mức chứ không phải bộ điều tiết độ cong, một kết luận được củng cố thêm bởi sự nhất quán của hiệu ứng mức dương của năng lực công nghệ ở các nghiên cứu đơn quốc gia. Việc đối chiếu chéo giữa hiệu ứng mức ổn định và hiệu ứng điều tiết không có ý nghĩa, lặp lại qua nhiều nghiên cứu thành phần và nhiều chế độ thể chế, là chính cấu trúc bằng chứng cho phép luận án phân biệt một quy luật cấu trúc bền vững khỏi một hiệu ứng ngẫu nhiên của mẫu.</w:t>
      </w:r>
    </w:p>
    <w:bookmarkEnd w:id="76"/>
    <w:bookmarkEnd w:id="77"/>
    <w:bookmarkStart w:id="78"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hỗn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phân tích tổng hợp 1977–2026</w:t>
            </w:r>
          </w:p>
        </w:tc>
        <w:tc>
          <w:tcPr/>
          <w:p>
            <w:pPr>
              <w:pStyle w:val="Compact"/>
              <w:jc w:val="left"/>
            </w:pPr>
            <w:r>
              <w:t xml:space="preserve">Bausch &amp; Krist (2007); Kirca et al. (2012); Marano et al. (2016)</w:t>
            </w:r>
          </w:p>
        </w:tc>
        <w:tc>
          <w:tcPr/>
          <w:p>
            <w:pPr>
              <w:pStyle w:val="Compact"/>
              <w:jc w:val="left"/>
            </w:pPr>
            <w:r>
              <w:t xml:space="preserve">Mở rộng phạm vi, bổ sung digital và 6 chế độ con ICRV moderators</w:t>
            </w:r>
          </w:p>
        </w:tc>
      </w:tr>
      <w:tr>
        <w:tc>
          <w:tcPr/>
          <w:p>
            <w:pPr>
              <w:pStyle w:val="Compact"/>
              <w:jc w:val="left"/>
            </w:pPr>
            <w:r>
              <w:t xml:space="preserve">Mẫu thực nghiệm gộp</w:t>
            </w:r>
          </w:p>
        </w:tc>
        <w:tc>
          <w:tcPr/>
          <w:p>
            <w:pPr>
              <w:pStyle w:val="Compact"/>
              <w:jc w:val="left"/>
            </w:pPr>
            <w:r>
              <w:t xml:space="preserve">nghiên cứu thành phần P1, 17 nền kinh tế châu Á mới nổi</w:t>
            </w:r>
          </w:p>
        </w:tc>
        <w:tc>
          <w:tcPr/>
          <w:p>
            <w:pPr>
              <w:pStyle w:val="Compact"/>
              <w:jc w:val="left"/>
            </w:pPr>
            <w:r>
              <w:t xml:space="preserve">Mở rộng từ 17 lên</w:t>
            </w:r>
            <w:r>
              <w:t xml:space="preserve"> </w:t>
            </w:r>
            <w:r>
              <w:rPr>
                <w:bCs/>
                <w:b/>
              </w:rPr>
              <w:t xml:space="preserve">50 nền kinh tế</w:t>
            </w:r>
            <w:r>
              <w:t xml:space="preserve">, 103 cặp nền kinh tế và năm (gồm Nhật Bản 2025)</w:t>
            </w:r>
          </w:p>
        </w:tc>
      </w:tr>
      <w:tr>
        <w:tc>
          <w:tcPr/>
          <w:p>
            <w:pPr>
              <w:pStyle w:val="Compact"/>
              <w:jc w:val="left"/>
            </w:pPr>
            <w:r>
              <w:t xml:space="preserve">Biến phụ thuộc năng suất lao động</w:t>
            </w:r>
          </w:p>
        </w:tc>
        <w:tc>
          <w:tcPr/>
          <w:p>
            <w:pPr>
              <w:pStyle w:val="Compact"/>
              <w:jc w:val="left"/>
            </w:pPr>
            <w:r>
              <w:t xml:space="preserve">Bloom et al. (2012); Hsieh &amp; Klenow (2009); nghiên cứu thành phần P1</w:t>
            </w:r>
          </w:p>
        </w:tc>
        <w:tc>
          <w:tcPr/>
          <w:p>
            <w:pPr>
              <w:pStyle w:val="Compact"/>
              <w:jc w:val="left"/>
            </w:pPr>
            <w:r>
              <w:t xml:space="preserve">Lập luận rõ về hiệu quả hoạt động kinh doanh của doanh nghiệp đa chiều trong bối cảnh WBES</w:t>
            </w:r>
          </w:p>
        </w:tc>
      </w:tr>
      <w:tr>
        <w:tc>
          <w:tcPr/>
          <w:p>
            <w:pPr>
              <w:pStyle w:val="Compact"/>
              <w:jc w:val="left"/>
            </w:pPr>
            <w:r>
              <w:t xml:space="preserve">FSTS + FSTS²</w:t>
            </w:r>
          </w:p>
        </w:tc>
        <w:tc>
          <w:tcPr/>
          <w:p>
            <w:pPr>
              <w:pStyle w:val="Compact"/>
              <w:jc w:val="left"/>
            </w:pPr>
            <w:r>
              <w:t xml:space="preserve">Lu &amp; Beamish (2004); Hitt et al. (1997); nghiên cứu thành phần P2 và P5</w:t>
            </w:r>
          </w:p>
        </w:tc>
        <w:tc>
          <w:tcPr/>
          <w:p>
            <w:pPr>
              <w:pStyle w:val="Compact"/>
              <w:jc w:val="left"/>
            </w:pPr>
            <w:r>
              <w:t xml:space="preserve">Đưa vào cùng khung điều tiết ba chiều</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Không chồng lấn, độ thuần cấu trúc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điều tiết</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lệch lạc công bố</w:t>
            </w:r>
          </w:p>
        </w:tc>
        <w:tc>
          <w:tcPr/>
          <w:p>
            <w:pPr>
              <w:pStyle w:val="Compact"/>
              <w:jc w:val="left"/>
            </w:pPr>
            <w:r>
              <w:t xml:space="preserve">Egger et al. (1997); Begg &amp; Mazumdar (1994)</w:t>
            </w:r>
          </w:p>
        </w:tc>
        <w:tc>
          <w:tcPr/>
          <w:p>
            <w:pPr>
              <w:pStyle w:val="Compact"/>
              <w:jc w:val="left"/>
            </w:pPr>
            <w:r>
              <w:t xml:space="preserve">Chuẩn</w:t>
            </w:r>
          </w:p>
        </w:tc>
      </w:tr>
    </w:tbl>
    <w:bookmarkEnd w:id="78"/>
    <w:bookmarkStart w:id="79" w:name="đạo-đức-nghiên-cứu-và-khả-năng-tái-lập"/>
    <w:p>
      <w:pPr>
        <w:pStyle w:val="Heading2"/>
      </w:pPr>
      <w:r>
        <w:t xml:space="preserve">3.7 Đạo đức nghiên cứu và khả năng tái lập</w:t>
      </w:r>
    </w:p>
    <w:p>
      <w:pPr>
        <w:pStyle w:val="FirstParagraph"/>
      </w:pPr>
      <w:r>
        <w:t xml:space="preserve">Luận án sử dụng dữ liệu thứ cấp từ WBES, bộ dữ liệu công khai được World Bank cung cấp miễn phí cho mục đích nghiên cứu (World Bank Enterprise Surveys, 2025). Tất cả các trích dẫn theo APA 7th để ghi nhận đầy đủ công sức của các tác giả trước, tránh đạo văn. Code và dữ liệu phân tích được lưu trữ trên các nhánh chuyên biệt của kho mã để bảo đảm khả năng tái lập kết quả.</w:t>
      </w:r>
    </w:p>
    <w:p>
      <w:pPr>
        <w:pStyle w:val="BodyText"/>
      </w:pPr>
      <w:r>
        <w:t xml:space="preserve">Về bảo mật và quyền riêng tư, dữ liệu WBES đã được World Bank ẩn danh ở nguồn: bộ dữ liệu vi mô không chứa tên doanh nghiệp hay thông tin nhận dạng cá nhân của đáp viên, và mọi định danh chỉ là mã số nội bộ phục vụ ghép nối. Luận án không thu thập dữ liệu sơ cấp từ con người nên không phát sinh nghĩa vụ xin chấp thuận đạo đức từ hội đồng đối với đối tượng nghiên cứu là người; tuy vậy luận án vẫn tuân thủ điều khoản sử dụng của World Bank, không thực hiện bất kỳ thao tác nào nhằm tái nhận dạng doanh nghiệp, và chỉ báo cáo kết quả ở cấp tổng hợp hoặc cấp hệ số. Việc xử lý mã không phản hồi của bộ công cụ, gồm mã không biết, mã từ chối và mã không áp dụng, thành giá trị khuyết được thực hiện minh bạch theo quy ước nêu ở Phụ lục A nhằm tránh diễn giải sai các mã kỹ thuật thành giá trị thực.</w:t>
      </w:r>
    </w:p>
    <w:p>
      <w:pPr>
        <w:pStyle w:val="BodyText"/>
      </w:pPr>
      <w:r>
        <w:t xml:space="preserve">Về khả năng tái lập, luận án áp dụng nguyên tắc minh bạch kiểu PRISMA cho dữ liệu thứ cấp: toàn bộ quy trình hợp nhất sáu bước, từ lọc loại khảo sát đến tạo mẫu phân tích bằng xóa theo danh sách, được ghi rõ tiêu chí và số quan sát còn lại ở từng bước để cho phép tái dựng và kiểm chứng, cùng dòng dữ liệu kiểu PRISMA và mã tái lập trình bày đầy đủ ở Phụ lục A. Các con số trọng tâm của khung thực nghiệm được khóa và có thể tái lập đúng, gồm mô hình bậc hai gốc với cỡ mẫu hồi quy 81.022 và điểm uốn 51,5%, cùng mô hình đầy đủ thêm năng lực công nghệ và chấp nhận số với cỡ mẫu 79.080 và điểm uốn 43,6%. Tập lệnh xây dựng dữ liệu gộp tái lập đúng quy trình sáu bước S1 đến S6 trên kho mã hiện hành, bảo đảm rằng mỗi cập nhật bổ sung nền kinh tế hay đợt khảo sát mới, chẳng hạn Nhật Bản 2025, đều đi qua cùng một chuỗi quyết định lọc và hài hòa hóa có thể kiểm chứng.</w:t>
      </w:r>
    </w:p>
    <w:bookmarkEnd w:id="79"/>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2026-06-20T09:31:40Z</dcterms:created>
  <dcterms:modified xsi:type="dcterms:W3CDTF">2026-06-20T09:31:40Z</dcterms:modified>
</cp:coreProperties>
</file>

<file path=docProps/custom.xml><?xml version="1.0" encoding="utf-8"?>
<Properties xmlns="http://schemas.openxmlformats.org/officeDocument/2006/custom-properties" xmlns:vt="http://schemas.openxmlformats.org/officeDocument/2006/docPropsVTypes"/>
</file>