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41" w:name="X7d7445c3e22f444c24f6085672cd03a46e26387"/>
    <w:p>
      <w:pPr>
        <w:pStyle w:val="Heading2"/>
      </w:pPr>
      <w:r>
        <w:t xml:space="preserve">CHƯƠNG 4 — THỰC TRẠNG HIỆU QUẢ DOANH NGHIỆP CHÂU Á 2009–2025</w:t>
      </w:r>
    </w:p>
    <w:bookmarkStart w:id="20"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17.107 doanh nghiệp.</w:t>
      </w:r>
    </w:p>
    <w:p>
      <w:pPr>
        <w:pStyle w:val="BodyText"/>
      </w:pPr>
      <w:r>
        <w:t xml:space="preserve">Hình 4.1.1 — Phân bố pool 5 phân nhóm con thể chế (n=101.185 doanh nghiệp)</w:t>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t xml:space="preserve">Hình 4.0 — Phân bố mẫu 101.185 doanh nghiệp xuyên 17 năm (2009–2025) theo 3 thế hệ schema WBES</w:t>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17.107 doanh nghiệp = 16,9%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0"/>
    <w:bookmarkStart w:id="21"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p>
      <w:pPr>
        <w:pStyle w:val="BlockText"/>
      </w:pPr>
      <w:r>
        <w:rPr>
          <w:iCs/>
          <w:i/>
        </w:rPr>
        <w:t xml:space="preserve">Lưu ý cột n_firms</w:t>
      </w:r>
      <w:r>
        <w:t xml:space="preserve">: n_firms = số doanh nghiệp có đầy đủ dữ liệu log năng suất (productivity-complete subsample). Tổng pool = 101.185 (không tính mất dữ liệu log năng suất). Chênh lệch Frontier (18.877 vs §4.1 text 28.678 = −9.801, −34%) phản ánh mức độ missing cao hơn ở nhóm này do coverage WBES giai đoạn 2009–2012. Cột "Cặp QG×năm" trong bảng cộng = 103; 5 cặp còn lại là các đợt khảo sát không đủ dữ liệu để tính sd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t xml:space="preserve">Hình 4.2 — Phân phối năng suất theo 6 phân nhóm con (kernel density, n=101.185)</w:t>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21"/>
    <w:bookmarkStart w:id="22"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22"/>
    <w:bookmarkStart w:id="26" w:name="X9da48440be0f68d2ca17e87929ae187af48e20c"/>
    <w:p>
      <w:pPr>
        <w:pStyle w:val="Heading3"/>
      </w:pPr>
      <w:r>
        <w:t xml:space="preserve">4.4 Thực trạng đổi mới sáng tạo và năng lực số</w:t>
      </w:r>
    </w:p>
    <w:bookmarkStart w:id="23"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 kế thừa Đỗ &amp; Phan (2026 — VEFR).</w:t>
      </w:r>
    </w:p>
    <w:bookmarkEnd w:id="23"/>
    <w:bookmarkStart w:id="24"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tác giả lưu ý (ghi chú nội bộ, 2026):</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24"/>
    <w:bookmarkStart w:id="25"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P4 Singapore manuscript (Mar et al., 2026 —</w:t>
      </w:r>
      <w:r>
        <w:t xml:space="preserve"> </w:t>
      </w:r>
      <w:r>
        <w:rPr>
          <w:iCs/>
          <w:i/>
        </w:rPr>
        <w:t xml:space="preserve">MIR</w:t>
      </w:r>
      <w:r>
        <w:t xml:space="preserve">); P3 Việt Nam (Đỗ &amp; Phan, 2026 —</w:t>
      </w:r>
      <w:r>
        <w:t xml:space="preserve"> </w:t>
      </w:r>
      <w:r>
        <w:rPr>
          <w:iCs/>
          <w:i/>
        </w:rPr>
        <w:t xml:space="preserve">JABS</w:t>
      </w:r>
      <w:r>
        <w:t xml:space="preserve">).</w:t>
      </w:r>
    </w:p>
    <w:p>
      <w:pPr>
        <w:pStyle w:val="FirstParagraph"/>
      </w:pPr>
      <w:r>
        <w:t xml:space="preserve">Phân tích của tác giả (ghi chú nội bộ, 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P4.</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JABS sang luận án). Nếu không confirm → cần Tier 3 (ERP/CRM) hoặc Tier 4 (AI) để nắm cơ chế thực sự — hàm ý cho data collection tương lai (limitations §7.3.4 file 16).</w:t>
      </w:r>
    </w:p>
    <w:bookmarkEnd w:id="25"/>
    <w:bookmarkEnd w:id="26"/>
    <w:bookmarkStart w:id="29"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t xml:space="preserve">Hình 4.6 — Phân phối quy mô doanh nghiệp theo phân nhóm con (n=101.185)</w:t>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27"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27"/>
    <w:bookmarkStart w:id="28"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w:t>
      </w:r>
      <w:r>
        <w:rPr>
          <w:iCs/>
          <w:i/>
        </w:rPr>
        <w:t xml:space="preserve"> </w:t>
      </w:r>
      <w:r>
        <w:rPr>
          <w:bCs/>
          <w:b/>
          <w:iCs/>
          <w:i/>
        </w:rPr>
        <w:t xml:space="preserve">Ghi chú dữ liệu — CHƯA XÁC MINH (provisional estimate)</w:t>
      </w:r>
      <w:r>
        <w:rPr>
          <w:iCs/>
          <w:i/>
        </w:rPr>
        <w:t xml:space="preserve">: Số liệu tỷ lệ phần trăm trong bảng này là</w:t>
      </w:r>
      <w:r>
        <w:rPr>
          <w:iCs/>
          <w:i/>
        </w:rPr>
        <w:t xml:space="preserve"> </w:t>
      </w:r>
      <w:r>
        <w:rPr>
          <w:bCs/>
          <w:b/>
          <w:iCs/>
          <w:i/>
        </w:rPr>
        <w:t xml:space="preserve">ước tính sơ bộ</w:t>
      </w:r>
      <w:r>
        <w:rPr>
          <w:iCs/>
          <w:i/>
        </w:rPr>
        <w:t xml:space="preserve"> </w:t>
      </w:r>
      <w:r>
        <w:rPr>
          <w:iCs/>
          <w:i/>
        </w:rPr>
        <w:t xml:space="preserve">dựa trên tổng hợp Carboni et al. (2024/2025) và World Bank (2024) cho các vùng WB rộng — chưa được tính toán trực tiếp từ biến</w:t>
      </w:r>
      <w:r>
        <w:rPr>
          <w:iCs/>
          <w:i/>
        </w:rPr>
        <w:t xml:space="preserve"> </w:t>
      </w:r>
      <w:r>
        <w:rPr>
          <w:rStyle w:val="VerbatimChar"/>
          <w:iCs/>
          <w:i/>
        </w:rPr>
        <w:t xml:space="preserve">b7a</w:t>
      </w:r>
      <w:r>
        <w:rPr>
          <w:iCs/>
          <w:i/>
        </w:rPr>
        <w:t xml:space="preserve"> </w:t>
      </w:r>
      <w:r>
        <w:rPr>
          <w:iCs/>
          <w:i/>
        </w:rPr>
        <w:t xml:space="preserve">và</w:t>
      </w:r>
      <w:r>
        <w:rPr>
          <w:iCs/>
          <w:i/>
        </w:rPr>
        <w:t xml:space="preserve"> </w:t>
      </w:r>
      <w:r>
        <w:rPr>
          <w:rStyle w:val="VerbatimChar"/>
          <w:iCs/>
          <w:i/>
        </w:rPr>
        <w:t xml:space="preserve">b4</w:t>
      </w:r>
      <w:r>
        <w:rPr>
          <w:iCs/>
          <w:i/>
        </w:rPr>
        <w:t xml:space="preserve"> </w:t>
      </w:r>
      <w:r>
        <w:rPr>
          <w:iCs/>
          <w:i/>
        </w:rPr>
        <w:t xml:space="preserve">của pool WBES 101.185 doanh nghiệp trong chuyên đề này.</w:t>
      </w:r>
      <w:r>
        <w:rPr>
          <w:iCs/>
          <w:i/>
        </w:rPr>
        <w:t xml:space="preserve"> </w:t>
      </w:r>
      <w:r>
        <w:rPr>
          <w:bCs/>
          <w:b/>
          <w:iCs/>
          <w:i/>
        </w:rPr>
        <w:t xml:space="preserve">Cần thực hiện</w:t>
      </w:r>
      <w:r>
        <w:rPr>
          <w:iCs/>
          <w:i/>
        </w:rPr>
        <w:t xml:space="preserve">: chạy</w:t>
      </w:r>
      <w:r>
        <w:rPr>
          <w:iCs/>
          <w:i/>
        </w:rPr>
        <w:t xml:space="preserve"> </w:t>
      </w:r>
      <w:r>
        <w:rPr>
          <w:rStyle w:val="VerbatimChar"/>
          <w:iCs/>
          <w:i/>
        </w:rPr>
        <w:t xml:space="preserve">tabstat b7a b4, by(icrv_regime) stat(mean n)</w:t>
      </w:r>
      <w:r>
        <w:rPr>
          <w:iCs/>
          <w:i/>
        </w:rPr>
        <w:t xml:space="preserve"> </w:t>
      </w:r>
      <w:r>
        <w:rPr>
          <w:iCs/>
          <w:i/>
        </w:rPr>
        <w:t xml:space="preserve">trên dataset CĐ1 để thay thế bằng số liệu chính xác trước khi nộp Hội đồng. Bảng 6.1.1 (§6.1) cung cấp số liệu vùng WB tham khảo nhưng không phân theo ICRV typology của chuyên đề này.</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28"/>
    <w:bookmarkEnd w:id="29"/>
    <w:bookmarkStart w:id="30"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t xml:space="preserve">Hình 4.4 — Slope chart 2009–2012 vs 2018–2025 (Δ điểm phần trăm 5 chỉ số)</w:t>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t xml:space="preserve">Hình 4.7 — Spider chart 5 chiều × 2 mốc thời gian (Advanced, Emerging, SIDS)</w:t>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30"/>
    <w:bookmarkStart w:id="32"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17.107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31"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w:t>
      </w:r>
    </w:p>
    <w:p>
      <w:pPr>
        <w:numPr>
          <w:ilvl w:val="0"/>
          <w:numId w:val="1001"/>
        </w:numPr>
        <w:pStyle w:val="Compact"/>
      </w:pPr>
      <w:r>
        <w:rPr>
          <w:bCs/>
          <w:b/>
        </w:rPr>
        <w:t xml:space="preserve">(4) Liên kết với khung phân tích cấp ngành §4.8</w:t>
      </w:r>
      <w:r>
        <w:t xml:space="preserve">: ngành Xây dựng (cường độ hợp đồng cao) thường có Bribery Depth cao; ngành Khai khoáng/Du lịch (tỷ trọng MNE cao) có Bribery Incidence cao nhưng Depth thấp.</w:t>
      </w:r>
    </w:p>
    <w:bookmarkEnd w:id="31"/>
    <w:bookmarkEnd w:id="32"/>
    <w:bookmarkStart w:id="33" w:name="X5b86ef82f02a3f57b151c9c771399d7d901d53b"/>
    <w:p>
      <w:pPr>
        <w:pStyle w:val="Heading3"/>
      </w:pPr>
      <w:r>
        <w:t xml:space="preserve">4.8 Khung phân tích cấp ngành (industry-level) — kế hoạch CĐ2</w:t>
      </w:r>
    </w:p>
    <w:p>
      <w:pPr>
        <w:pStyle w:val="BlockText"/>
      </w:pPr>
      <w:r>
        <w:rPr>
          <w:bCs/>
          <w:b/>
        </w:rPr>
        <w:t xml:space="preserve">Mở rộng v3.4 (07/05/2026)</w:t>
      </w:r>
      <w:r>
        <w:t xml:space="preserve">: Bảng 4.8.1 thêm cột "Dynamism profile (Kafouros 2023)".</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p>
        </w:tc>
      </w:tr>
      <w:tr>
        <w:tc>
          <w:tcPr/>
          <w:p>
            <w:pPr>
              <w:pStyle w:val="Compact"/>
              <w:jc w:val="left"/>
            </w:pPr>
            <w:r>
              <w:t xml:space="preserve">Manufacturing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dynamism</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w:t>
      </w:r>
      <w:r>
        <w:t xml:space="preserve">: chất lượng thể chế tương tác hai chiều với động học ngành — khuếch đại tích cực ở high-tech dynamism, suy yếu ở high-market dynamism.</w:t>
      </w:r>
    </w:p>
    <w:p>
      <w:pPr>
        <w:pStyle w:val="BodyText"/>
      </w:pPr>
      <w:r>
        <w:rPr>
          <w:bCs/>
          <w:b/>
        </w:rPr>
        <w:t xml:space="preserve">6 hàm ý phương pháp luận</w:t>
      </w:r>
      <w:r>
        <w:t xml:space="preserve">: (a) Industry FE 9 ngành; (b) Manufacturing-only subsample; (c) Tourism separation cho SIDS; (d) Construction subsample test Vùng Vịnh; (e) ICT exclusion test cho DAI; (f) Test interaction</w:t>
      </w:r>
      <w:r>
        <w:t xml:space="preserve"> </w:t>
      </w:r>
      <w:r>
        <w:rPr>
          <w:rStyle w:val="VerbatimChar"/>
        </w:rPr>
        <w:t xml:space="preserve">tech_dynamism × institutional_quality</w:t>
      </w:r>
      <w:r>
        <w:t xml:space="preserve">.</w:t>
      </w:r>
    </w:p>
    <w:bookmarkEnd w:id="33"/>
    <w:bookmarkStart w:id="34" w:name="X71a74cdd34152b5a74aff8a8052f8472d9562d0"/>
    <w:p>
      <w:pPr>
        <w:pStyle w:val="Heading3"/>
      </w:pPr>
      <w:r>
        <w:t xml:space="preserve">4.9 Phân nhóm con Emerging — phát hiện dị biệt nội bộ</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rPr>
          <w:iCs/>
          <w:i/>
        </w:rPr>
        <w:t xml:space="preserve">Ghi chú cỡ mẫu nhóm FDI dẫn dắt SEA (n=13.779)</w:t>
      </w:r>
      <w:r>
        <w:t xml:space="preserve">: VNM ≈ 3.077 (3 đợt 2009+2015+2023), IDN ≈ 7.493 (3 đợt 2009+2015+2023), PHL ≈ 3.209 (2 đợt 2015+2024) — tổng kiểm tra = 13.779. VNM 3.077 là tổng pool; mẫu hồi quy hoàn chỉnh VNM n=2.958 (xem §5.3 footnote ¹).</w:t>
      </w:r>
    </w:p>
    <w:p>
      <w:pPr>
        <w:pStyle w:val="BodyText"/>
      </w:pPr>
      <w:r>
        <w:t xml:space="preserve">Năm phát hiện: (1) FSTS phân tầng 5,0%-7,2%-13,2% bị che giấu; (2) FDI chênh lệch 6× ASEAN-3 vs Nam Á+Tây Á; (3) TCI ngược dấu; (4) Mongolia boundary case; (5) sd log 1,53 vs 1,16 — two-tier.</w:t>
      </w:r>
    </w:p>
    <w:bookmarkEnd w:id="34"/>
    <w:bookmarkStart w:id="35" w:name="Xff4a512a3a7369f731f273600b6b6df89aaf71a"/>
    <w:p>
      <w:pPr>
        <w:pStyle w:val="Heading3"/>
      </w:pPr>
      <w:r>
        <w:t xml:space="preserve">4.10 Phân tích sâu đợt khảo sát 2025</w:t>
      </w:r>
    </w:p>
    <w:p>
      <w:pPr>
        <w:pStyle w:val="FirstParagraph"/>
      </w:pPr>
      <w:r>
        <w:rPr>
          <w:bCs/>
          <w:b/>
        </w:rPr>
        <w:t xml:space="preserve">Bảng 4.10</w:t>
      </w:r>
      <w:r>
        <w:t xml:space="preserve">.</w:t>
      </w:r>
      <w:r>
        <w:t xml:space="preserve"> </w:t>
      </w:r>
      <w:r>
        <w:rPr>
          <w:iCs/>
          <w:i/>
        </w:rPr>
        <w:t xml:space="preserve">14 quốc gia trong đợt 2025 (n=17.107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17.107</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bookmarkEnd w:id="35"/>
    <w:bookmarkStart w:id="40" w:name="X3ee548cfa3fb9cd93772514558d03d29daa2344"/>
    <w:p>
      <w:pPr>
        <w:pStyle w:val="Heading3"/>
      </w:pPr>
      <w:r>
        <w:t xml:space="preserve">4.11 Cô lập đứt gãy schema BREADY 2025 — 3 đề xuất phương pháp luận</w:t>
      </w:r>
    </w:p>
    <w:bookmarkStart w:id="36" w:name="X6ee035135a9e0951a26bb3eae704d1f1308a08d"/>
    <w:p>
      <w:pPr>
        <w:pStyle w:val="Heading4"/>
      </w:pPr>
      <w:r>
        <w:t xml:space="preserve">4.11.1 Đề xuất 3a — Biến giả</w:t>
      </w:r>
      <w:r>
        <w:t xml:space="preserve"> </w:t>
      </w:r>
      <w:r>
        <w:rPr>
          <w:rStyle w:val="VerbatimChar"/>
        </w:rPr>
        <w:t xml:space="preserve">Post_BREADY_2024</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Hấp thụ schema effect tĩnh.</w:t>
      </w:r>
    </w:p>
    <w:bookmarkEnd w:id="36"/>
    <w:bookmarkStart w:id="37" w:name="X8cc0e76babbea10c6d363d660f0bb9305a8e514"/>
    <w:p>
      <w:pPr>
        <w:pStyle w:val="Heading4"/>
      </w:pPr>
      <w:r>
        <w:t xml:space="preserve">4.11.2 Đề xuất 3b — Mô hình neo (anchor model)</w:t>
      </w:r>
    </w:p>
    <w:p>
      <w:pPr>
        <w:pStyle w:val="FirstParagraph"/>
      </w:pPr>
      <w:r>
        <w:t xml:space="preserve">Quy trình 3 bước: (i) chạy hồi quy với data đến 2024 → anchor coefficients; (ii) khóa hệ số; (iii) re-run với full pool 2009-2025, so sánh Wald test + LR test. Robustness check thứ 6 cho CĐ2.</w:t>
      </w:r>
    </w:p>
    <w:bookmarkEnd w:id="37"/>
    <w:bookmarkStart w:id="38" w:name="Xab69fcb55f0effc3845a43884fac9132a0be221"/>
    <w:p>
      <w:pPr>
        <w:pStyle w:val="Heading4"/>
      </w:pPr>
      <w:r>
        <w:t xml:space="preserve">4.11.3 Đề xuất 3c — Tách 2025 thành "Panel hậu đại dịch độc lập"</w:t>
      </w:r>
    </w:p>
    <w:p>
      <w:pPr>
        <w:pStyle w:val="FirstParagraph"/>
      </w:pPr>
      <w:r>
        <w:t xml:space="preserve">Dành riêng sub-section trong CĐ2 xử lý 2025 như out-of-sample validation panel cho kỷ nguyên hậu COVID + AI. Ba bước: chạy mô hình chính 2009-2024 → test trên 2025-only → báo cáo coefficient stability.</w:t>
      </w:r>
    </w:p>
    <w:bookmarkEnd w:id="38"/>
    <w:bookmarkStart w:id="39" w:name="X12779146eced358c6fab8cab47551d0c6fc757e"/>
    <w:p>
      <w:pPr>
        <w:pStyle w:val="Heading4"/>
      </w:pPr>
      <w:r>
        <w:t xml:space="preserve">4.11.4 Hệ thống triple-defense chống đứt gãy schema</w:t>
      </w:r>
    </w:p>
    <w:p>
      <w:pPr>
        <w:pStyle w:val="FirstParagraph"/>
      </w:pPr>
      <w:r>
        <w:rPr>
          <w:bCs/>
          <w:b/>
        </w:rPr>
        <w:t xml:space="preserve">Bảng 4.11</w:t>
      </w:r>
      <w:r>
        <w:t xml:space="preserve">.</w:t>
      </w:r>
      <w:r>
        <w:t xml:space="preserve"> </w:t>
      </w:r>
      <w:r>
        <w:rPr>
          <w:iCs/>
          <w:i/>
        </w:rPr>
        <w:t xml:space="preserve">Hệ thống ba lớp phòng vệ (triple-defense) chống đứt gãy schema BREADY 2025.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w:t>
            </w:r>
          </w:p>
        </w:tc>
      </w:tr>
      <w:tr>
        <w:tc>
          <w:tcPr/>
          <w:p>
            <w:pPr>
              <w:pStyle w:val="Compact"/>
              <w:jc w:val="left"/>
            </w:pPr>
            <w:r>
              <w:t xml:space="preserve">3c Panel hậu đại dịch độc lập</w:t>
            </w:r>
          </w:p>
        </w:tc>
        <w:tc>
          <w:tcPr/>
          <w:p>
            <w:pPr>
              <w:pStyle w:val="Compact"/>
              <w:jc w:val="left"/>
            </w:pPr>
            <w:r>
              <w:t xml:space="preserve">Out-of-sample validation</w:t>
            </w:r>
          </w:p>
        </w:tc>
        <w:tc>
          <w:tcPr/>
          <w:p>
            <w:pPr>
              <w:pStyle w:val="Compact"/>
              <w:jc w:val="left"/>
            </w:pPr>
            <w:r>
              <w:t xml:space="preserve">#7 panel test</w:t>
            </w:r>
          </w:p>
        </w:tc>
      </w:tr>
    </w:tbl>
    <w:p>
      <w:r>
        <w:pict>
          <v:rect style="width:0;height:1.5pt" o:hralign="center" o:hrstd="t" o:hr="t"/>
        </w:pict>
      </w:r>
    </w:p>
    <w:bookmarkEnd w:id="39"/>
    <w:bookmarkEnd w:id="40"/>
    <w:bookmarkEnd w:id="41"/>
    <w:bookmarkEnd w:id="4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2026-05-14T00:01:23Z</dcterms:created>
  <dcterms:modified xsi:type="dcterms:W3CDTF">2026-05-14T00:01:23Z</dcterms:modified>
</cp:coreProperties>
</file>

<file path=docProps/custom.xml><?xml version="1.0" encoding="utf-8"?>
<Properties xmlns="http://schemas.openxmlformats.org/officeDocument/2006/custom-properties" xmlns:vt="http://schemas.openxmlformats.org/officeDocument/2006/docPropsVTypes"/>
</file>