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(institutional voids,                 CHARACTERISTICS</w:t>
      </w:r>
      <w:r>
        <w:br/>
      </w:r>
      <w:r>
        <w:rPr>
          <w:rStyle w:val="VerbatimChar"/>
        </w:rPr>
        <w:t xml:space="preserve">           obstacles, regime)                  (experience, gender)</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4"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29"/>
    <w:bookmarkStart w:id="30"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0"/>
    <w:bookmarkStart w:id="31"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1"/>
    <w:bookmarkStart w:id="32"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làm giảm tác động bất lợi của institutional obstacles lên hiệu quả hoạt động trong quá trình quốc tế hóa, và technology adoption đóng vai trò "digital shield" bù đắp một phần institutional voids.</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2"/>
    <w:bookmarkStart w:id="33"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3"/>
    <w:bookmarkEnd w:id="34"/>
    <w:bookmarkStart w:id="35"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regime</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5"/>
    <w:bookmarkStart w:id="36"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6"/>
    <w:bookmarkEnd w:id="3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2026-05-14T00:01:24Z</dcterms:created>
  <dcterms:modified xsi:type="dcterms:W3CDTF">2026-05-14T00:01:24Z</dcterms:modified>
</cp:coreProperties>
</file>

<file path=docProps/custom.xml><?xml version="1.0" encoding="utf-8"?>
<Properties xmlns="http://schemas.openxmlformats.org/officeDocument/2006/custom-properties" xmlns:vt="http://schemas.openxmlformats.org/officeDocument/2006/docPropsVTypes"/>
</file>