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Mục tiêu pool</w:t>
      </w:r>
      <w:r>
        <w:t xml:space="preserve">: ~172 effect-size units, tăng so với 200 effect sizes / 113 nghiên cứu trong bản nền.</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(6 nước, n=1.221)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4"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3"/>
    <w:bookmarkEnd w:id="44"/>
    <w:bookmarkStart w:id="50" w:name="Xbd137c7549379bc59bd868848e5dfb5b5e4e977"/>
    <w:p>
      <w:pPr>
        <w:pStyle w:val="Heading2"/>
      </w:pPr>
      <w:r>
        <w:t xml:space="preserve">5. Kiểm định độ vững</w:t>
      </w:r>
    </w:p>
    <w:bookmarkStart w:id="45" w:name="X431ee618c3d4d2cdcb5311a37313dcf18ed1464"/>
    <w:p>
      <w:pPr>
        <w:pStyle w:val="Heading3"/>
      </w:pPr>
      <w:r>
        <w:t xml:space="preserve">5.1 Thay đổi thước đo</w:t>
      </w:r>
    </w:p>
    <w:p>
      <w:pPr>
        <w:numPr>
          <w:ilvl w:val="0"/>
          <w:numId w:val="1004"/>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4"/>
        </w:numPr>
        <w:pStyle w:val="Compact"/>
      </w:pPr>
      <w:r>
        <w:t xml:space="preserve">Biến độc lập: thay FSTS bằng export status (binary), foreign sales count.</w:t>
      </w:r>
    </w:p>
    <w:p>
      <w:pPr>
        <w:numPr>
          <w:ilvl w:val="0"/>
          <w:numId w:val="1004"/>
        </w:numPr>
        <w:pStyle w:val="Compact"/>
      </w:pPr>
      <w:r>
        <w:t xml:space="preserve">Biến moderator: thay DAI_thin bằng DAI_rich (cho subset 2024+).</w:t>
      </w:r>
    </w:p>
    <w:bookmarkEnd w:id="45"/>
    <w:bookmarkStart w:id="46"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46"/>
    <w:bookmarkStart w:id="47"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47"/>
    <w:bookmarkStart w:id="48" w:name="X33d8f36a6a0e8ad3d10f0b0d165a7983b25acc1"/>
    <w:p>
      <w:pPr>
        <w:pStyle w:val="Heading3"/>
      </w:pPr>
      <w:r>
        <w:t xml:space="preserve">5.4 Multicollinearity và heteroscedasticity</w:t>
      </w:r>
    </w:p>
    <w:p>
      <w:pPr>
        <w:numPr>
          <w:ilvl w:val="0"/>
          <w:numId w:val="1005"/>
        </w:numPr>
        <w:pStyle w:val="Compact"/>
      </w:pPr>
      <w:r>
        <w:t xml:space="preserve">VIF cho tất cả mô hình; ngưỡng VIF &lt; 5 (Hair et al., 2019).</w:t>
      </w:r>
    </w:p>
    <w:p>
      <w:pPr>
        <w:numPr>
          <w:ilvl w:val="0"/>
          <w:numId w:val="1005"/>
        </w:numPr>
        <w:pStyle w:val="Compact"/>
      </w:pPr>
      <w:r>
        <w:t xml:space="preserve">Breusch–Pagan test (Breusch &amp; Pagan, 1979).</w:t>
      </w:r>
    </w:p>
    <w:bookmarkEnd w:id="48"/>
    <w:bookmarkStart w:id="49" w:name="X72f2a8f16e87d5c44ffc52bf2b3af577e467955"/>
    <w:p>
      <w:pPr>
        <w:pStyle w:val="Heading3"/>
      </w:pPr>
      <w:r>
        <w:t xml:space="preserve">5.5 Sensitivity analysis cho meta-analysis</w:t>
      </w:r>
    </w:p>
    <w:p>
      <w:pPr>
        <w:numPr>
          <w:ilvl w:val="0"/>
          <w:numId w:val="1006"/>
        </w:numPr>
        <w:pStyle w:val="Compact"/>
      </w:pPr>
      <w:r>
        <w:t xml:space="preserve">Leave-one-out: loại từng nghiên cứu và tái tính pooled effect.</w:t>
      </w:r>
    </w:p>
    <w:p>
      <w:pPr>
        <w:numPr>
          <w:ilvl w:val="0"/>
          <w:numId w:val="1006"/>
        </w:numPr>
        <w:pStyle w:val="Compact"/>
      </w:pPr>
      <w:r>
        <w:t xml:space="preserve">Trim-and-fill (Duval &amp; Tweedie, 2000) cho publication bias.</w:t>
      </w:r>
    </w:p>
    <w:bookmarkEnd w:id="49"/>
    <w:bookmarkEnd w:id="50"/>
    <w:bookmarkStart w:id="51"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107 country-years</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1"/>
    <w:bookmarkStart w:id="52"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2026-05-14T00:01:24Z</dcterms:created>
  <dcterms:modified xsi:type="dcterms:W3CDTF">2026-05-14T00:01:24Z</dcterms:modified>
</cp:coreProperties>
</file>

<file path=docProps/custom.xml><?xml version="1.0" encoding="utf-8"?>
<Properties xmlns="http://schemas.openxmlformats.org/officeDocument/2006/custom-properties" xmlns:vt="http://schemas.openxmlformats.org/officeDocument/2006/docPropsVTypes"/>
</file>