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46.png" ContentType="image/png"/>
  <Override PartName="/word/media/rId49.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Author details removed for blind review</w:t>
      </w:r>
    </w:p>
    <w:p>
      <w:pPr>
        <w:pStyle w:val="BodyText"/>
      </w:pPr>
      <w:r>
        <w:rPr>
          <w:iCs/>
          <w:i/>
        </w:rPr>
        <w:t xml:space="preserve">27 May 2026</w:t>
      </w:r>
    </w:p>
    <w:p>
      <w:pPr>
        <w:pStyle w:val="BodyText"/>
      </w:pPr>
      <w:r>
        <w:rPr>
          <w:iCs/>
          <w:i/>
        </w:rPr>
        <w:t xml:space="preserve">Target journal: Asia Pacific Journal of Management (APJM), Springer</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TCI and DAI interactions with FSTS).</w:t>
      </w:r>
    </w:p>
    <w:p>
      <w:r>
        <w:pict>
          <v:rect style="width:0;height:1.5pt" o:hralign="center" o:hrstd="t" o:hr="t"/>
        </w:pict>
      </w:r>
    </w:p>
    <w:bookmarkStart w:id="20" w:name="abstract"/>
    <w:p>
      <w:pPr>
        <w:pStyle w:val="Heading2"/>
      </w:pPr>
      <w:r>
        <w:t xml:space="preserve">Abstract</w:t>
      </w:r>
    </w:p>
    <w:p>
      <w:pPr>
        <w:pStyle w:val="FirstParagraph"/>
      </w:pPr>
      <w:r>
        <w:t xml:space="preserve">Purpose, This study revisits the internationalisation–performance relationship in Vietnam across three survey waves, testing whether technological capability moderates export-intensity effects and tracing how a Tier-1 digital indicator evolves across institutional generations.</w:t>
      </w:r>
    </w:p>
    <w:p>
      <w:pPr>
        <w:pStyle w:val="BodyText"/>
      </w:pPr>
      <w:r>
        <w:t xml:space="preserve">Design/methodology/approach,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An inverted-U between export intensity and labour productivity holds across all three waves, with turning points clustered between 39% and 46%, a band that stays durable over 14 years. The nonlinearity traces to a participation-margin effect: restricted to exporters, the quadratic term loses significance. TCI positively moderates productivity and the I–P curvature across waves, while the website indicator follows a proxy-obsolescence trajectory: positive in 2009, null in 2015, negatively interactive in 2023.</w:t>
      </w:r>
    </w:p>
    <w:p>
      <w:pPr>
        <w:pStyle w:val="BodyText"/>
      </w:pPr>
      <w:r>
        <w:t xml:space="preserve">Originality/value, In this zero-inflated setting the inverted-U reflects a participation-barrier effect rather than intensity saturation, and pooled Tier-1 coefficients mask progressive proxy obsolescence. Because the turning-point cluster (39–46% FSTS) is institutionally embedded, the debate moves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w:t>
      </w:r>
      <w:r>
        <w:t xml:space="preserve"> </w:t>
      </w:r>
      <m:oMath>
        <m:sSub>
          <m:e>
            <m:r>
              <m:rPr>
                <m:nor/>
                <m:sty m:val="p"/>
              </m:rPr>
              <m:t>TCI</m:t>
            </m:r>
          </m:e>
          <m:sub>
            <m:r>
              <m:t>z</m:t>
            </m:r>
          </m:sub>
        </m:sSub>
      </m:oMath>
      <w:r>
        <w:t xml:space="preserve"> </w:t>
      </w:r>
      <w:r>
        <w:t xml:space="preserve">is the within-wave standardised mean of quality certification and foreign-licensed technology. A single-item website-presence indicator (</w:t>
      </w:r>
      <m:oMath>
        <m:sSub>
          <m:e>
            <m:r>
              <m:rPr>
                <m:nor/>
                <m:sty m:val="p"/>
              </m:rPr>
              <m:t>DAI</m:t>
            </m:r>
          </m:e>
          <m:sub>
            <m:r>
              <m:t>z</m:t>
            </m:r>
          </m:sub>
        </m:sSub>
      </m:oMath>
      <w:r>
        <w:t xml:space="preserve">, Tier 1 only) is retained as a baseline digital-presence control given the WBES Vietnam measurement constraint; the two share no items.</w:t>
      </w:r>
    </w:p>
    <w:p>
      <w:pPr>
        <w:pStyle w:val="BodyText"/>
      </w:pPr>
      <w:r>
        <w:t xml:space="preserve"></w:t>
      </w:r>
      <w:r>
        <w:t xml:space="preserve"> </w:t>
      </w:r>
      <m:oMath>
        <m:sSub>
          <m:e>
            <m:r>
              <m:rPr>
                <m:nor/>
                <m:sty m:val="p"/>
              </m:rPr>
              <m:t>TCI</m:t>
            </m:r>
          </m:e>
          <m:sub>
            <m:r>
              <m:t>z</m:t>
            </m:r>
          </m:sub>
        </m:sSub>
      </m:oMath>
      <w:r>
        <w:t xml:space="preserve"> </w:t>
      </w:r>
      <w:r>
        <w:t xml:space="preserve">is positively associated with productivity in all three waves (</w:t>
      </w:r>
      <m:oMath>
        <m:r>
          <m:t>β</m:t>
        </m:r>
      </m:oMath>
      <w:r>
        <w:t xml:space="preserve"> </w:t>
      </w:r>
      <w:r>
        <w:t xml:space="preserve">= 0.215, 0.128, 0.123) and pooled (</w:t>
      </w:r>
      <m:oMath>
        <m:r>
          <m:t>β</m:t>
        </m:r>
      </m:oMath>
      <w:r>
        <w:t xml:space="preserve"> </w:t>
      </w:r>
      <w:r>
        <w:t xml:space="preserve">=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w:t>
      </w:r>
      <m:oMath>
        <m:r>
          <m:t>β</m:t>
        </m:r>
      </m:oMath>
      <w:r>
        <w:t xml:space="preserve"> </w:t>
      </w:r>
      <w:r>
        <w:t xml:space="preserve">= -0.200, p = .660); only ~1.0 % of pooled firms sit within</w:t>
      </w:r>
      <w:r>
        <w:t xml:space="preserve"> </w:t>
      </w:r>
      <m:oMath>
        <m:r>
          <m:rPr>
            <m:sty m:val="p"/>
          </m:rPr>
          <m:t>±</m:t>
        </m:r>
      </m:oMath>
      <w:r>
        <w:t xml:space="preserve">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w:t>
      </w:r>
      <m:oMath>
        <m:r>
          <m:t>β</m:t>
        </m:r>
      </m:oMath>
      <w:r>
        <w:t xml:space="preserve"> </w:t>
      </w:r>
      <w:r>
        <w:t xml:space="preserve">= 0.175), null in 2015 (</w:t>
      </w:r>
      <m:oMath>
        <m:r>
          <m:t>β</m:t>
        </m:r>
      </m:oMath>
      <w:r>
        <w:t xml:space="preserve"> </w:t>
      </w:r>
      <w:r>
        <w:t xml:space="preserve">= -0.044), and positive in 2023 (</w:t>
      </w:r>
      <m:oMath>
        <m:r>
          <m:t>β</m:t>
        </m:r>
      </m:oMath>
      <w:r>
        <w:t xml:space="preserve"> </w:t>
      </w:r>
      <w:r>
        <w:t xml:space="preserve">= 0.095); the negative</w:t>
      </w:r>
      <w:r>
        <w:t xml:space="preserve"> </w:t>
      </w:r>
      <m:oMath>
        <m:r>
          <m:rPr>
            <m:nor/>
            <m:sty m:val="p"/>
          </m:rPr>
          <m:t>DAI</m:t>
        </m:r>
        <m:r>
          <m:rPr>
            <m:sty m:val="p"/>
          </m:rPr>
          <m:t>×</m:t>
        </m:r>
        <m:r>
          <m:rPr>
            <m:nor/>
            <m:sty m:val="p"/>
          </m:rPr>
          <m:t>FSTS</m:t>
        </m:r>
      </m:oMath>
      <w:r>
        <w:t xml:space="preserve"> </w:t>
      </w:r>
      <w:r>
        <w:t xml:space="preserve">interaction observed only in 2023 (</w:t>
      </w:r>
      <m:oMath>
        <m:sSub>
          <m:e>
            <m:r>
              <m:rPr>
                <m:nor/>
                <m:sty m:val="p"/>
              </m:rPr>
              <m:t>FSTS</m:t>
            </m:r>
          </m:e>
          <m:sub>
            <m:r>
              <m:t>c</m:t>
            </m:r>
          </m:sub>
        </m:sSub>
        <m:r>
          <m:rPr>
            <m:sty m:val="p"/>
          </m:rPr>
          <m:t>×</m:t>
        </m:r>
        <m:sSub>
          <m:e>
            <m:r>
              <m:rPr>
                <m:nor/>
                <m:sty m:val="p"/>
              </m:rPr>
              <m:t>DAI</m:t>
            </m:r>
          </m:e>
          <m:sub>
            <m:r>
              <m:t>z</m:t>
            </m:r>
          </m:sub>
        </m:sSub>
      </m:oMath>
      <w:r>
        <w:t xml:space="preserve"> </w:t>
      </w:r>
      <w:r>
        <w:t xml:space="preserve">= -0.912, p = .043) is read as Tier-1 proxy obsolescence as website ownership diffuses to near-universal levels (49.8 % in 2023 vs 42.5 % in 2009), not as evidence on dynamic digital capability moderation.</w:t>
      </w:r>
    </w:p>
    <w:bookmarkEnd w:id="21"/>
    <w:bookmarkStart w:id="26" w:name="Xe3d0fc0bea9a42ce7605565d0964033d7f6ee47"/>
    <w:p>
      <w:pPr>
        <w:pStyle w:val="Heading2"/>
      </w:pPr>
      <w:r>
        <w:t xml:space="preserve">1. Introduction</w:t>
      </w:r>
    </w:p>
    <w:bookmarkStart w:id="22"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does not lend itself to the assumption of a simple linear performance premium.</w:t>
      </w:r>
      <w:r>
        <w:t xml:space="preserve"> </w:t>
      </w:r>
      <w:r>
        <w:t xml:space="preserve">Foreign involvement opens access to larger markets, learning, and diversified revenue, yet it also brings rising coordination costs, heavier information-processing burdens, and organisational strain as that involvement deepens (Wright et al., 2005; Cuervo-Cazurra and</w:t>
      </w:r>
      <w:r>
        <w:t xml:space="preserve"> </w:t>
      </w:r>
      <w:r>
        <w:t xml:space="preserve">Genc, 2008; Wu et al., 2016).</w:t>
      </w:r>
      <w:r>
        <w:t xml:space="preserve"> </w:t>
      </w:r>
      <w:r>
        <w:t xml:space="preserve">This tension is central to the I–P literature. A long tradition of work holds that internationalisation improves performance at lower and intermediate levels through scale,</w:t>
      </w:r>
      <w:r>
        <w:t xml:space="preserve"> </w:t>
      </w:r>
      <w:r>
        <w:t xml:space="preserve">learning, and diversification, while complexity and coordination burdens drag returns toward zero or below them at higher levels. Meta-analytic evidence indicates that this nonlinearity is a central feature of the relationship, not an empirical anomaly</w:t>
      </w:r>
      <w:r>
        <w:t xml:space="preserve"> </w:t>
      </w:r>
      <w:r>
        <w:t xml:space="preserve">(Vernon, 1979; Lu and Beamish, 2004; Hennart, 2007; Coviello et al., 2017; Marano et al., 2016).</w:t>
      </w:r>
      <w:r>
        <w:t xml:space="preserve"> </w:t>
      </w:r>
      <w:r>
        <w:t xml:space="preserve">Digitalisation layers a further complication onto this debate. Digital tools can cut communication frictions, speed transactions, and support cross-border coordination, but the benefits do not arrive automatically. Their realised value depends on whether a firm holds the organisational depth, absorptive capacity, and complementary routines needed to convert digital adoption into productivity gains (Cohen and Levinthal, 1990; Vial, 2019; Verhoef et al.,</w:t>
      </w:r>
      <w:r>
        <w:t xml:space="preserve"> </w:t>
      </w:r>
      <w:r>
        <w:t xml:space="preserve">2021; Stallkamp and Schotter, 2021; Petricevic and Teece, 2019). Digital capability, then, is poorly described as a universally beneficial resource whose payoff stays constant across</w:t>
      </w:r>
      <w:r>
        <w:t xml:space="preserve"> </w:t>
      </w:r>
      <w:r>
        <w:t xml:space="preserve">firms and over time.</w:t>
      </w:r>
      <w:r>
        <w:t xml:space="preserve"> </w:t>
      </w:r>
      <w:r>
        <w:t xml:space="preserve">The Vietnamese setting makes this issue especially pointed. Firms here are embedded</w:t>
      </w:r>
      <w:r>
        <w:t xml:space="preserve"> </w:t>
      </w:r>
      <w:r>
        <w:t xml:space="preserve">in an economy that is upgrading capability and passing through digital transition at the same time, so both the gains from</w:t>
      </w:r>
      <w:r>
        <w:t xml:space="preserve"> </w:t>
      </w:r>
      <w:r>
        <w:t xml:space="preserve">internationalisation and the payoff from digitalisation may shift across stages of development. The central question for this study follows directly: does digital capability in Vietnam behave</w:t>
      </w:r>
      <w:r>
        <w:t xml:space="preserve"> </w:t>
      </w:r>
      <w:r>
        <w:t xml:space="preserve">as a stable performance-enhancing asset, or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exporter cohort itself changes composition across</w:t>
      </w:r>
      <w:r>
        <w:t xml:space="preserve"> </w:t>
      </w:r>
      <w:r>
        <w:t xml:space="preserve">the three waves: the share of firms reporting any positive direct-export intensity falls as</w:t>
      </w:r>
      <w:r>
        <w:t xml:space="preserve"> </w:t>
      </w:r>
      <w:r>
        <w:t xml:space="preserve">services and FDI-linked supply-chain firms enter the sample, while average foundational digital adoption rises with the diffusion of websites, electronic payment systems, and</w:t>
      </w:r>
      <w:r>
        <w:t xml:space="preserve"> </w:t>
      </w:r>
      <w:r>
        <w:t xml:space="preserve">digital transaction interfaces. To read the I–P relationship and the digital-adoption channel as</w:t>
      </w:r>
      <w:r>
        <w:t xml:space="preserve"> </w:t>
      </w:r>
      <w:r>
        <w:t xml:space="preserve">fixed structural facts across this fourteen-year window is to miss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an</w:t>
      </w:r>
      <w:r>
        <w:t xml:space="preserve"> </w:t>
      </w:r>
      <w:r>
        <w:rPr>
          <w:iCs/>
          <w:i/>
        </w:rPr>
        <w:t xml:space="preserve">Export Cliff Effect</w:t>
      </w:r>
      <w:r>
        <w:t xml:space="preserve">, 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2"/>
    <w:bookmarkStart w:id="23" w:name="X2961a496af63dca26d6e29b654ead2e696c6fdd"/>
    <w:p>
      <w:pPr>
        <w:pStyle w:val="Heading3"/>
      </w:pPr>
      <w:r>
        <w:t xml:space="preserve">1.2 Research gap</w:t>
      </w:r>
    </w:p>
    <w:p>
      <w:pPr>
        <w:pStyle w:val="FirstParagraph"/>
      </w:pPr>
      <w:r>
        <w:t xml:space="preserve">This study addresses three gaps that remain unresolved in the existing literature.</w:t>
      </w:r>
    </w:p>
    <w:p>
      <w:pPr>
        <w:pStyle w:val="BodyText"/>
      </w:pPr>
      <w:r>
        <w:t xml:space="preserve">One gap concerns how digitalisation is theorised. Much existing work treats it as a broadly positive resource and pays little attention to temporal and contextual variation in its payoff. That treatment risks implying a relatively stable performance premium across firms and across stages of economic transition (Strange and Zucchella, 2017; Goldfarb and Tucker, 2019). The returns are more likely to be uneven, since firms differ in scale, routines, and complementary capability.</w:t>
      </w:r>
    </w:p>
    <w:p>
      <w:pPr>
        <w:pStyle w:val="BodyText"/>
      </w:pPr>
      <w:r>
        <w:t xml:space="preserve">A second gap concerns construct clarity.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or transaction mechanisms (Bharadwaj et al., 2013; Verhoef et al., 2021; Hanelt et al., 2021; Brouthers et al., 2016). The two are related, but treating them as interchangeable, and collapsing them into a single umbrella variable, blurs the mechanisms that link digitalisation to performance.</w:t>
      </w:r>
    </w:p>
    <w:p>
      <w:pPr>
        <w:pStyle w:val="BodyText"/>
      </w:pPr>
      <w:r>
        <w:t xml:space="preserve">The remaining gap is methodological. Pooled estimates can obscure substantial lifecycle heterogeneity. Where firms and institutions pass through distinct stages of transition, as in Vietnam, the roles of internationalisation, technological capability, and digital adoption may vary considerably across survey waves. A pooled model identifies average effects well enough, but it falls short once the underlying relationships shift over time. A design that combines pooled and wave-specific analysis is therefore needed to determine whether the observed effects are stable or stage contingent.</w:t>
      </w:r>
    </w:p>
    <w:p>
      <w:pPr>
        <w:pStyle w:val="BodyText"/>
      </w:pPr>
      <w:r>
        <w:t xml:space="preserve">Recent meta-analytic work reinforces this concern. Pisani, Garcia-Bernardo, and Heemskerk (2020, SMJ) find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at 45.8% of total trade value, displacing the historically dominant textiles cluster, reflecting a structural upgrade in production capability that proceeded in parallel with the three survey waves (World Bank, 2025c).</w:t>
      </w:r>
    </w:p>
    <w:bookmarkEnd w:id="23"/>
    <w:bookmarkStart w:id="24" w:name="X494b14dde48fd709c427dcfac91526fdde5ec7e"/>
    <w:p>
      <w:pPr>
        <w:pStyle w:val="Heading3"/>
      </w:pPr>
      <w:r>
        <w:t xml:space="preserve">1.3 Contribution</w:t>
      </w:r>
    </w:p>
    <w:p>
      <w:pPr>
        <w:pStyle w:val="FirstParagraph"/>
      </w:pPr>
      <w:r>
        <w:t xml:space="preserve">This study makes four contributions to the literature.</w:t>
      </w:r>
    </w:p>
    <w:p>
      <w:pPr>
        <w:pStyle w:val="BodyText"/>
      </w:pPr>
      <w:r>
        <w:t xml:space="preserve">It first refines the I–P debate. The Vietnamese evidence supports a nonlinear relationship, but the salience and visibility of that relationship vary across time. Nonlinearity, on this reading, is not a fixed structural fact that appears identically in every period; the I–P curve has to be read alongside the broader capability environment.</w:t>
      </w:r>
    </w:p>
    <w:p>
      <w:pPr>
        <w:pStyle w:val="BodyText"/>
      </w:pPr>
      <w:r>
        <w:t xml:space="preserve">The study also improves construct validity by separating technological capability from foundational digital adoption. The distinction matters theoretically, because deeper capability stocks and basic digital enablement may drive performance through different channels, and empirically, because the two constructs do not trace identical patterns across the Vietnamese waves.</w:t>
      </w:r>
    </w:p>
    <w:p>
      <w:pPr>
        <w:pStyle w:val="BodyText"/>
      </w:pPr>
      <w:r>
        <w:t xml:space="preserve">A further contribution is a cross-wave, stage-dependency reading of digital internationalisation. The WBES data are repeated cross-sections rather than a firm panel, so within-firm trajectories cannot be observed directly; even so, the cross-wave evidence points to digital capability as neither a universally stable premium nor a uniformly ineffective resource. It appears instead as an uneven, snapshot-contingent source of performance heterogeneity across institutional phases, which helps explain how pooled average effects coexist with substantial wave-specific differences.</w:t>
      </w:r>
    </w:p>
    <w:p>
      <w:pPr>
        <w:pStyle w:val="BodyText"/>
      </w:pPr>
      <w:r>
        <w:t xml:space="preserve">The final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w:t>
      </w:r>
      <w:r>
        <w:t xml:space="preserve"> </w:t>
      </w:r>
      <m:oMath>
        <m:r>
          <m:t>β</m:t>
        </m:r>
      </m:oMath>
      <w:r>
        <w:t xml:space="preserve"> </w:t>
      </w:r>
      <w:r>
        <w:t xml:space="preserve">= -0.200 (p = .660), and only ~1.0 % of pooled firms occupy the</w:t>
      </w:r>
      <w:r>
        <w:t xml:space="preserve"> </w:t>
      </w:r>
      <m:oMath>
        <m:r>
          <m:rPr>
            <m:sty m:val="p"/>
          </m:rPr>
          <m:t>±</m:t>
        </m:r>
      </m:oMath>
      <w:r>
        <w:t xml:space="preserve">5 percentage-point neighbourhood of the turning point. This locates the productivity-relevant friction at the participation margin, where institutional, capability, and sunk-cost barriers bind hardest in a transitional economy,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4"/>
    <w:bookmarkStart w:id="25" w:name="Xdd618d9602139b0eee88c4277e195c55d104c48"/>
    <w:p>
      <w:pPr>
        <w:pStyle w:val="Heading3"/>
      </w:pPr>
      <w:r>
        <w:t xml:space="preserve">1.4 Roadmap</w:t>
      </w:r>
    </w:p>
    <w:p>
      <w:pPr>
        <w:pStyle w:val="FirstParagraph"/>
      </w:pPr>
      <w:r>
        <w:t xml:space="preserve">The remainder of the paper is organised as follows. Section 2 develops the theoretical framework and hypotheses, and Section 3 describes the data, variables, and empirical strategy. Section 4 presents the results, Section 5 discusses the theoretical and managerial implications, and Section 6 concludes.</w:t>
      </w:r>
    </w:p>
    <w:bookmarkEnd w:id="25"/>
    <w:bookmarkEnd w:id="26"/>
    <w:bookmarkStart w:id="34" w:name="X8bf20a63f0decf7b16e99d564b9958ec4fbbb23"/>
    <w:p>
      <w:pPr>
        <w:pStyle w:val="Heading2"/>
      </w:pPr>
      <w:r>
        <w:t xml:space="preserve">2. Theory and hypotheses</w:t>
      </w:r>
    </w:p>
    <w:bookmarkStart w:id="27" w:name="X475e56b016e644d98a8e16bb390e9ef0dd93722"/>
    <w:p>
      <w:pPr>
        <w:pStyle w:val="Heading3"/>
      </w:pPr>
      <w:r>
        <w:t xml:space="preserve">2.1 Internationalisation and firm performance</w:t>
      </w:r>
    </w:p>
    <w:p>
      <w:pPr>
        <w:pStyle w:val="FirstParagraph"/>
      </w:pPr>
      <w:r>
        <w:t xml:space="preserve">In a transitional economy such as Vietnam, the relationship between internationalisation and firm performance is unlikely to be linear. Foreign expansion can lift performance through</w:t>
      </w:r>
      <w:r>
        <w:t xml:space="preserve"> </w:t>
      </w:r>
      <w:r>
        <w:t xml:space="preserve">greater market reach, diversification, and learning from external environments; firms use</w:t>
      </w:r>
      <w:r>
        <w:t xml:space="preserve"> </w:t>
      </w:r>
      <w:r>
        <w:t xml:space="preserve">internationalisation to spread fixed costs, reach new customers, and acquire knowledge that</w:t>
      </w:r>
      <w:r>
        <w:t xml:space="preserve"> </w:t>
      </w:r>
      <w:r>
        <w:t xml:space="preserve">supports operational improvement.</w:t>
      </w:r>
      <w:r>
        <w:t xml:space="preserve"> </w:t>
      </w:r>
      <w:r>
        <w:t xml:space="preserve">Deeper international involvement, at the same time, tends to generate coordination costs and</w:t>
      </w:r>
      <w:r>
        <w:t xml:space="preserve"> </w:t>
      </w:r>
      <w:r>
        <w:t xml:space="preserve">organisational burdens. A firm must manage multiple markets, reconcile diverse customer demands, process more information, and sustain tighter managerial control. As foreign expansion</w:t>
      </w:r>
      <w:r>
        <w:t xml:space="preserve"> </w:t>
      </w:r>
      <w:r>
        <w:t xml:space="preserve">intensifies, these costs may outgrow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carries particular weight in Vietnam, where firms operate under uneven capability conditions. Some convert foreign expansion into learning and scale advantages;</w:t>
      </w:r>
      <w:r>
        <w:t xml:space="preserve"> </w:t>
      </w:r>
      <w:r>
        <w:t xml:space="preserve">others meet organisational strain sooner. What we expect, then, is</w:t>
      </w:r>
      <w:r>
        <w:t xml:space="preserve"> </w:t>
      </w:r>
      <w:r>
        <w:t xml:space="preserve">not a uniformly positive slope, but a nonlinear relationship in which the gains from internationalisation become progressively harder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w:t>
      </w:r>
      <w:r>
        <w:t xml:space="preserve"> </w:t>
      </w:r>
      <m:oMath>
        <m:sSubSup>
          <m:e>
            <m:r>
              <m:rPr>
                <m:nor/>
                <m:sty m:val="p"/>
              </m:rPr>
              <m:t>FSTS</m:t>
            </m:r>
          </m:e>
          <m:sub>
            <m:r>
              <m:t>c</m:t>
            </m:r>
          </m:sub>
          <m:sup>
            <m:r>
              <m:t>2</m:t>
            </m:r>
          </m:sup>
        </m:sSubSup>
      </m:oMath>
      <w:r>
        <w:t xml:space="preserve"> </w:t>
      </w:r>
      <m:oMath>
        <m:r>
          <m:t>β</m:t>
        </m:r>
      </m:oMath>
      <w:r>
        <w:t xml:space="preserve"> </w:t>
      </w:r>
      <w:r>
        <w:t xml:space="preserve">= −0.200, p = .660) instead indicates that the participation margin (H1a) is the dominant source of the full-sample curvature.</w:t>
      </w:r>
    </w:p>
    <w:bookmarkEnd w:id="27"/>
    <w:bookmarkStart w:id="28"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w:t>
      </w:r>
      <w:r>
        <w:t xml:space="preserve"> </w:t>
      </w:r>
      <m:oMath>
        <m:sSub>
          <m:e>
            <m:r>
              <m:rPr>
                <m:nor/>
                <m:sty m:val="p"/>
              </m:rPr>
              <m:t>TCI</m:t>
            </m:r>
          </m:e>
          <m:sub>
            <m:r>
              <m:t>z</m:t>
            </m:r>
          </m:sub>
        </m:sSub>
      </m:oMath>
      <w:r>
        <w:t xml:space="preserve"> </w:t>
      </w:r>
      <w:r>
        <w:t xml:space="preserve">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w:t>
      </w:r>
      <m:oMath>
        <m:sSub>
          <m:e>
            <m:r>
              <m:rPr>
                <m:nor/>
                <m:sty m:val="p"/>
              </m:rPr>
              <m:t>TCI</m:t>
            </m:r>
          </m:e>
          <m:sub>
            <m:r>
              <m:t>f</m:t>
            </m:r>
          </m:sub>
        </m:sSub>
      </m:oMath>
      <w:r>
        <w:t xml:space="preserve">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w:t>
      </w:r>
      <m:oMath>
        <m:sSub>
          <m:e>
            <m:r>
              <m:rPr>
                <m:nor/>
                <m:sty m:val="p"/>
              </m:rPr>
              <m:t>TCI</m:t>
            </m:r>
          </m:e>
          <m:sub>
            <m:r>
              <m:t>z</m:t>
            </m:r>
          </m:sub>
        </m:sSub>
      </m:oMath>
      <w:r>
        <w:t xml:space="preserve">),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28"/>
    <w:bookmarkStart w:id="29" w:name="X02827d6cc0af65ac39b2d56f2f17672268c2f6b"/>
    <w:p>
      <w:pPr>
        <w:pStyle w:val="Heading3"/>
      </w:pPr>
      <w:r>
        <w:t xml:space="preserve">2.3 Website-based digital presence and firm performance</w:t>
      </w:r>
    </w:p>
    <w:p>
      <w:pPr>
        <w:pStyle w:val="FirstParagraph"/>
      </w:pPr>
      <w:r>
        <w:t xml:space="preserve">The primary</w:t>
      </w:r>
      <w:r>
        <w:t xml:space="preserve"> </w:t>
      </w:r>
      <m:oMath>
        <m:sSub>
          <m:e>
            <m:r>
              <m:rPr>
                <m:nor/>
                <m:sty m:val="p"/>
              </m:rPr>
              <m:t>DAI</m:t>
            </m:r>
          </m:e>
          <m:sub>
            <m:r>
              <m:t>z</m:t>
            </m:r>
          </m:sub>
        </m:sSub>
      </m:oMath>
      <w:r>
        <w:t xml:space="preserve"> </w:t>
      </w:r>
      <w:r>
        <w:t xml:space="preserve">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w:t>
      </w:r>
      <w:r>
        <w:t xml:space="preserve"> </w:t>
      </w:r>
      <w:r>
        <w:t xml:space="preserve">dynamic digital capability (data-driven decision-making, AI integration). The primary</w:t>
      </w:r>
      <w:r>
        <w:t xml:space="preserve"> </w:t>
      </w:r>
      <m:oMath>
        <m:sSub>
          <m:e>
            <m:r>
              <m:rPr>
                <m:nor/>
                <m:sty m:val="p"/>
              </m:rPr>
              <m:t>DAI</m:t>
            </m:r>
          </m:e>
          <m:sub>
            <m:r>
              <m:t>z</m:t>
            </m:r>
          </m:sub>
        </m:sSub>
      </m:oMath>
    </w:p>
    <w:p>
      <w:pPr>
        <w:pStyle w:val="BodyText"/>
      </w:pPr>
      <w:r>
        <w:t xml:space="preserve">anchors at Tier 1 only. A Tier 3-style extension (</w:t>
      </w:r>
      <m:oMath>
        <m:sSub>
          <m:e>
            <m:r>
              <m:rPr>
                <m:nor/>
                <m:sty m:val="p"/>
              </m:rPr>
              <m:t>DAI</m:t>
            </m:r>
          </m:e>
          <m:sub>
            <m:r>
              <m:t>r</m:t>
            </m:r>
          </m:sub>
        </m:sSub>
      </m:oMath>
      <w:r>
        <w:t xml:space="preserve">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w:t>
      </w:r>
      <w:r>
        <w:t xml:space="preserve"> </w:t>
      </w:r>
      <m:oMath>
        <m:sSub>
          <m:e>
            <m:r>
              <m:rPr>
                <m:nor/>
                <m:sty m:val="p"/>
              </m:rPr>
              <m:t>DAI</m:t>
            </m:r>
          </m:e>
          <m:sub>
            <m:r>
              <m:t>z</m:t>
            </m:r>
          </m:sub>
        </m:sSub>
      </m:oMath>
      <w:r>
        <w:t xml:space="preserve"> </w:t>
      </w:r>
      <w:r>
        <w:t xml:space="preserve">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Given that</w:t>
      </w:r>
      <w:r>
        <w:t xml:space="preserve"> </w:t>
      </w:r>
      <m:oMath>
        <m:sSub>
          <m:e>
            <m:r>
              <m:rPr>
                <m:nor/>
                <m:sty m:val="p"/>
              </m:rPr>
              <m:t>DAI</m:t>
            </m:r>
          </m:e>
          <m:sub>
            <m:r>
              <m:t>z</m:t>
            </m:r>
          </m:sub>
        </m:sSub>
      </m:oMath>
      <w:r>
        <w:t xml:space="preserve"> </w:t>
      </w:r>
      <w:r>
        <w:t xml:space="preserve">reduces to a single binary item, c22b (own-website presence), it captures Tier-1 digital presence rather than dynamic digital capability. By 2023, website ownership has diffused to near half of the Vietnamese firm population (49.8 % in 2023 vs 42.5 % in 2009) and increasingly functions as an organisational hygiene factor, a</w:t>
      </w:r>
      <w:r>
        <w:t xml:space="preserve"> </w:t>
      </w:r>
      <w:r>
        <w:rPr>
          <w:iCs/>
          <w:i/>
        </w:rPr>
        <w:t xml:space="preserve">digital saturation</w:t>
      </w:r>
      <w:r>
        <w:t xml:space="preserve"> </w:t>
      </w:r>
      <w:r>
        <w:t xml:space="preserve">in which near-universal Tier-1 presence loses discriminating power, rather than a marker of digital strategy. This is a substantive finding in its own right: basic website adoption has decayed from a candidate RBV advantage into a baseline hygiene condition.</w:t>
      </w:r>
      <w:r>
        <w:t xml:space="preserve"> </w:t>
      </w:r>
      <w:r>
        <w:rPr>
          <w:bCs/>
          <w:b/>
        </w:rPr>
        <w:t xml:space="preserve">Accordingly,</w:t>
      </w:r>
      <w:r>
        <w:rPr>
          <w:bCs/>
          <w:b/>
        </w:rPr>
        <w:t xml:space="preserve"> </w:t>
      </w:r>
      <m:oMath>
        <m:sSub>
          <m:e>
            <m:r>
              <m:rPr>
                <m:nor/>
                <m:sty m:val="p"/>
              </m:rPr>
              <m:t>DAI</m:t>
            </m:r>
          </m:e>
          <m:sub>
            <m:r>
              <m:t>z</m:t>
            </m:r>
          </m:sub>
        </m:sSub>
      </m:oMath>
      <w:r>
        <w:rPr>
          <w:bCs/>
          <w:b/>
        </w:rPr>
        <w:t xml:space="preserve"> </w:t>
      </w:r>
      <w:r>
        <w:rPr>
          <w:bCs/>
          <w:b/>
        </w:rPr>
        <w:t xml:space="preserve">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w:t>
      </w:r>
      <w:r>
        <w:t xml:space="preserve"> </w:t>
      </w:r>
      <m:oMath>
        <m:sSub>
          <m:e>
            <m:r>
              <m:rPr>
                <m:nor/>
                <m:sty m:val="p"/>
              </m:rPr>
              <m:t>DAI</m:t>
            </m:r>
          </m:e>
          <m:sub>
            <m:r>
              <m:t>z</m:t>
            </m:r>
          </m:sub>
        </m:sSub>
      </m:oMath>
      <w:r>
        <w:t xml:space="preserve"> </w:t>
      </w:r>
      <w:r>
        <w:t xml:space="preserve">is not advanced as a primary hypothesis in this study, no H3 is formulated in the present paper. The exploratory digital moderation probe that follows (Section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w:t>
      </w:r>
      <w:r>
        <w:t xml:space="preserve"> </w:t>
      </w:r>
      <m:oMath>
        <m:sSub>
          <m:e>
            <m:r>
              <m:rPr>
                <m:nor/>
                <m:sty m:val="p"/>
              </m:rPr>
              <m:t>DAI</m:t>
            </m:r>
          </m:e>
          <m:sub>
            <m:r>
              <m:t>z</m:t>
            </m:r>
          </m:sub>
        </m:sSub>
      </m:oMath>
      <w:r>
        <w:t xml:space="preserve"> </w:t>
      </w:r>
      <w:r>
        <w:t xml:space="preserve">should be read as reflecting baseline digital-presence variation, not dynamic digital capability. This caveat shields the present analysis from over-claiming on the limited Tier-1 information that a single binary website indicator can provide.</w:t>
      </w:r>
    </w:p>
    <w:bookmarkEnd w:id="29"/>
    <w:bookmarkStart w:id="33"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w:t>
      </w:r>
      <w:r>
        <w:t xml:space="preserve"> </w:t>
      </w:r>
      <m:oMath>
        <m:r>
          <m:rPr>
            <m:nor/>
            <m:sty m:val="p"/>
          </m:rPr>
          <m:t>DAI</m:t>
        </m:r>
        <m:r>
          <m:rPr>
            <m:sty m:val="p"/>
          </m:rPr>
          <m:t>×</m:t>
        </m:r>
        <m:r>
          <m:rPr>
            <m:nor/>
            <m:sty m:val="p"/>
          </m:rPr>
          <m:t>FSTS</m:t>
        </m:r>
      </m:oMath>
      <w:r>
        <w:t xml:space="preserve"> </w:t>
      </w:r>
      <w:r>
        <w:t xml:space="preserve">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not a primary hypothesis). The productivity relevance of baseline website-presence (</w:t>
      </w:r>
      <m:oMath>
        <m:sSub>
          <m:e>
            <m:r>
              <m:rPr>
                <m:nor/>
                <m:sty m:val="p"/>
              </m:rPr>
              <m:t>DAI</m:t>
            </m:r>
          </m:e>
          <m:sub>
            <m:r>
              <m:t>z</m:t>
            </m:r>
          </m:sub>
        </m:sSub>
      </m:oMath>
      <w:r>
        <w:t xml:space="preserve">,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w:t>
      </w:r>
      <m:oMath>
        <m:sSub>
          <m:e>
            <m:r>
              <m:rPr>
                <m:nor/>
                <m:sty m:val="p"/>
              </m:rPr>
              <m:t>TCI</m:t>
            </m:r>
          </m:e>
          <m:sub>
            <m:r>
              <m:t>z</m:t>
            </m:r>
          </m:sub>
        </m:sSub>
      </m:oMath>
      <w:r>
        <w:t xml:space="preserve">)</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w:t>
      </w:r>
      <m:oMath>
        <m:sSub>
          <m:e>
            <m:r>
              <m:rPr>
                <m:nor/>
                <m:sty m:val="p"/>
              </m:rPr>
              <m:t>FSTS</m:t>
            </m:r>
          </m:e>
          <m:sub>
            <m:r>
              <m:t>c</m:t>
            </m:r>
          </m:sub>
        </m:sSub>
      </m:oMath>
      <w:r>
        <w:t xml:space="preserve">,</w:t>
      </w:r>
      <w:r>
        <w:t xml:space="preserve"> </w:t>
      </w:r>
      <m:oMath>
        <m:sSubSup>
          <m:e>
            <m:r>
              <m:rPr>
                <m:nor/>
                <m:sty m:val="p"/>
              </m:rPr>
              <m:t>FSTS</m:t>
            </m:r>
          </m:e>
          <m:sub>
            <m:r>
              <m:t>c</m:t>
            </m:r>
          </m:sub>
          <m:sup>
            <m:r>
              <m:t>2</m:t>
            </m:r>
          </m:sup>
        </m:sSubSup>
      </m:oMath>
      <w:r>
        <w:t xml:space="preserve">)</w:t>
      </w:r>
      <w:r>
        <w:t xml:space="preserve"> </w:t>
      </w:r>
      <w:r>
        <w:t xml:space="preserve">(ln labour productivity)</w:t>
      </w:r>
      <w:r>
        <w:t xml:space="preserve"> </w:t>
      </w:r>
      <w:r>
        <w:t xml:space="preserve">H4 (mod., exploratory probe)</w:t>
      </w:r>
      <w:r>
        <w:t xml:space="preserve"> </w:t>
      </w:r>
      <m:oMath>
        <m:sSub>
          <m:e>
            <m:r>
              <m:rPr>
                <m:nor/>
                <m:sty m:val="p"/>
              </m:rPr>
              <m:t>DAI</m:t>
            </m:r>
          </m:e>
          <m:sub>
            <m:r>
              <m:t>z</m:t>
            </m:r>
          </m:sub>
        </m:sSub>
      </m:oMath>
      <w:r>
        <w:t xml:space="preserve"> </w:t>
      </w:r>
      <w:r>
        <w:t xml:space="preserve">(baseline control)</w:t>
      </w:r>
    </w:p>
    <w:p>
      <w:pPr>
        <w:pStyle w:val="BodyText"/>
      </w:pPr>
      <w:r>
        <w:t xml:space="preserve">Baseline website-presence</w:t>
      </w:r>
      <w:r>
        <w:t xml:space="preserve"> </w:t>
      </w:r>
      <w:r>
        <w:t xml:space="preserve">(</w:t>
      </w:r>
      <m:oMath>
        <m:sSub>
          <m:e>
            <m:r>
              <m:rPr>
                <m:nor/>
                <m:sty m:val="p"/>
              </m:rPr>
              <m:t>DAI</m:t>
            </m:r>
          </m:e>
          <m:sub>
            <m:r>
              <m:t>z</m:t>
            </m:r>
          </m:sub>
        </m:sSub>
      </m:oMath>
      <w:r>
        <w:t xml:space="preserve">, Tier 1 only)</w:t>
      </w:r>
    </w:p>
    <w:p>
      <w:pPr>
        <w:pStyle w:val="BodyText"/>
      </w:pPr>
      <w:r>
        <w:t xml:space="preserve">Controls: lnEmp, FirmAge, ForeignOwned, sector FE [+ wave FE]</w:t>
      </w:r>
    </w:p>
    <w:p>
      <w:pPr>
        <w:pStyle w:val="BodyText"/>
      </w:pPr>
      <w:r>
        <w:drawing>
          <wp:inline>
            <wp:extent cx="5753100" cy="3857854"/>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vietnam/figure_1_conceptual_model.png" id="32" name="Picture"/>
                    <pic:cNvPicPr>
                      <a:picLocks noChangeArrowheads="1" noChangeAspect="1"/>
                    </pic:cNvPicPr>
                  </pic:nvPicPr>
                  <pic:blipFill>
                    <a:blip r:embed="rId30"/>
                    <a:stretch>
                      <a:fillRect/>
                    </a:stretch>
                  </pic:blipFill>
                  <pic:spPr bwMode="auto">
                    <a:xfrm>
                      <a:off x="0" y="0"/>
                      <a:ext cx="5753100" cy="3857854"/>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internationalisation intensity (FSTS, centred</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is placed at left; the dependent variable, firm performance, measured as ln(labour productivity) = ln(annual revenue PPP / permanent workers), is placed at right, following left-to-right causal flow convention. H1 (inverted-U nonlinearity:</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is grounded in the Uppsala model (Johanson &amp; Vahlne, 1977, 2009) and coordination-cost theory (Hitt et al., 1997). H2 specifies technological capability (</w:t>
      </w:r>
      <m:oMath>
        <m:sSub>
          <m:e>
            <m:r>
              <m:rPr>
                <m:nor/>
                <m:sty m:val="p"/>
              </m:rPr>
              <m:t>TCI</m:t>
            </m:r>
          </m:e>
          <m:sub>
            <m:r>
              <m:t>z</m:t>
            </m:r>
          </m:sub>
        </m:sSub>
      </m:oMath>
      <w:r>
        <w:t xml:space="preserve">, Resource-Based View: Barney, 1991) as a level-shifting direct effect and secondary moderator on the FSTS–performance curve; instrument: industry-level TCI mean (causal IV identification). H4 treats website-based digital adoption (</w:t>
      </w:r>
      <m:oMath>
        <m:sSub>
          <m:e>
            <m:r>
              <m:rPr>
                <m:nor/>
                <m:sty m:val="p"/>
              </m:rPr>
              <m:t>DAI</m:t>
            </m:r>
          </m:e>
          <m:sub>
            <m:r>
              <m:t>z</m:t>
            </m:r>
          </m:sub>
        </m:sSub>
      </m:oMath>
      <w:r>
        <w:t xml:space="preserve">, Tier-1 only) as an exploratory probe of the Digital Capability Lens (Banalieva &amp; Dhanaraj, 2019); measurement constraint acknowledged,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Nhóm IV (Lower_mid_transition, ICRV Group 4 of 6; lower-middle-income transition economy; WGI Rule of Law</w:t>
      </w:r>
      <w:r>
        <w:t xml:space="preserve"> </w:t>
      </w:r>
      <m:oMath>
        <m:r>
          <m:rPr>
            <m:sty m:val="p"/>
          </m:rPr>
          <m:t>≈</m:t>
        </m:r>
      </m:oMath>
      <w:r>
        <w:t xml:space="preserve"> </w:t>
      </w:r>
      <w:r>
        <w:t xml:space="preserve">−0.09 in 2023, World Bank). Data: WBES 2009, 2015, 2023; N = 2,958 (pooled), n_wave = 989/956/1,013.</w:t>
      </w:r>
    </w:p>
    <w:bookmarkEnd w:id="33"/>
    <w:bookmarkEnd w:id="34"/>
    <w:bookmarkStart w:id="40" w:name="Xfd2f05febb90fd7f58b14547dd9b33901f267a5"/>
    <w:p>
      <w:pPr>
        <w:pStyle w:val="Heading2"/>
      </w:pPr>
      <w:r>
        <w:t xml:space="preserve">3. Data, variables, and empirical strategy</w:t>
      </w:r>
    </w:p>
    <w:bookmarkStart w:id="35"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5"/>
    <w:bookmarkStart w:id="36"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w:t>
      </w:r>
      <m:oMath>
        <m:sSub>
          <m:e>
            <m:r>
              <m:rPr>
                <m:nor/>
                <m:sty m:val="p"/>
              </m:rPr>
              <m:t>FSTS</m:t>
            </m:r>
          </m:e>
          <m:sub>
            <m:r>
              <m:t>c</m:t>
            </m:r>
          </m:sub>
        </m:sSub>
      </m:oMath>
      <w:r>
        <w:t xml:space="preserve">) and squared (</w:t>
      </w:r>
      <m:oMath>
        <m:sSubSup>
          <m:e>
            <m:r>
              <m:rPr>
                <m:nor/>
                <m:sty m:val="p"/>
              </m:rPr>
              <m:t>FSTS</m:t>
            </m:r>
          </m:e>
          <m:sub>
            <m:r>
              <m:t>c</m:t>
            </m:r>
          </m:sub>
          <m:sup>
            <m:r>
              <m:t>2</m:t>
            </m:r>
          </m:sup>
        </m:sSubSup>
      </m:oMath>
      <w:r>
        <w:t xml:space="preserve">) so that linear and quadratic terms can be entered jointly to test for nonlinearity. The analysis uses two distinct capability constructs. The Technological Capability Index (</w:t>
      </w:r>
      <m:oMath>
        <m:sSub>
          <m:e>
            <m:r>
              <m:rPr>
                <m:nor/>
                <m:sty m:val="p"/>
              </m:rPr>
              <m:t>TCI</m:t>
            </m:r>
          </m:e>
          <m:sub>
            <m:r>
              <m:t>z</m:t>
            </m:r>
          </m:sub>
        </m:sSub>
      </m:oMath>
      <w:r>
        <w:t xml:space="preserve">) is interpreted narrowly as a foreign-technology and standards capability measure —</w:t>
      </w:r>
      <w:r>
        <w:t xml:space="preserve"> </w:t>
      </w:r>
      <w:r>
        <w:t xml:space="preserve">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w:t>
      </w:r>
      <m:oMath>
        <m:sSub>
          <m:e>
            <m:r>
              <m:rPr>
                <m:nor/>
                <m:sty m:val="p"/>
              </m:rPr>
              <m:t>DAI</m:t>
            </m:r>
          </m:e>
          <m:sub>
            <m:r>
              <m:t>z</m:t>
            </m:r>
          </m:sub>
        </m:sSub>
      </m:oMath>
      <w:r>
        <w:t xml:space="preserve">)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w:t>
      </w:r>
      <m:oMath>
        <m:sSub>
          <m:e>
            <m:r>
              <m:rPr>
                <m:nor/>
                <m:sty m:val="p"/>
              </m:rPr>
              <m:t>FSTS</m:t>
            </m:r>
          </m:e>
          <m:sub>
            <m:r>
              <m:t>c</m:t>
            </m:r>
          </m:sub>
        </m:sSub>
      </m:oMath>
      <w:r>
        <w:t xml:space="preserve">) and squared (</w:t>
      </w:r>
      <m:oMath>
        <m:sSubSup>
          <m:e>
            <m:r>
              <m:rPr>
                <m:nor/>
                <m:sty m:val="p"/>
              </m:rPr>
              <m:t>FSTS</m:t>
            </m:r>
          </m:e>
          <m:sub>
            <m:r>
              <m:t>c</m:t>
            </m:r>
          </m:sub>
          <m:sup>
            <m:r>
              <m:t>2</m:t>
            </m:r>
          </m:sup>
        </m:sSubSup>
      </m:oMath>
      <w:r>
        <w:t xml:space="preserve">). The primary Technological Capability Index (</w:t>
      </w:r>
      <m:oMath>
        <m:sSub>
          <m:e>
            <m:r>
              <m:rPr>
                <m:nor/>
                <m:sty m:val="p"/>
              </m:rPr>
              <m:t>TCI</m:t>
            </m:r>
          </m:e>
          <m:sub>
            <m:r>
              <m:t>z</m:t>
            </m:r>
          </m:sub>
        </m:sSub>
      </m:oMath>
      <w:r>
        <w:t xml:space="preserve">)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w:t>
      </w:r>
      <m:oMath>
        <m:sSub>
          <m:e>
            <m:r>
              <m:rPr>
                <m:nor/>
                <m:sty m:val="p"/>
              </m:rPr>
              <m:t>DAI</m:t>
            </m:r>
          </m:e>
          <m:sub>
            <m:r>
              <m:t>z</m:t>
            </m:r>
          </m:sub>
        </m:sSub>
      </m:oMath>
      <w:r>
        <w:t xml:space="preserve">) is the within-wave standardised 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w:t>
      </w:r>
      <w:r>
        <w:t xml:space="preserve"> </w:t>
      </w:r>
      <m:oMath>
        <m:sSub>
          <m:e>
            <m:r>
              <m:rPr>
                <m:nor/>
                <m:sty m:val="p"/>
              </m:rPr>
              <m:t>DAI</m:t>
            </m:r>
          </m:e>
          <m:sub>
            <m:r>
              <m:t>z</m:t>
            </m:r>
          </m:sub>
        </m:sSub>
      </m:oMath>
      <w:r>
        <w:t xml:space="preserve"> </w:t>
      </w:r>
      <w:r>
        <w:t xml:space="preserve">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m:oMath>
        <m:sSub>
          <m:e>
            <m:r>
              <m:rPr>
                <m:nor/>
                <m:sty m:val="p"/>
              </m:rPr>
              <m:t>TCI</m:t>
            </m:r>
          </m:e>
          <m:sub>
            <m:r>
              <m:t>f</m:t>
            </m:r>
          </m:sub>
        </m:sSub>
      </m:oMath>
      <w:r>
        <w:t xml:space="preserve">ull adds h1 (introduced new or significantly improved product) and h8 (R&amp;D expenditure</w:t>
      </w:r>
      <w:r>
        <w:t xml:space="preserve"> </w:t>
      </w:r>
      <w:r>
        <w:t xml:space="preserve">indicator) to the TCI items in 2015 and 2023, where h1 and h8 are present.</w:t>
      </w:r>
      <w:r>
        <w:t xml:space="preserve"> </w:t>
      </w:r>
      <m:oMath>
        <m:sSub>
          <m:e>
            <m:r>
              <m:rPr>
                <m:nor/>
                <m:sty m:val="p"/>
              </m:rPr>
              <m:t>DAI</m:t>
            </m:r>
          </m:e>
          <m:sub>
            <m:r>
              <m:t>r</m:t>
            </m:r>
          </m:sub>
        </m:sSub>
      </m:oMath>
      <w:r>
        <w:t xml:space="preserve">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w:t>
      </w:r>
      <w:r>
        <w:t xml:space="preserve"> </w:t>
      </w:r>
      <m:oMath>
        <m:sSub>
          <m:e>
            <m:r>
              <m:rPr>
                <m:nor/>
                <m:sty m:val="p"/>
              </m:rPr>
              <m:t>DAI</m:t>
            </m:r>
          </m:e>
          <m:sub>
            <m:r>
              <m:t>r</m:t>
            </m:r>
          </m:sub>
        </m:sSub>
      </m:oMath>
      <w:r>
        <w:t xml:space="preserve">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w:t>
      </w:r>
      <w:r>
        <w:t xml:space="preserve"> </w:t>
      </w:r>
      <m:oMath>
        <m:sSub>
          <m:e>
            <m:r>
              <m:rPr>
                <m:nor/>
                <m:sty m:val="p"/>
              </m:rPr>
              <m:t>DAI</m:t>
            </m:r>
          </m:e>
          <m:sub>
            <m:r>
              <m:t>z</m:t>
            </m:r>
          </m:sub>
        </m:sSub>
      </m:oMath>
      <w:r>
        <w:t xml:space="preserve"> </w:t>
      </w:r>
      <w:r>
        <w:t xml:space="preserve">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w:t>
      </w:r>
      <m:oMath>
        <m:sSub>
          <m:e>
            <m:r>
              <m:rPr>
                <m:nor/>
                <m:sty m:val="p"/>
              </m:rPr>
              <m:t>FSTS</m:t>
            </m:r>
          </m:e>
          <m:sub>
            <m:r>
              <m:t>c</m:t>
            </m:r>
          </m:sub>
        </m:sSub>
        <m:r>
          <m:rPr>
            <m:sty m:val="p"/>
          </m:rPr>
          <m:t>×</m:t>
        </m:r>
        <m:sSub>
          <m:e>
            <m:r>
              <m:rPr>
                <m:nor/>
                <m:sty m:val="p"/>
              </m:rPr>
              <m:t>DAI</m:t>
            </m:r>
          </m:e>
          <m:sub>
            <m:r>
              <m:t>z</m:t>
            </m:r>
          </m:sub>
        </m:sSub>
      </m:oMath>
      <w:r>
        <w:t xml:space="preserve"> </w:t>
      </w:r>
      <w:r>
        <w:t xml:space="preserve">= −0.912, p = .043) is best read as construct-tier obsolescence: Tier-1 website presence has become a minimum-threshold credential in Vietnam's maturing digital environment and no longer differentiates firms' cross-border coordination capacity at high export intensity. The</w:t>
      </w:r>
      <w:r>
        <w:t xml:space="preserve"> </w:t>
      </w:r>
      <m:oMath>
        <m:sSub>
          <m:e>
            <m:r>
              <m:rPr>
                <m:nor/>
                <m:sty m:val="p"/>
              </m:rPr>
              <m:t>DAI</m:t>
            </m:r>
          </m:e>
          <m:sub>
            <m:r>
              <m:t>r</m:t>
            </m:r>
          </m:sub>
        </m:sSub>
      </m:oMath>
      <w:r>
        <w:t xml:space="preserve">ich robustness composite available in the 2023 wave (Tier 1+2, Section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w:t>
      </w:r>
      <w:r>
        <w:t xml:space="preserve"> </w:t>
      </w:r>
      <m:oMath>
        <m:sSub>
          <m:e>
            <m:r>
              <m:rPr>
                <m:nor/>
                <m:sty m:val="p"/>
              </m:rPr>
              <m:t>DAI</m:t>
            </m:r>
          </m:e>
          <m:sub>
            <m:r>
              <m:t>z</m:t>
            </m:r>
          </m:sub>
        </m:sSub>
      </m:oMath>
      <w:r>
        <w:t xml:space="preserve"> </w:t>
      </w:r>
      <w:r>
        <w:t xml:space="preserve">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w:t>
      </w:r>
      <w:r>
        <w:t xml:space="preserve"> </w:t>
      </w:r>
      <m:oMath>
        <m:sSub>
          <m:e>
            <m:r>
              <m:rPr>
                <m:nor/>
                <m:sty m:val="p"/>
              </m:rPr>
              <m:t>DAI</m:t>
            </m:r>
          </m:e>
          <m:sub>
            <m:r>
              <m:t>r</m:t>
            </m:r>
          </m:sub>
        </m:sSub>
      </m:oMath>
      <w:r>
        <w:t xml:space="preserve">ich robustness extension (Section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to 0). c22b is recoded similarly (1 = has website; 2 to 0).</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within each wave independently so that coefficients are comparable in magnitude across waves. Turning-point formula: TP* = −</w:t>
      </w:r>
      <m:oMath>
        <m:sSub>
          <m:e>
            <m:r>
              <m:t>β</m:t>
            </m:r>
          </m:e>
          <m:sub>
            <m:r>
              <m:t>1</m:t>
            </m:r>
          </m:sub>
        </m:sSub>
      </m:oMath>
      <w:r>
        <w:t xml:space="preserve"> </w:t>
      </w:r>
      <w:r>
        <w:t xml:space="preserve">/ (2</w:t>
      </w:r>
      <m:oMath>
        <m:sSub>
          <m:e>
            <m:r>
              <m:t>β</m:t>
            </m:r>
          </m:e>
          <m:sub>
            <m:r>
              <m:t>2</m:t>
            </m:r>
          </m:sub>
        </m:sSub>
      </m:oMath>
      <w:r>
        <w:t xml:space="preserve">);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w:t>
      </w:r>
      <w:r>
        <w:t xml:space="preserve"> </w:t>
      </w:r>
      <m:oMath>
        <m:sSub>
          <m:e>
            <m:r>
              <m:rPr>
                <m:nor/>
                <m:sty m:val="p"/>
              </m:rPr>
              <m:t>TCI</m:t>
            </m:r>
          </m:e>
          <m:sub>
            <m:r>
              <m:t>z</m:t>
            </m:r>
          </m:sub>
        </m:sSub>
      </m:oMath>
      <w:r>
        <w:t xml:space="preserve">,</w:t>
      </w:r>
      <w:r>
        <w:t xml:space="preserve"> </w:t>
      </w:r>
      <m:oMath>
        <m:sSub>
          <m:e>
            <m:r>
              <m:rPr>
                <m:nor/>
                <m:sty m:val="p"/>
              </m:rPr>
              <m:t>DAI</m:t>
            </m:r>
          </m:e>
          <m:sub>
            <m:r>
              <m:t>z</m:t>
            </m:r>
          </m:sub>
        </m:sSub>
      </m:oMath>
      <w:r>
        <w:t xml:space="preserve">,</w:t>
      </w:r>
      <w:r>
        <w:t xml:space="preserve"> </w:t>
      </w:r>
      <w:r>
        <w:t xml:space="preserve">sector1). The resulting analytic samples are 989, 956, and 1,013 observations for 2009, 2015,</w:t>
      </w:r>
      <w:r>
        <w:t xml:space="preserve"> </w:t>
      </w:r>
      <w:r>
        <w:t xml:space="preserve">and 2023 respectively; pooled N is 2,958.</w:t>
      </w:r>
    </w:p>
    <w:bookmarkEnd w:id="36"/>
    <w:bookmarkStart w:id="37"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w:t>
      </w:r>
      <w:r>
        <w:t xml:space="preserve"> </w:t>
      </w:r>
      <m:oMath>
        <m:sSub>
          <m:e>
            <m:r>
              <m:rPr>
                <m:nor/>
                <m:sty m:val="p"/>
              </m:rPr>
              <m:t>FSTS</m:t>
            </m:r>
          </m:e>
          <m:sub>
            <m:r>
              <m:t>c</m:t>
            </m:r>
          </m:sub>
        </m:sSub>
      </m:oMath>
      <w:r>
        <w:t xml:space="preserve">. A nonlinear model adds the quadratic term</w:t>
      </w:r>
      <w:r>
        <w:t xml:space="preserve"> </w:t>
      </w:r>
      <m:oMath>
        <m:sSubSup>
          <m:e>
            <m:r>
              <m:rPr>
                <m:nor/>
                <m:sty m:val="p"/>
              </m:rPr>
              <m:t>FSTS</m:t>
            </m:r>
          </m:e>
          <m:sub>
            <m:r>
              <m:t>c</m:t>
            </m:r>
          </m:sub>
          <m:sup>
            <m:r>
              <m:t>2</m:t>
            </m:r>
          </m:sup>
        </m:sSubSup>
      </m:oMath>
      <w:r>
        <w:t xml:space="preserve"> </w:t>
      </w:r>
      <w:r>
        <w:t xml:space="preserve">to test for curvature. Additional models introduce</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separately, first in specifications that allow interaction terms with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w:t>
      </w:r>
      <w:r>
        <w:t xml:space="preserve"> </w:t>
      </w:r>
      <m:oMath>
        <m:sSub>
          <m:e>
            <m:r>
              <m:rPr>
                <m:nor/>
                <m:sty m:val="p"/>
              </m:rPr>
              <m:t>FSTS</m:t>
            </m:r>
          </m:e>
          <m:sub>
            <m:r>
              <m:t>c</m:t>
            </m:r>
          </m:sub>
        </m:sSub>
      </m:oMath>
      <w:r>
        <w:t xml:space="preserve">_it the within-wave mean-centred export intensity, and</w:t>
      </w:r>
      <w:r>
        <w:t xml:space="preserve"> </w:t>
      </w:r>
      <w:r>
        <w:rPr>
          <w:bCs/>
          <w:b/>
        </w:rPr>
        <w:t xml:space="preserve">X</w:t>
      </w:r>
      <w:r>
        <w:t xml:space="preserve">_it the vector of controls (lnEmp, FirmAge, ForeignOwned); δ_s denotes sector fixed effects and</w:t>
      </w:r>
      <w:r>
        <w:t xml:space="preserve"> </w:t>
      </w:r>
      <m:oMath>
        <m:r>
          <m:t>λ</m:t>
        </m:r>
      </m:oMath>
      <w:r>
        <w:t xml:space="preserve">_t wave fixed effects (pooled specifications only):</w:t>
      </w:r>
    </w:p>
    <w:p>
      <w:pPr>
        <w:pStyle w:val="BodyText"/>
      </w:pPr>
      <w:r>
        <w:rPr>
          <w:bCs/>
          <w:b/>
        </w:rPr>
        <w:t xml:space="preserve">M0, Baseline controls:</w:t>
      </w:r>
      <w:r>
        <w:t xml:space="preserve"> </w:t>
      </w:r>
      <w:r>
        <w:t xml:space="preserve">lnLP_it =</w:t>
      </w:r>
      <w:r>
        <w:t xml:space="preserve"> </w:t>
      </w:r>
      <m:oMath>
        <m:r>
          <m:t>α</m:t>
        </m:r>
      </m:oMath>
      <w:r>
        <w:t xml:space="preserve"> </w:t>
      </w:r>
      <w:r>
        <w:t xml:space="preserve">+</w:t>
      </w:r>
      <w:r>
        <w:t xml:space="preserve"> </w:t>
      </w:r>
      <m:oMath>
        <m:r>
          <m:t>γ</m:t>
        </m:r>
      </m:oMath>
      <w:r>
        <w:t xml:space="preserve">₁ lnEmp_it +</w:t>
      </w:r>
      <w:r>
        <w:t xml:space="preserve"> </w:t>
      </w:r>
      <m:oMath>
        <m:r>
          <m:t>γ</m:t>
        </m:r>
      </m:oMath>
      <w:r>
        <w:t xml:space="preserve">₂ FirmAge_it +</w:t>
      </w:r>
      <w:r>
        <w:t xml:space="preserve"> </w:t>
      </w:r>
      <m:oMath>
        <m:r>
          <m:t>γ</m:t>
        </m:r>
      </m:oMath>
      <w:r>
        <w:t xml:space="preserve">₃ ForeignOwned_it + δ_s + [</w:t>
      </w:r>
      <m:oMath>
        <m:r>
          <m:t>λ</m:t>
        </m:r>
      </m:oMath>
      <w:r>
        <w:t xml:space="preserve">_t] +</w:t>
      </w:r>
      <w:r>
        <w:t xml:space="preserve"> </w:t>
      </w:r>
      <m:oMath>
        <m:r>
          <m:t>ϵ</m:t>
        </m:r>
      </m:oMath>
      <w:r>
        <w:t xml:space="preserve">_it</w:t>
      </w:r>
    </w:p>
    <w:p>
      <w:pPr>
        <w:pStyle w:val="BodyText"/>
      </w:pPr>
      <w:r>
        <w:rPr>
          <w:bCs/>
          <w:b/>
        </w:rPr>
        <w:t xml:space="preserve">M1, Linear internationalisation:</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w:t>
      </w:r>
      <w:r>
        <w:rPr>
          <w:bCs/>
          <w:b/>
        </w:rPr>
        <w:t xml:space="preserve">X</w:t>
      </w:r>
      <w:r>
        <w:t xml:space="preserve">_it + δ_s + [</w:t>
      </w:r>
      <m:oMath>
        <m:r>
          <m:t>λ</m:t>
        </m:r>
      </m:oMath>
      <w:r>
        <w:t xml:space="preserve">_t] +</w:t>
      </w:r>
      <w:r>
        <w:t xml:space="preserve"> </w:t>
      </w:r>
      <m:oMath>
        <m:r>
          <m:t>ϵ</m:t>
        </m:r>
      </m:oMath>
      <w:r>
        <w:t xml:space="preserve">_it</w:t>
      </w:r>
    </w:p>
    <w:p>
      <w:pPr>
        <w:pStyle w:val="BodyText"/>
      </w:pPr>
      <w:r>
        <w:rPr>
          <w:bCs/>
          <w:b/>
        </w:rPr>
        <w:t xml:space="preserve">M2, Quadratic internationalisation (tests H1 inverted-U):</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w:t>
      </w:r>
      <w:r>
        <w:rPr>
          <w:bCs/>
          <w:b/>
        </w:rPr>
        <w:t xml:space="preserve">X</w:t>
      </w:r>
      <w:r>
        <w:t xml:space="preserve">_it + δ_s + [</w:t>
      </w:r>
      <m:oMath>
        <m:r>
          <m:t>λ</m:t>
        </m:r>
      </m:oMath>
      <w:r>
        <w:t xml:space="preserve">_t] +</w:t>
      </w:r>
      <w:r>
        <w:t xml:space="preserve"> </w:t>
      </w:r>
      <m:oMath>
        <m:r>
          <m:t>ϵ</m:t>
        </m:r>
      </m:oMath>
      <w:r>
        <w:t xml:space="preserve">_it</w:t>
      </w:r>
    </w:p>
    <w:p>
      <w:pPr>
        <w:pStyle w:val="BodyText"/>
      </w:pPr>
      <w:r>
        <w:t xml:space="preserve">H1 requires</w:t>
      </w:r>
      <w:r>
        <w:t xml:space="preserve"> </w:t>
      </w:r>
      <m:oMath>
        <m:sSub>
          <m:e>
            <m:r>
              <m:t>β</m:t>
            </m:r>
          </m:e>
          <m:sub>
            <m:r>
              <m:t>1</m:t>
            </m:r>
          </m:sub>
        </m:sSub>
      </m:oMath>
      <w:r>
        <w:t xml:space="preserve"> </w:t>
      </w:r>
      <w:r>
        <w:t xml:space="preserve">&gt; 0 and</w:t>
      </w:r>
      <w:r>
        <w:t xml:space="preserve"> </w:t>
      </w:r>
      <m:oMath>
        <m:sSub>
          <m:e>
            <m:r>
              <m:t>β</m:t>
            </m:r>
          </m:e>
          <m:sub>
            <m:r>
              <m:t>2</m:t>
            </m:r>
          </m:sub>
        </m:sSub>
      </m:oMath>
      <w:r>
        <w:t xml:space="preserve"> </w:t>
      </w:r>
      <w:r>
        <w:t xml:space="preserve">&lt; 0; the implied turning point is TP* = −</w:t>
      </w:r>
      <m:oMath>
        <m:sSub>
          <m:e>
            <m:r>
              <m:t>β</m:t>
            </m:r>
          </m:e>
          <m:sub>
            <m:r>
              <m:t>1</m:t>
            </m:r>
          </m:sub>
        </m:sSub>
      </m:oMath>
      <w:r>
        <w:t xml:space="preserve"> </w:t>
      </w:r>
      <w:r>
        <w:t xml:space="preserve">/ (2</w:t>
      </w:r>
      <m:oMath>
        <m:sSub>
          <m:e>
            <m:r>
              <m:t>β</m:t>
            </m:r>
          </m:e>
          <m:sub>
            <m:r>
              <m:t>2</m:t>
            </m:r>
          </m:sub>
        </m:sSub>
      </m:oMath>
      <w:r>
        <w:t xml:space="preserve">), confirmed by the Lind–Mehlum (2010) utest.</w:t>
      </w:r>
    </w:p>
    <w:p>
      <w:pPr>
        <w:pStyle w:val="BodyText"/>
      </w:pPr>
      <w:r>
        <w:rPr>
          <w:bCs/>
          <w:b/>
        </w:rPr>
        <w:t xml:space="preserve">M3, TCI moderation (tests H2):</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w:t>
      </w:r>
      <m:oMath>
        <m:sSub>
          <m:e>
            <m:r>
              <m:rPr>
                <m:nor/>
                <m:sty m:val="p"/>
              </m:rPr>
              <m:t>FSTS</m:t>
            </m:r>
          </m:e>
          <m:sub>
            <m:r>
              <m:t>c</m:t>
            </m:r>
          </m:sub>
        </m:sSub>
        <m:r>
          <m:rPr>
            <m:sty m:val="p"/>
          </m:rPr>
          <m:t>×</m:t>
        </m:r>
        <m:sSub>
          <m:e>
            <m:r>
              <m:rPr>
                <m:nor/>
                <m:sty m:val="p"/>
              </m:rPr>
              <m:t>TCI</m:t>
            </m:r>
          </m:e>
          <m:sub>
            <m:r>
              <m:t>z</m:t>
            </m:r>
          </m:sub>
        </m:sSub>
      </m:oMath>
      <w:r>
        <w:t xml:space="preserve">) +</w:t>
      </w:r>
      <w:r>
        <w:t xml:space="preserve"> </w:t>
      </w:r>
      <m:oMath>
        <m:sSub>
          <m:e>
            <m:r>
              <m:t>β</m:t>
            </m:r>
          </m:e>
          <m:sub>
            <m:r>
              <m:t>5</m:t>
            </m:r>
          </m:sub>
        </m:sSub>
      </m:oMath>
      <w:r>
        <w:t xml:space="preserve">(</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M4, DAI moderation (exploratory H4):</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DAI</m:t>
            </m:r>
          </m:e>
          <m:sub>
            <m:r>
              <m:t>z</m:t>
            </m:r>
          </m:sub>
        </m:sSub>
      </m:oMath>
      <w:r>
        <w:t xml:space="preserve"> </w:t>
      </w:r>
      <w:r>
        <w:t xml:space="preserve">+</w:t>
      </w:r>
      <w:r>
        <w:t xml:space="preserve"> </w:t>
      </w:r>
      <m:oMath>
        <m:sSub>
          <m:e>
            <m:r>
              <m:t>β</m:t>
            </m:r>
          </m:e>
          <m:sub>
            <m:r>
              <m:t>4</m:t>
            </m:r>
          </m:sub>
        </m:sSub>
      </m:oMath>
      <w:r>
        <w:t xml:space="preserve">(</w:t>
      </w:r>
      <m:oMath>
        <m:sSub>
          <m:e>
            <m:r>
              <m:rPr>
                <m:nor/>
                <m:sty m:val="p"/>
              </m:rPr>
              <m:t>FSTS</m:t>
            </m:r>
          </m:e>
          <m:sub>
            <m:r>
              <m:t>c</m:t>
            </m:r>
          </m:sub>
        </m:sSub>
        <m:r>
          <m:rPr>
            <m:sty m:val="p"/>
          </m:rPr>
          <m:t>×</m:t>
        </m:r>
        <m:sSub>
          <m:e>
            <m:r>
              <m:rPr>
                <m:nor/>
                <m:sty m:val="p"/>
              </m:rPr>
              <m:t>DAI</m:t>
            </m:r>
          </m:e>
          <m:sub>
            <m:r>
              <m:t>z</m:t>
            </m:r>
          </m:sub>
        </m:sSub>
      </m:oMath>
      <w:r>
        <w:t xml:space="preserve">) +</w:t>
      </w:r>
      <w:r>
        <w:t xml:space="preserve"> </w:t>
      </w:r>
      <m:oMath>
        <m:sSub>
          <m:e>
            <m:r>
              <m:t>β</m:t>
            </m:r>
          </m:e>
          <m:sub>
            <m:r>
              <m:t>5</m:t>
            </m:r>
          </m:sub>
        </m:sSub>
      </m:oMath>
      <w:r>
        <w:t xml:space="preserve">(</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M5, TCI direct only:</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M6, DAI direct only:</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DAI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M7, Dual-direct, no interactions:</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 </w:t>
      </w:r>
      <m:oMath>
        <m:sSub>
          <m:e>
            <m:r>
              <m:rPr>
                <m:nor/>
                <m:sty m:val="p"/>
              </m:rPr>
              <m:t>DAI</m:t>
            </m:r>
          </m:e>
          <m:sub>
            <m:r>
              <m:t>z</m:t>
            </m:r>
          </m:sub>
        </m:sSub>
      </m:oMath>
      <w:r>
        <w:t xml:space="preserve"> </w:t>
      </w:r>
      <w:r>
        <w:t xml:space="preserve">+</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rPr>
          <w:bCs/>
          <w:b/>
        </w:rPr>
        <w:t xml:space="preserve">M8, Full model (dual-direct + DAI moderation):</w:t>
      </w:r>
      <w:r>
        <w:t xml:space="preserve"> </w:t>
      </w:r>
      <w:r>
        <w:t xml:space="preserve">lnLP_it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w:t>
      </w:r>
      <w:r>
        <w:t xml:space="preserve"> </w:t>
      </w:r>
      <m:oMath>
        <m:sSub>
          <m:e>
            <m:r>
              <m:t>β</m:t>
            </m:r>
          </m:e>
          <m:sub>
            <m:r>
              <m:t>3</m:t>
            </m:r>
          </m:sub>
        </m:sSub>
      </m:oMath>
      <w:r>
        <w:t xml:space="preserve"> </w:t>
      </w:r>
      <m:oMath>
        <m:sSub>
          <m:e>
            <m:r>
              <m:rPr>
                <m:nor/>
                <m:sty m:val="p"/>
              </m:rPr>
              <m:t>TCI</m:t>
            </m:r>
          </m:e>
          <m:sub>
            <m:r>
              <m:t>z</m:t>
            </m:r>
          </m:sub>
        </m:sSub>
      </m:oMath>
      <w:r>
        <w:t xml:space="preserve"> </w:t>
      </w:r>
      <w:r>
        <w:t xml:space="preserve">+</w:t>
      </w:r>
      <w:r>
        <w:t xml:space="preserve"> </w:t>
      </w:r>
      <m:oMath>
        <m:sSub>
          <m:e>
            <m:r>
              <m:t>β</m:t>
            </m:r>
          </m:e>
          <m:sub>
            <m:r>
              <m:t>4</m:t>
            </m:r>
          </m:sub>
        </m:sSub>
      </m:oMath>
      <w:r>
        <w:t xml:space="preserve"> </w:t>
      </w:r>
      <m:oMath>
        <m:sSub>
          <m:e>
            <m:r>
              <m:rPr>
                <m:nor/>
                <m:sty m:val="p"/>
              </m:rPr>
              <m:t>DAI</m:t>
            </m:r>
          </m:e>
          <m:sub>
            <m:r>
              <m:t>z</m:t>
            </m:r>
          </m:sub>
        </m:sSub>
      </m:oMath>
      <w:r>
        <w:t xml:space="preserve"> </w:t>
      </w:r>
      <w:r>
        <w:t xml:space="preserve">+</w:t>
      </w:r>
      <w:r>
        <w:t xml:space="preserve"> </w:t>
      </w:r>
      <m:oMath>
        <m:sSub>
          <m:e>
            <m:r>
              <m:t>β</m:t>
            </m:r>
          </m:e>
          <m:sub>
            <m:r>
              <m:t>5</m:t>
            </m:r>
          </m:sub>
        </m:sSub>
      </m:oMath>
      <w:r>
        <w:t xml:space="preserve">(</w:t>
      </w:r>
      <m:oMath>
        <m:sSub>
          <m:e>
            <m:r>
              <m:rPr>
                <m:nor/>
                <m:sty m:val="p"/>
              </m:rPr>
              <m:t>FSTS</m:t>
            </m:r>
          </m:e>
          <m:sub>
            <m:r>
              <m:t>c</m:t>
            </m:r>
          </m:sub>
        </m:sSub>
        <m:r>
          <m:rPr>
            <m:sty m:val="p"/>
          </m:rPr>
          <m:t>×</m:t>
        </m:r>
        <m:sSub>
          <m:e>
            <m:r>
              <m:rPr>
                <m:nor/>
                <m:sty m:val="p"/>
              </m:rPr>
              <m:t>DAI</m:t>
            </m:r>
          </m:e>
          <m:sub>
            <m:r>
              <m:t>z</m:t>
            </m:r>
          </m:sub>
        </m:sSub>
      </m:oMath>
      <w:r>
        <w:t xml:space="preserve">) +</w:t>
      </w:r>
      <w:r>
        <w:t xml:space="preserve"> </w:t>
      </w:r>
      <m:oMath>
        <m:sSub>
          <m:e>
            <m:r>
              <m:t>β</m:t>
            </m:r>
          </m:e>
          <m:sub>
            <m:r>
              <m:t>6</m:t>
            </m:r>
          </m:sub>
        </m:sSub>
      </m:oMath>
      <w:r>
        <w:t xml:space="preserve">(</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w:t>
      </w:r>
      <m:oMath>
        <m:r>
          <m:t>γ</m:t>
        </m:r>
      </m:oMath>
      <w:r>
        <w:t xml:space="preserve">·</w:t>
      </w:r>
      <w:r>
        <w:rPr>
          <w:bCs/>
          <w:b/>
        </w:rPr>
        <w:t xml:space="preserve">X</w:t>
      </w:r>
      <w:r>
        <w:t xml:space="preserve"> </w:t>
      </w:r>
      <w:r>
        <w:t xml:space="preserve">+ δ_s + [</w:t>
      </w:r>
      <m:oMath>
        <m:r>
          <m:t>λ</m:t>
        </m:r>
      </m:oMath>
      <w:r>
        <w:t xml:space="preserve">_t] +</w:t>
      </w:r>
      <w:r>
        <w:t xml:space="preserve"> </w:t>
      </w:r>
      <m:oMath>
        <m:r>
          <m:t>ϵ</m:t>
        </m:r>
      </m:oMath>
    </w:p>
    <w:p>
      <w:pPr>
        <w:pStyle w:val="BodyText"/>
      </w:pPr>
      <w:r>
        <w:t xml:space="preserve">All models are estimated by OLS with HC1 heteroscedasticity-consistent standard errors. Wave fixed effects (</w:t>
      </w:r>
      <m:oMath>
        <m:r>
          <m:t>λ</m:t>
        </m:r>
      </m:oMath>
      <w:r>
        <w:t xml:space="preserve">_t) are included in pooled specifications only. The M0–M8 sequence is estimated wave-by-wave and jointly on the pooled three-wave file, yielding four sets of estimates (2009, 2015, 2023, pooled).</w:t>
      </w:r>
    </w:p>
    <w:bookmarkEnd w:id="37"/>
    <w:bookmarkStart w:id="38"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productivity, financial resilience, managerial quality,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w:t>
      </w:r>
      <w:r>
        <w:t xml:space="preserve"> </w:t>
      </w:r>
      <m:oMath>
        <m:r>
          <m:rPr>
            <m:sty m:val="p"/>
          </m:rPr>
          <m:t>×</m:t>
        </m:r>
      </m:oMath>
      <w:r>
        <w:t xml:space="preserve"> </w:t>
      </w:r>
      <w:r>
        <w:t xml:space="preserve">region</w:t>
      </w:r>
      <w:r>
        <w:t xml:space="preserve"> </w:t>
      </w:r>
      <m:oMath>
        <m:r>
          <m:rPr>
            <m:sty m:val="p"/>
          </m:rPr>
          <m:t>×</m:t>
        </m:r>
      </m:oMath>
      <w:r>
        <w:t xml:space="preserve"> </w:t>
      </w:r>
      <w:r>
        <w:t xml:space="preserve">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Section 4.5.</w:t>
      </w:r>
    </w:p>
    <w:p>
      <w:pPr>
        <w:pStyle w:val="BodyText"/>
      </w:pPr>
      <w:r>
        <w:rPr>
          <w:iCs/>
          <w:i/>
        </w:rPr>
        <w:t xml:space="preserve">Instrumental-variable estimation.</w:t>
      </w:r>
      <w:r>
        <w:t xml:space="preserve"> </w:t>
      </w:r>
      <w:r>
        <w:t xml:space="preserve">Leave-one-out sector</w:t>
      </w:r>
      <w:r>
        <w:t xml:space="preserve"> </w:t>
      </w:r>
      <m:oMath>
        <m:r>
          <m:rPr>
            <m:sty m:val="p"/>
          </m:rPr>
          <m:t>×</m:t>
        </m:r>
      </m:oMath>
      <w:r>
        <w:t xml:space="preserve"> </w:t>
      </w:r>
      <w:r>
        <w:t xml:space="preserve">region</w:t>
      </w:r>
      <w:r>
        <w:t xml:space="preserve"> </w:t>
      </w:r>
      <m:oMath>
        <m:r>
          <m:rPr>
            <m:sty m:val="p"/>
          </m:rPr>
          <m:t>×</m:t>
        </m:r>
      </m:oMath>
      <w:r>
        <w:t xml:space="preserve"> </w:t>
      </w:r>
      <w:r>
        <w:t xml:space="preserve">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w:t>
      </w:r>
      <w:r>
        <w:t xml:space="preserve"> </w:t>
      </w:r>
      <m:oMath>
        <m:sSup>
          <m:e>
            <m:r>
              <m:t>R</m:t>
            </m:r>
          </m:e>
          <m:sup>
            <m:r>
              <m:t>2</m:t>
            </m:r>
          </m:sup>
        </m:sSup>
      </m:oMath>
      <w:r>
        <w:t xml:space="preserve">_max = 1.3</w:t>
      </w:r>
      <w:r>
        <w:t xml:space="preserve"> </w:t>
      </w:r>
      <m:oMath>
        <m:r>
          <m:rPr>
            <m:sty m:val="p"/>
          </m:rPr>
          <m:t>×</m:t>
        </m:r>
      </m:oMath>
      <w:r>
        <w:t xml:space="preserve"> </w:t>
      </w:r>
      <m:oMath>
        <m:sSup>
          <m:e>
            <m:r>
              <m:t>R</m:t>
            </m:r>
          </m:e>
          <m:sup>
            <m:r>
              <m:t>2</m:t>
            </m:r>
          </m:sup>
        </m:sSup>
      </m:oMath>
      <w:r>
        <w:t xml:space="preserve">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38"/>
    <w:bookmarkStart w:id="39"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9"/>
    <w:bookmarkEnd w:id="40"/>
    <w:bookmarkStart w:id="62"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2"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w:t>
      </w:r>
      <m:oMath>
        <m:r>
          <m:t>β</m:t>
        </m:r>
      </m:oMath>
      <w:r>
        <w:t xml:space="preserve"> </w:t>
      </w:r>
      <w:r>
        <w:t xml:space="preserve">= 1.045, p = .015) and a negative quadratic term (</w:t>
      </w:r>
      <m:oMath>
        <m:r>
          <m:t>β</m:t>
        </m:r>
      </m:oMath>
      <w:r>
        <w:t xml:space="preserve"> </w:t>
      </w:r>
      <w:r>
        <w:t xml:space="preserve">=</w:t>
      </w:r>
      <w:r>
        <w:t xml:space="preserve"> </w:t>
      </w:r>
      <w:r>
        <w:t xml:space="preserve">-1.774, p = .009); the Lind–Mehlum test rejects monotonicity at p = .006. In the dual-direct</w:t>
      </w:r>
      <w:r>
        <w:t xml:space="preserve"> </w:t>
      </w:r>
      <w:r>
        <w:t xml:space="preserve">specification (M7) both</w:t>
      </w:r>
      <w:r>
        <w:t xml:space="preserve"> </w:t>
      </w:r>
      <m:oMath>
        <m:sSub>
          <m:e>
            <m:r>
              <m:rPr>
                <m:nor/>
                <m:sty m:val="p"/>
              </m:rPr>
              <m:t>TCI</m:t>
            </m:r>
          </m:e>
          <m:sub>
            <m:r>
              <m:t>z</m:t>
            </m:r>
          </m:sub>
        </m:sSub>
      </m:oMath>
      <w:r>
        <w:t xml:space="preserve"> </w:t>
      </w:r>
      <w:r>
        <w:t xml:space="preserve">(</w:t>
      </w:r>
      <m:oMath>
        <m:r>
          <m:t>β</m:t>
        </m:r>
      </m:oMath>
      <w:r>
        <w:t xml:space="preserve"> </w:t>
      </w:r>
      <w:r>
        <w:t xml:space="preserve">= 0.215, p &lt; .001) and</w:t>
      </w:r>
      <w:r>
        <w:t xml:space="preserve"> </w:t>
      </w:r>
      <m:oMath>
        <m:sSub>
          <m:e>
            <m:r>
              <m:rPr>
                <m:nor/>
                <m:sty m:val="p"/>
              </m:rPr>
              <m:t>DAI</m:t>
            </m:r>
          </m:e>
          <m:sub>
            <m:r>
              <m:t>z</m:t>
            </m:r>
          </m:sub>
        </m:sSub>
      </m:oMath>
      <w:r>
        <w:t xml:space="preserve"> </w:t>
      </w:r>
      <w:r>
        <w:t xml:space="preserve">(</w:t>
      </w:r>
      <m:oMath>
        <m:r>
          <m:t>β</m:t>
        </m:r>
      </m:oMath>
      <w:r>
        <w:t xml:space="preserve"> </w:t>
      </w:r>
      <w:r>
        <w:t xml:space="preserve">= 0.175, p &lt; .001) are</w:t>
      </w:r>
      <w:r>
        <w:t xml:space="preserve"> </w:t>
      </w:r>
      <w:r>
        <w:t xml:space="preserve">positive. TCI moderation is statistically distinguishable from zero (M3 joint p = .040;</w:t>
      </w:r>
      <w:r>
        <w:t xml:space="preserve"> </w:t>
      </w:r>
      <m:oMath>
        <m:sSub>
          <m:e>
            <m:r>
              <m:rPr>
                <m:nor/>
                <m:sty m:val="p"/>
              </m:rPr>
              <m:t>FSTS</m:t>
            </m:r>
          </m:e>
          <m:sub>
            <m:r>
              <m:t>c</m:t>
            </m:r>
          </m:sub>
        </m:sSub>
        <m:r>
          <m:rPr>
            <m:sty m:val="p"/>
          </m:rPr>
          <m:t>×</m:t>
        </m:r>
        <m:sSub>
          <m:e>
            <m:r>
              <m:rPr>
                <m:nor/>
                <m:sty m:val="p"/>
              </m:rPr>
              <m:t>TCI</m:t>
            </m:r>
          </m:e>
          <m:sub>
            <m:r>
              <m:t>z</m:t>
            </m:r>
          </m:sub>
        </m:sSub>
      </m:oMath>
      <w:r>
        <w:t xml:space="preserve"> </w:t>
      </w:r>
      <w:r>
        <w:t xml:space="preserve">=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41">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r>
        <w:t xml:space="preserve"> </w:t>
      </w:r>
      <m:oMath>
        <m:sSub>
          <m:e>
            <m:r>
              <m:rPr>
                <m:nor/>
                <m:sty m:val="p"/>
              </m:rPr>
              <m:t>FSTS</m:t>
            </m:r>
          </m:e>
          <m:sub>
            <m:r>
              <m:t>c</m:t>
            </m:r>
          </m:sub>
        </m:sSub>
      </m:oMath>
      <w:r>
        <w:t xml:space="preserve"> </w:t>
      </w:r>
      <m:oMath>
        <m:r>
          <m:t>β</m:t>
        </m:r>
      </m:oMath>
      <w:r>
        <w:t xml:space="preserve"> </w:t>
      </w:r>
      <w:r>
        <w:t xml:space="preserve">= 1.159 (p = .029) and</w:t>
      </w:r>
      <w:r>
        <w:t xml:space="preserve"> </w:t>
      </w:r>
      <m:oMath>
        <m:sSubSup>
          <m:e>
            <m:r>
              <m:rPr>
                <m:nor/>
                <m:sty m:val="p"/>
              </m:rPr>
              <m:t>FSTS</m:t>
            </m:r>
          </m:e>
          <m:sub>
            <m:r>
              <m:t>c</m:t>
            </m:r>
          </m:sub>
          <m:sup>
            <m:r>
              <m:t>2</m:t>
            </m:r>
          </m:sup>
        </m:sSubSup>
      </m:oMath>
      <w:r>
        <w:t xml:space="preserve"> </w:t>
      </w:r>
      <m:oMath>
        <m:r>
          <m:t>β</m:t>
        </m:r>
      </m:oMath>
      <w:r>
        <w:t xml:space="preserve"> </w:t>
      </w:r>
      <w:r>
        <w:t xml:space="preserve">= -2.115 (p = .004), with Lind–Mehlum p = .009.</w:t>
      </w:r>
      <w:r>
        <w:t xml:space="preserve"> </w:t>
      </w:r>
      <m:oMath>
        <m:sSub>
          <m:e>
            <m:r>
              <m:rPr>
                <m:nor/>
                <m:sty m:val="p"/>
              </m:rPr>
              <m:t>TCI</m:t>
            </m:r>
          </m:e>
          <m:sub>
            <m:r>
              <m:t>z</m:t>
            </m:r>
          </m:sub>
        </m:sSub>
      </m:oMath>
      <w:r>
        <w:t xml:space="preserve"> </w:t>
      </w:r>
      <w:r>
        <w:t xml:space="preserve">retains a positive direct association (</w:t>
      </w:r>
      <m:oMath>
        <m:r>
          <m:t>β</m:t>
        </m:r>
      </m:oMath>
      <w:r>
        <w:t xml:space="preserve"> </w:t>
      </w:r>
      <w:r>
        <w:t xml:space="preserve">= 0.128, p = .010) but at roughly 60 per</w:t>
      </w:r>
      <w:r>
        <w:t xml:space="preserve"> </w:t>
      </w:r>
      <w:r>
        <w:t xml:space="preserve">cent of the 2009 magnitude.</w:t>
      </w:r>
      <w:r>
        <w:t xml:space="preserve"> </w:t>
      </w:r>
      <m:oMath>
        <m:sSub>
          <m:e>
            <m:r>
              <m:rPr>
                <m:nor/>
                <m:sty m:val="p"/>
              </m:rPr>
              <m:t>DAI</m:t>
            </m:r>
          </m:e>
          <m:sub>
            <m:r>
              <m:t>z</m:t>
            </m:r>
          </m:sub>
        </m:sSub>
      </m:oMath>
      <w:r>
        <w:t xml:space="preserve"> </w:t>
      </w:r>
      <w:r>
        <w:t xml:space="preserve">loses direct salience entirely (</w:t>
      </w:r>
      <m:oMath>
        <m:r>
          <m:t>β</m:t>
        </m:r>
      </m:oMath>
      <w:r>
        <w:t xml:space="preserve"> </w:t>
      </w:r>
      <w:r>
        <w:t xml:space="preserve">=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w:t>
      </w:r>
      <m:oMath>
        <m:sSub>
          <m:e>
            <m:r>
              <m:rPr>
                <m:nor/>
                <m:sty m:val="p"/>
              </m:rPr>
              <m:t>FSTS</m:t>
            </m:r>
          </m:e>
          <m:sub>
            <m:r>
              <m:t>c</m:t>
            </m:r>
          </m:sub>
        </m:sSub>
      </m:oMath>
      <w:r>
        <w:t xml:space="preserve"> </w:t>
      </w:r>
      <m:oMath>
        <m:r>
          <m:t>β</m:t>
        </m:r>
      </m:oMath>
      <w:r>
        <w:t xml:space="preserve"> </w:t>
      </w:r>
      <w:r>
        <w:t xml:space="preserve">= 0.962, p = .039;</w:t>
      </w:r>
      <w:r>
        <w:t xml:space="preserve"> </w:t>
      </w:r>
      <m:oMath>
        <m:sSubSup>
          <m:e>
            <m:r>
              <m:rPr>
                <m:nor/>
                <m:sty m:val="p"/>
              </m:rPr>
              <m:t>FSTS</m:t>
            </m:r>
          </m:e>
          <m:sub>
            <m:r>
              <m:t>c</m:t>
            </m:r>
          </m:sub>
          <m:sup>
            <m:r>
              <m:t>2</m:t>
            </m:r>
          </m:sup>
        </m:sSubSup>
      </m:oMath>
      <w:r>
        <w:t xml:space="preserve"> </w:t>
      </w:r>
      <m:oMath>
        <m:r>
          <m:t>β</m:t>
        </m:r>
      </m:oMath>
      <w:r>
        <w:t xml:space="preserve"> </w:t>
      </w:r>
      <w:r>
        <w:t xml:space="preserve">= -1.686, p = .008; Lind–Mehlum p = .013). In the dual-direct M7, both capability dimensions are positive and significant (</w:t>
      </w:r>
      <m:oMath>
        <m:sSub>
          <m:e>
            <m:r>
              <m:rPr>
                <m:nor/>
                <m:sty m:val="p"/>
              </m:rPr>
              <m:t>TCI</m:t>
            </m:r>
          </m:e>
          <m:sub>
            <m:r>
              <m:t>z</m:t>
            </m:r>
          </m:sub>
        </m:sSub>
      </m:oMath>
      <w:r>
        <w:t xml:space="preserve"> </w:t>
      </w:r>
      <m:oMath>
        <m:r>
          <m:t>β</m:t>
        </m:r>
      </m:oMath>
      <w:r>
        <w:t xml:space="preserve"> </w:t>
      </w:r>
      <w:r>
        <w:t xml:space="preserve">= 0.123, p = .006;</w:t>
      </w:r>
      <w:r>
        <w:t xml:space="preserve"> </w:t>
      </w:r>
      <m:oMath>
        <m:sSub>
          <m:e>
            <m:r>
              <m:rPr>
                <m:nor/>
                <m:sty m:val="p"/>
              </m:rPr>
              <m:t>DAI</m:t>
            </m:r>
          </m:e>
          <m:sub>
            <m:r>
              <m:t>z</m:t>
            </m:r>
          </m:sub>
        </m:sSub>
      </m:oMath>
      <w:r>
        <w:t xml:space="preserve"> </w:t>
      </w:r>
      <m:oMath>
        <m:r>
          <m:t>β</m:t>
        </m:r>
      </m:oMath>
      <w:r>
        <w:t xml:space="preserve"> </w:t>
      </w:r>
      <w:r>
        <w:t xml:space="preserve">= 0.095, p = .038). When the DAI interaction terms are added in M8, the linear interaction is negative and individually significant (</w:t>
      </w:r>
      <m:oMath>
        <m:sSub>
          <m:e>
            <m:r>
              <m:rPr>
                <m:nor/>
                <m:sty m:val="p"/>
              </m:rPr>
              <m:t>FSTS</m:t>
            </m:r>
          </m:e>
          <m:sub>
            <m:r>
              <m:t>c</m:t>
            </m:r>
          </m:sub>
        </m:sSub>
        <m:r>
          <m:rPr>
            <m:sty m:val="p"/>
          </m:rPr>
          <m:t>×</m:t>
        </m:r>
        <m:sSub>
          <m:e>
            <m:r>
              <m:rPr>
                <m:nor/>
                <m:sty m:val="p"/>
              </m:rPr>
              <m:t>DAI</m:t>
            </m:r>
          </m:e>
          <m:sub>
            <m:r>
              <m:t>z</m:t>
            </m:r>
          </m:sub>
        </m:sSub>
      </m:oMath>
      <w:r>
        <w:t xml:space="preserve"> </w:t>
      </w:r>
      <w:r>
        <w:t xml:space="preserve">= -0.912, p = .043), the quadratic interaction is positive but does not reach conventional significance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w:t>
      </w:r>
      <m:oMath>
        <m:r>
          <m:t>β</m:t>
        </m:r>
      </m:oMath>
      <w:r>
        <w:t xml:space="preserve">=0.018, p = .942; Section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w:t>
      </w:r>
      <w:r>
        <w:t xml:space="preserve"> </w:t>
      </w:r>
      <m:oMath>
        <m:r>
          <m:rPr>
            <m:nor/>
            <m:sty m:val="p"/>
          </m:rPr>
          <m:t>DAI</m:t>
        </m:r>
        <m:r>
          <m:rPr>
            <m:sty m:val="p"/>
          </m:rPr>
          <m:t>×</m:t>
        </m:r>
        <m:r>
          <m:rPr>
            <m:nor/>
            <m:sty m:val="p"/>
          </m:rPr>
          <m:t>FSTS</m:t>
        </m:r>
      </m:oMath>
      <w:r>
        <w:t xml:space="preserve"> </w:t>
      </w:r>
      <w:r>
        <w:t xml:space="preserve">interaction without requiring that "digital adoption is bad", instead, the instrument has lost its discriminatory power as Tier 1 adoption has diffused to near-universal levels (49.8% in 2023 vs 42.5% in 2009). The</w:t>
      </w:r>
      <w:r>
        <w:t xml:space="preserve"> </w:t>
      </w:r>
      <m:oMath>
        <m:sSub>
          <m:e>
            <m:r>
              <m:rPr>
                <m:nor/>
                <m:sty m:val="p"/>
              </m:rPr>
              <m:t>DAI</m:t>
            </m:r>
          </m:e>
          <m:sub>
            <m:r>
              <m:t>r</m:t>
            </m:r>
          </m:sub>
        </m:sSub>
      </m:oMath>
      <w:r>
        <w:t xml:space="preserve">ich composite (Tier 1+2; Section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w:t>
      </w:r>
      <m:oMath>
        <m:sSub>
          <m:e>
            <m:r>
              <m:rPr>
                <m:nor/>
                <m:sty m:val="p"/>
              </m:rPr>
              <m:t>TCI</m:t>
            </m:r>
          </m:e>
          <m:sub>
            <m:r>
              <m:t>z</m:t>
            </m:r>
          </m:sub>
        </m:sSub>
      </m:oMath>
      <w:r>
        <w:t xml:space="preserve"> </w:t>
      </w:r>
      <w:r>
        <w:t xml:space="preserve">= 0.215 to 0.128 to 0.123) but with moderation</w:t>
      </w:r>
    </w:p>
    <w:p>
      <w:pPr>
        <w:pStyle w:val="BodyText"/>
      </w:pPr>
      <w:r>
        <w:t xml:space="preserve">that survives in the 2009, 2023 and pooled panels. Website-based digital presence follows a nonmonotonic trajectory, strong in 2009 (</w:t>
      </w:r>
      <m:oMath>
        <m:r>
          <m:t>β</m:t>
        </m:r>
      </m:oMath>
      <w:r>
        <w:t xml:space="preserve"> </w:t>
      </w:r>
      <w:r>
        <w:t xml:space="preserve">= 0.175 ***), null in 2015 (</w:t>
      </w:r>
      <m:oMath>
        <m:r>
          <m:t>β</m:t>
        </m:r>
      </m:oMath>
      <w:r>
        <w:t xml:space="preserve"> </w:t>
      </w:r>
      <w:r>
        <w:t xml:space="preserve">= -0.044 n.s.), and</w:t>
      </w:r>
      <w:r>
        <w:t xml:space="preserve"> </w:t>
      </w:r>
      <w:r>
        <w:t xml:space="preserve">re-emerging in 2023 (</w:t>
      </w:r>
      <m:oMath>
        <m:r>
          <m:t>β</m:t>
        </m:r>
      </m:oMath>
      <w:r>
        <w:t xml:space="preserve"> </w:t>
      </w:r>
      <w:r>
        <w:t xml:space="preserve">= 0.095 *), and its moderation channel materialises only in 2023.</w:t>
      </w:r>
      <w:r>
        <w:t xml:space="preserve"> </w:t>
      </w:r>
      <w:r>
        <w:t xml:space="preserve">The Paternoster cross-wave z-tests reported in Section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w:t>
      </w:r>
      <w:r>
        <w:t xml:space="preserve"> </w:t>
      </w:r>
      <m:oMath>
        <m:r>
          <m:rPr>
            <m:sty m:val="p"/>
          </m:rPr>
          <m:t>×</m:t>
        </m:r>
      </m:oMath>
      <w:r>
        <w:t xml:space="preserve"> </w:t>
      </w:r>
      <w:r>
        <w:t xml:space="preserve">focal interaction test (reported as Panel I in 4.5)</w:t>
      </w:r>
    </w:p>
    <w:p>
      <w:pPr>
        <w:pStyle w:val="BodyText"/>
      </w:pPr>
      <w:r>
        <w:t xml:space="preserve">suggests that only the DAI direct shifts are cross-wave-distinguishable; the FSTS curvature and</w:t>
      </w:r>
      <w:r>
        <w:t xml:space="preserve"> </w:t>
      </w:r>
      <w:r>
        <w:t xml:space="preserve">the</w:t>
      </w:r>
      <w:r>
        <w:t xml:space="preserve"> </w:t>
      </w:r>
      <m:oMath>
        <m:r>
          <m:rPr>
            <m:nor/>
            <m:sty m:val="p"/>
          </m:rPr>
          <m:t>FSTS</m:t>
        </m:r>
        <m:r>
          <m:rPr>
            <m:sty m:val="p"/>
          </m:rPr>
          <m:t>×</m:t>
        </m:r>
        <m:r>
          <m:rPr>
            <m:nor/>
            <m:sty m:val="p"/>
          </m:rPr>
          <m:t>DAI</m:t>
        </m:r>
      </m:oMath>
      <w:r>
        <w:t xml:space="preserve"> </w:t>
      </w:r>
      <w:r>
        <w:t xml:space="preserve">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 I–P curvature is unusually sharp (</w:t>
      </w:r>
      <m:oMath>
        <m:sSubSup>
          <m:e>
            <m:r>
              <m:rPr>
                <m:nor/>
                <m:sty m:val="p"/>
              </m:rPr>
              <m:t>FSTS</m:t>
            </m:r>
          </m:e>
          <m:sub>
            <m:r>
              <m:t>c</m:t>
            </m:r>
          </m:sub>
          <m:sup>
            <m:r>
              <m:t>2</m:t>
            </m:r>
          </m:sup>
        </m:sSubSup>
      </m:oMath>
      <w:r>
        <w:t xml:space="preserve"> </w:t>
      </w:r>
      <w:r>
        <w:t xml:space="preserve">= -2.115, p = .004 in M2) but the digital channel compresses entirely:</w:t>
      </w:r>
      <w:r>
        <w:t xml:space="preserve"> </w:t>
      </w:r>
      <m:oMath>
        <m:sSub>
          <m:e>
            <m:r>
              <m:rPr>
                <m:nor/>
                <m:sty m:val="p"/>
              </m:rPr>
              <m:t>DAI</m:t>
            </m:r>
          </m:e>
          <m:sub>
            <m:r>
              <m:t>z</m:t>
            </m:r>
          </m:sub>
        </m:sSub>
      </m:oMath>
      <w:r>
        <w:t xml:space="preserve"> </w:t>
      </w:r>
      <w:r>
        <w:t xml:space="preserve">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interaction suggests that this conditional channel binds primarily at</w:t>
      </w:r>
      <w:r>
        <w:t xml:space="preserve"> </w:t>
      </w:r>
      <w:r>
        <w:t xml:space="preserve">higher export intensity rather than uniformly across the export-intensity range.</w:t>
      </w:r>
    </w:p>
    <w:bookmarkEnd w:id="42"/>
    <w:bookmarkStart w:id="55" w:name="Xaa4851a9c1b3e08eeca0ab72ae930e2b05bff75"/>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w:t>
      </w:r>
      <w:r>
        <w:t xml:space="preserve"> </w:t>
      </w:r>
      <m:oMath>
        <m:sSub>
          <m:e>
            <m:r>
              <m:rPr>
                <m:nor/>
                <m:sty m:val="p"/>
              </m:rPr>
              <m:t>FSTS</m:t>
            </m:r>
          </m:e>
          <m:sub>
            <m:r>
              <m:t>c</m:t>
            </m:r>
          </m:sub>
        </m:sSub>
      </m:oMath>
      <w:r>
        <w:t xml:space="preserve"> </w:t>
      </w:r>
      <w:r>
        <w:t xml:space="preserve">term is positive (</w:t>
      </w:r>
      <m:oMath>
        <m:r>
          <m:t>β</m:t>
        </m:r>
      </m:oMath>
      <w:r>
        <w:t xml:space="preserve"> </w:t>
      </w:r>
      <w:r>
        <w:t xml:space="preserve">= 0.984, p &lt; .001) and the quadratic</w:t>
      </w:r>
      <w:r>
        <w:t xml:space="preserve"> </w:t>
      </w:r>
      <m:oMath>
        <m:sSubSup>
          <m:e>
            <m:r>
              <m:rPr>
                <m:nor/>
                <m:sty m:val="p"/>
              </m:rPr>
              <m:t>FSTS</m:t>
            </m:r>
          </m:e>
          <m:sub>
            <m:r>
              <m:t>c</m:t>
            </m:r>
          </m:sub>
          <m:sup>
            <m:r>
              <m:t>2</m:t>
            </m:r>
          </m:sup>
        </m:sSubSup>
      </m:oMath>
      <w:r>
        <w:t xml:space="preserve"> </w:t>
      </w:r>
      <w:r>
        <w:t xml:space="preserve">term is negative (</w:t>
      </w:r>
      <m:oMath>
        <m:r>
          <m:t>β</m:t>
        </m:r>
      </m:oMath>
      <w:r>
        <w:t xml:space="preserve"> </w:t>
      </w:r>
      <w:r>
        <w:t xml:space="preserve">= -1.909, p &lt; .001); the Lind–Mehlum test rejects monotonicity at p &lt; .001 with an estimated turning point at 39.7 per cent of direct-export intensity. Following Haans, Pieters, and He (2016), all four formal conditions for a genuine inverted-U are met: (C1)</w:t>
      </w:r>
      <w:r>
        <w:t xml:space="preserve"> </w:t>
      </w:r>
      <m:oMath>
        <m:sSub>
          <m:e>
            <m:r>
              <m:t>β</m:t>
            </m:r>
          </m:e>
          <m:sub>
            <m:r>
              <m:t>1</m:t>
            </m:r>
          </m:sub>
        </m:sSub>
      </m:oMath>
      <w:r>
        <w:t xml:space="preserve"> </w:t>
      </w:r>
      <w:r>
        <w:t xml:space="preserve">= +0.984 (p &lt; .001), confirming a positive ascending limb; (C2)</w:t>
      </w:r>
      <w:r>
        <w:t xml:space="preserve"> </w:t>
      </w:r>
      <m:oMath>
        <m:sSub>
          <m:e>
            <m:r>
              <m:t>β</m:t>
            </m:r>
          </m:e>
          <m:sub>
            <m:r>
              <m:t>2</m:t>
            </m:r>
          </m:sub>
        </m:sSub>
      </m:oMath>
      <w:r>
        <w:t xml:space="preserve"> </w:t>
      </w:r>
      <w:r>
        <w:t xml:space="preserve">= −1.909 (p &lt; .001), confirming concavity; (C3) TP* = −</w:t>
      </w:r>
      <m:oMath>
        <m:sSub>
          <m:e>
            <m:r>
              <m:t>β</m:t>
            </m:r>
          </m:e>
          <m:sub>
            <m:r>
              <m:t>1</m:t>
            </m:r>
          </m:sub>
        </m:sSub>
      </m:oMath>
      <w:r>
        <w:t xml:space="preserve">/(2</w:t>
      </w:r>
      <m:oMath>
        <m:sSub>
          <m:e>
            <m:r>
              <m:t>β</m:t>
            </m:r>
          </m:e>
          <m:sub>
            <m:r>
              <m:t>2</m:t>
            </m:r>
          </m:sub>
        </m:sSub>
      </m:oMath>
      <w:r>
        <w:t xml:space="preserve">) = 39.7% falls within the observed FSTS range [0%, 100%]; and (C4) the predicted marginal return of internationalisation is positive at the lower data bound (FSTS = 0%, slope</w:t>
      </w:r>
      <w:r>
        <w:t xml:space="preserve"> </w:t>
      </w:r>
      <m:oMath>
        <m:r>
          <m:rPr>
            <m:sty m:val="p"/>
          </m:rPr>
          <m:t>≈</m:t>
        </m:r>
      </m:oMath>
      <w:r>
        <w:t xml:space="preserve"> </w:t>
      </w:r>
      <w:r>
        <w:t xml:space="preserve">+1.52) and negative at the upper data bound (FSTS = 100%, slope</w:t>
      </w:r>
      <w:r>
        <w:t xml:space="preserve"> </w:t>
      </w:r>
      <m:oMath>
        <m:r>
          <m:rPr>
            <m:sty m:val="p"/>
          </m:rPr>
          <m:t>≈</m:t>
        </m:r>
      </m:oMath>
      <w:r>
        <w:t xml:space="preserve"> </w:t>
      </w:r>
      <w:r>
        <w:t xml:space="preserve">−2.30), with opposite signs confirmed by the Lind–Mehlum (2010) u-test (p &lt; .001 binding). The curvature persists in the full M8 specification (</w:t>
      </w:r>
      <m:oMath>
        <m:sSub>
          <m:e>
            <m:r>
              <m:rPr>
                <m:nor/>
                <m:sty m:val="p"/>
              </m:rPr>
              <m:t>FSTS</m:t>
            </m:r>
          </m:e>
          <m:sub>
            <m:r>
              <m:t>c</m:t>
            </m:r>
          </m:sub>
        </m:sSub>
      </m:oMath>
      <w:r>
        <w:t xml:space="preserve"> </w:t>
      </w:r>
      <m:oMath>
        <m:r>
          <m:t>β</m:t>
        </m:r>
      </m:oMath>
      <w:r>
        <w:t xml:space="preserve"> </w:t>
      </w:r>
      <w:r>
        <w:t xml:space="preserve">= 0.845, p = .006;</w:t>
      </w:r>
      <w:r>
        <w:t xml:space="preserve"> </w:t>
      </w:r>
      <m:oMath>
        <m:sSubSup>
          <m:e>
            <m:r>
              <m:rPr>
                <m:nor/>
                <m:sty m:val="p"/>
              </m:rPr>
              <m:t>FSTS</m:t>
            </m:r>
          </m:e>
          <m:sub>
            <m:r>
              <m:t>c</m:t>
            </m:r>
          </m:sub>
          <m:sup>
            <m:r>
              <m:t>2</m:t>
            </m:r>
          </m:sup>
        </m:sSubSup>
      </m:oMath>
      <w:r>
        <w:t xml:space="preserve"> </w:t>
      </w:r>
      <m:oMath>
        <m:r>
          <m:t>β</m:t>
        </m:r>
      </m:oMath>
      <w:r>
        <w:t xml:space="preserve"> </w:t>
      </w:r>
      <w:r>
        <w:t xml:space="preserve">=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w:t>
      </w:r>
      <w:r>
        <w:t xml:space="preserve"> </w:t>
      </w:r>
      <m:oMath>
        <m:sSub>
          <m:e>
            <m:r>
              <m:t>β</m:t>
            </m:r>
          </m:e>
          <m:sub>
            <m:r>
              <m:t>1</m:t>
            </m:r>
          </m:sub>
        </m:sSub>
      </m:oMath>
      <w:r>
        <w:t xml:space="preserve"> </w:t>
      </w:r>
      <w:r>
        <w:t xml:space="preserve">+ 2</w:t>
      </w:r>
      <m:oMath>
        <m:sSub>
          <m:e>
            <m:r>
              <m:t>β</m:t>
            </m:r>
          </m:e>
          <m:sub>
            <m:r>
              <m:t>2</m:t>
            </m:r>
          </m:sub>
        </m:sSub>
      </m:oMath>
      <w:r>
        <w:t xml:space="preserve"> </w:t>
      </w:r>
      <m:oMath>
        <m:r>
          <m:rPr>
            <m:sty m:val="p"/>
          </m:rPr>
          <m:t>×</m:t>
        </m:r>
      </m:oMath>
      <w:r>
        <w:t xml:space="preserve"> </w:t>
      </w:r>
      <w:r>
        <w:t xml:space="preserve">(FSTS − mean_FSTS) where</w:t>
      </w:r>
      <w:r>
        <w:t xml:space="preserve"> </w:t>
      </w:r>
      <m:oMath>
        <m:sSub>
          <m:e>
            <m:r>
              <m:t>β</m:t>
            </m:r>
          </m:e>
          <m:sub>
            <m:r>
              <m:t>1</m:t>
            </m:r>
          </m:sub>
        </m:sSub>
      </m:oMath>
      <w:r>
        <w:t xml:space="preserve"> </w:t>
      </w:r>
      <w:r>
        <w:t xml:space="preserve">= 0.984,</w:t>
      </w:r>
      <w:r>
        <w:t xml:space="preserve"> </w:t>
      </w:r>
      <m:oMath>
        <m:sSub>
          <m:e>
            <m:r>
              <m:t>β</m:t>
            </m:r>
          </m:e>
          <m:sub>
            <m:r>
              <m:t>2</m:t>
            </m:r>
          </m:sub>
        </m:sSub>
      </m:oMath>
      <w:r>
        <w:t xml:space="preserve"> </w:t>
      </w:r>
      <w:r>
        <w:t xml:space="preserve">= −1.909, mean_FSTS</w:t>
      </w:r>
      <w:r>
        <w:t xml:space="preserve"> </w:t>
      </w:r>
      <m:oMath>
        <m:r>
          <m:rPr>
            <m:sty m:val="p"/>
          </m:rPr>
          <m:t>≈</m:t>
        </m:r>
      </m:oMath>
      <w:r>
        <w:t xml:space="preserve"> </w:t>
      </w:r>
      <w:r>
        <w:t xml:space="preserve">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w:t>
      </w:r>
      <w:r>
        <w:t xml:space="preserve"> </w:t>
      </w:r>
      <m:oMath>
        <m:sSub>
          <m:e>
            <m:r>
              <m:rPr>
                <m:nor/>
                <m:sty m:val="p"/>
              </m:rPr>
              <m:t>TCI</m:t>
            </m:r>
          </m:e>
          <m:sub>
            <m:r>
              <m:t>z</m:t>
            </m:r>
          </m:sub>
        </m:sSub>
      </m:oMath>
      <w:r>
        <w:t xml:space="preserve"> </w:t>
      </w:r>
      <w:r>
        <w:t xml:space="preserve">is positive (</w:t>
      </w:r>
      <m:oMath>
        <m:r>
          <m:t>β</m:t>
        </m:r>
      </m:oMath>
      <w:r>
        <w:t xml:space="preserve"> </w:t>
      </w:r>
      <w:r>
        <w:t xml:space="preserve">= 0.179, p &lt; .001), and</w:t>
      </w:r>
      <w:r>
        <w:t xml:space="preserve"> </w:t>
      </w:r>
      <m:oMath>
        <m:sSub>
          <m:e>
            <m:r>
              <m:rPr>
                <m:nor/>
                <m:sty m:val="p"/>
              </m:rPr>
              <m:t>DAI</m:t>
            </m:r>
          </m:e>
          <m:sub>
            <m:r>
              <m:t>z</m:t>
            </m:r>
          </m:sub>
        </m:sSub>
      </m:oMath>
      <w:r>
        <w:t xml:space="preserve"> </w:t>
      </w:r>
      <w:r>
        <w:t xml:space="preserve">is positive and significant (</w:t>
      </w:r>
      <m:oMath>
        <m:r>
          <m:t>β</m:t>
        </m:r>
      </m:oMath>
      <w:r>
        <w:t xml:space="preserve"> </w:t>
      </w:r>
      <w:r>
        <w:t xml:space="preserve">= 0.078, p = .004). In the full M8 specification, the</w:t>
      </w:r>
      <w:r>
        <w:t xml:space="preserve"> </w:t>
      </w:r>
      <m:oMath>
        <m:sSub>
          <m:e>
            <m:r>
              <m:rPr>
                <m:nor/>
                <m:sty m:val="p"/>
              </m:rPr>
              <m:t>TCI</m:t>
            </m:r>
          </m:e>
          <m:sub>
            <m:r>
              <m:t>z</m:t>
            </m:r>
          </m:sub>
        </m:sSub>
      </m:oMath>
      <w:r>
        <w:t xml:space="preserve"> </w:t>
      </w:r>
      <w:r>
        <w:t xml:space="preserve">coefficient is essentially unchanged (</w:t>
      </w:r>
      <m:oMath>
        <m:r>
          <m:t>β</m:t>
        </m:r>
      </m:oMath>
      <w:r>
        <w:t xml:space="preserve"> </w:t>
      </w:r>
      <w:r>
        <w:t xml:space="preserve">= 0.184, p &lt; .001), while the</w:t>
      </w:r>
      <w:r>
        <w:t xml:space="preserve"> </w:t>
      </w:r>
      <m:oMath>
        <m:sSub>
          <m:e>
            <m:r>
              <m:rPr>
                <m:nor/>
                <m:sty m:val="p"/>
              </m:rPr>
              <m:t>DAI</m:t>
            </m:r>
          </m:e>
          <m:sub>
            <m:r>
              <m:t>z</m:t>
            </m:r>
          </m:sub>
        </m:sSub>
      </m:oMath>
      <w:r>
        <w:t xml:space="preserve"> </w:t>
      </w:r>
      <w:r>
        <w:t xml:space="preserve">direct coefficient becomes statistically indistinguishable from zero (</w:t>
      </w:r>
      <m:oMath>
        <m:r>
          <m:t>β</m:t>
        </m:r>
      </m:oMath>
      <w:r>
        <w:t xml:space="preserve"> </w:t>
      </w:r>
      <w:r>
        <w:t xml:space="preserve">= 0.032, p = .537) once the interaction terms are entered.</w:t>
      </w:r>
      <w:r>
        <w:t xml:space="preserve"> </w:t>
      </w:r>
      <w:r>
        <w:t xml:space="preserve">This sensitivity is consistent with the interpretation that</w:t>
      </w:r>
      <w:r>
        <w:t xml:space="preserve"> </w:t>
      </w:r>
      <m:oMath>
        <m:sSub>
          <m:e>
            <m:r>
              <m:rPr>
                <m:nor/>
                <m:sty m:val="p"/>
              </m:rPr>
              <m:t>DAI</m:t>
            </m:r>
          </m:e>
          <m:sub>
            <m:r>
              <m:t>z</m:t>
            </m:r>
          </m:sub>
        </m:sSub>
      </m:oMath>
      <w:r>
        <w:t xml:space="preserve"> </w:t>
      </w:r>
      <w:r>
        <w:t xml:space="preserve">combines a positive level effect</w:t>
      </w:r>
      <w:r>
        <w:t xml:space="preserve"> </w:t>
      </w:r>
      <w:r>
        <w:t xml:space="preserve">with a negative interaction with</w:t>
      </w:r>
      <w:r>
        <w:t xml:space="preserve"> </w:t>
      </w:r>
      <m:oMath>
        <m:sSub>
          <m:e>
            <m:r>
              <m:rPr>
                <m:nor/>
                <m:sty m:val="p"/>
              </m:rPr>
              <m:t>FSTS</m:t>
            </m:r>
          </m:e>
          <m:sub>
            <m:r>
              <m:t>c</m:t>
            </m:r>
          </m:sub>
        </m:sSub>
      </m:oMath>
      <w:r>
        <w:t xml:space="preserve"> </w:t>
      </w:r>
      <w:r>
        <w:t xml:space="preserve">at higher export intensities, precisely the pattern</w:t>
      </w:r>
    </w:p>
    <w:p>
      <w:pPr>
        <w:pStyle w:val="BodyText"/>
      </w:pPr>
      <w:r>
        <w:t xml:space="preserve">documented in 4.1 for the 2023 wave.</w:t>
      </w:r>
      <w:r>
        <w:t xml:space="preserve"> </w:t>
      </w:r>
      <w:r>
        <w:t xml:space="preserve">The pooled interaction terms involving</w:t>
      </w:r>
      <w:r>
        <w:t xml:space="preserve"> </w:t>
      </w:r>
      <m:oMath>
        <m:sSub>
          <m:e>
            <m:r>
              <m:rPr>
                <m:nor/>
                <m:sty m:val="p"/>
              </m:rPr>
              <m:t>DAI</m:t>
            </m:r>
          </m:e>
          <m:sub>
            <m:r>
              <m:t>z</m:t>
            </m:r>
          </m:sub>
        </m:sSub>
      </m:oMath>
      <w:r>
        <w:t xml:space="preserve"> </w:t>
      </w:r>
      <w:r>
        <w:t xml:space="preserve">carry a marginal joint signal. The linear interaction is negative but not individually significant (</w:t>
      </w:r>
      <m:oMath>
        <m:sSub>
          <m:e>
            <m:r>
              <m:rPr>
                <m:nor/>
                <m:sty m:val="p"/>
              </m:rPr>
              <m:t>FSTS</m:t>
            </m:r>
          </m:e>
          <m:sub>
            <m:r>
              <m:t>c</m:t>
            </m:r>
          </m:sub>
        </m:sSub>
        <m:r>
          <m:rPr>
            <m:sty m:val="p"/>
          </m:rPr>
          <m:t>×</m:t>
        </m:r>
        <m:sSub>
          <m:e>
            <m:r>
              <m:rPr>
                <m:nor/>
                <m:sty m:val="p"/>
              </m:rPr>
              <m:t>DAI</m:t>
            </m:r>
          </m:e>
          <m:sub>
            <m:r>
              <m:t>z</m:t>
            </m:r>
          </m:sub>
        </m:sSub>
      </m:oMath>
      <w:r>
        <w:t xml:space="preserve"> </w:t>
      </w:r>
      <w:r>
        <w:t xml:space="preserve">= -0.448, p = .116), and the quadratic interaction is positive but not significant (</w:t>
      </w:r>
      <m:oMath>
        <m:sSubSup>
          <m:e>
            <m:r>
              <m:rPr>
                <m:nor/>
                <m:sty m:val="p"/>
              </m:rPr>
              <m:t>FSTS</m:t>
            </m:r>
          </m:e>
          <m:sub>
            <m:r>
              <m:t>c</m:t>
            </m:r>
          </m:sub>
          <m:sup>
            <m:r>
              <m:t>2</m:t>
            </m:r>
          </m:sup>
        </m:sSubSup>
        <m:r>
          <m:rPr>
            <m:sty m:val="p"/>
          </m:rPr>
          <m:t>×</m:t>
        </m:r>
        <m:sSub>
          <m:e>
            <m:r>
              <m:rPr>
                <m:nor/>
                <m:sty m:val="p"/>
              </m:rPr>
              <m:t>DAI</m:t>
            </m:r>
          </m:e>
          <m:sub>
            <m:r>
              <m:t>z</m:t>
            </m:r>
          </m:sub>
        </m:sSub>
      </m:oMath>
      <w:r>
        <w:t xml:space="preserve"> </w:t>
      </w:r>
      <w:r>
        <w:t xml:space="preserve">=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w:t>
      </w:r>
      <w:r>
        <w:t xml:space="preserve"> </w:t>
      </w:r>
      <m:oMath>
        <m:sSub>
          <m:e>
            <m:r>
              <m:rPr>
                <m:nor/>
                <m:sty m:val="p"/>
              </m:rPr>
              <m:t>FSTS</m:t>
            </m:r>
          </m:e>
          <m:sub>
            <m:r>
              <m:t>c</m:t>
            </m:r>
          </m:sub>
        </m:sSub>
        <m:r>
          <m:rPr>
            <m:sty m:val="p"/>
          </m:rPr>
          <m:t>×</m:t>
        </m:r>
        <m:sSub>
          <m:e>
            <m:r>
              <m:rPr>
                <m:nor/>
                <m:sty m:val="p"/>
              </m:rPr>
              <m:t>TCI</m:t>
            </m:r>
          </m:e>
          <m:sub>
            <m:r>
              <m:t>z</m:t>
            </m:r>
          </m:sub>
        </m:sSub>
      </m:oMath>
      <w:r>
        <w:t xml:space="preserve"> </w:t>
      </w:r>
      <w:r>
        <w:t xml:space="preserve">and</w:t>
      </w:r>
      <w:r>
        <w:t xml:space="preserve"> </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is statistically distinguishable from zero in three of four panels (2009 p = .040, 2023 p = .027, pooled p = .003) and null only in 2015 (p = .713). Pooled, the linear interaction is negative (</w:t>
      </w:r>
      <m:oMath>
        <m:sSub>
          <m:e>
            <m:r>
              <m:rPr>
                <m:nor/>
                <m:sty m:val="p"/>
              </m:rPr>
              <m:t>FSTS</m:t>
            </m:r>
          </m:e>
          <m:sub>
            <m:r>
              <m:t>c</m:t>
            </m:r>
          </m:sub>
        </m:sSub>
        <m:r>
          <m:rPr>
            <m:sty m:val="p"/>
          </m:rPr>
          <m:t>×</m:t>
        </m:r>
        <m:sSub>
          <m:e>
            <m:r>
              <m:rPr>
                <m:nor/>
                <m:sty m:val="p"/>
              </m:rPr>
              <m:t>TCI</m:t>
            </m:r>
          </m:e>
          <m:sub>
            <m:r>
              <m:t>z</m:t>
            </m:r>
          </m:sub>
        </m:sSub>
      </m:oMath>
      <w:r>
        <w:t xml:space="preserve"> </w:t>
      </w:r>
      <w:r>
        <w:t xml:space="preserve">= -0.587, p = .003) and the quadratic is positive (</w:t>
      </w:r>
      <m:oMath>
        <m:sSubSup>
          <m:e>
            <m:r>
              <m:rPr>
                <m:nor/>
                <m:sty m:val="p"/>
              </m:rPr>
              <m:t>FSTS</m:t>
            </m:r>
          </m:e>
          <m:sub>
            <m:r>
              <m:t>c</m:t>
            </m:r>
          </m:sub>
          <m:sup>
            <m:r>
              <m:t>2</m:t>
            </m:r>
          </m:sup>
        </m:sSubSup>
        <m:r>
          <m:rPr>
            <m:sty m:val="p"/>
          </m:rPr>
          <m:t>×</m:t>
        </m:r>
        <m:sSub>
          <m:e>
            <m:r>
              <m:rPr>
                <m:nor/>
                <m:sty m:val="p"/>
              </m:rPr>
              <m:t>TCI</m:t>
            </m:r>
          </m:e>
          <m:sub>
            <m:r>
              <m:t>z</m:t>
            </m:r>
          </m:sub>
        </m:sSub>
      </m:oMath>
      <w:r>
        <w:t xml:space="preserve"> </w:t>
      </w:r>
      <w:r>
        <w:t xml:space="preserve">=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4079976"/>
            <wp:effectExtent b="0" l="0" r="0" t="0"/>
            <wp:docPr descr="Figure 2a: Wave 2009, predicted ln(labour productivity) vs FSTS" title="" id="44" name="Picture"/>
            <a:graphic>
              <a:graphicData uri="http://schemas.openxmlformats.org/drawingml/2006/picture">
                <pic:pic>
                  <pic:nvPicPr>
                    <pic:cNvPr descr="figures/vietnam/figure_2a.png" id="45" name="Picture"/>
                    <pic:cNvPicPr>
                      <a:picLocks noChangeArrowheads="1" noChangeAspect="1"/>
                    </pic:cNvPicPr>
                  </pic:nvPicPr>
                  <pic:blipFill>
                    <a:blip r:embed="rId43"/>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w:t>
      </w:r>
      <w:r>
        <w:t xml:space="preserve"> </w:t>
      </w:r>
      <m:oMath>
        <m:r>
          <m:rPr>
            <m:sty m:val="p"/>
          </m:rPr>
          <m:t>≈</m:t>
        </m:r>
      </m:oMath>
      <w:r>
        <w:t xml:space="preserve"> </w:t>
      </w:r>
      <w:r>
        <w:t xml:space="preserve">46% FSTS (Lind-Mehlum p = .006).</w:t>
      </w:r>
    </w:p>
    <w:p>
      <w:pPr>
        <w:pStyle w:val="BodyText"/>
      </w:pPr>
      <w:r>
        <w:drawing>
          <wp:inline>
            <wp:extent cx="5753100" cy="4081948"/>
            <wp:effectExtent b="0" l="0" r="0" t="0"/>
            <wp:docPr descr="Figure 2b: Wave 2015, predicted ln(labour productivity) vs FSTS" title="" id="47" name="Picture"/>
            <a:graphic>
              <a:graphicData uri="http://schemas.openxmlformats.org/drawingml/2006/picture">
                <pic:pic>
                  <pic:nvPicPr>
                    <pic:cNvPr descr="figures/vietnam/figure_2b.png" id="48" name="Picture"/>
                    <pic:cNvPicPr>
                      <a:picLocks noChangeArrowheads="1" noChangeAspect="1"/>
                    </pic:cNvPicPr>
                  </pic:nvPicPr>
                  <pic:blipFill>
                    <a:blip r:embed="rId46"/>
                    <a:stretch>
                      <a:fillRect/>
                    </a:stretch>
                  </pic:blipFill>
                  <pic:spPr bwMode="auto">
                    <a:xfrm>
                      <a:off x="0" y="0"/>
                      <a:ext cx="5753100" cy="4081948"/>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w:t>
      </w:r>
      <w:r>
        <w:t xml:space="preserve"> </w:t>
      </w:r>
      <m:oMath>
        <m:r>
          <m:rPr>
            <m:sty m:val="p"/>
          </m:rPr>
          <m:t>≈</m:t>
        </m:r>
      </m:oMath>
      <w:r>
        <w:t xml:space="preserve"> </w:t>
      </w:r>
      <w:r>
        <w:t xml:space="preserve">39% FSTS (Lind-Mehlum p = .009).</w:t>
      </w:r>
    </w:p>
    <w:p>
      <w:pPr>
        <w:pStyle w:val="BodyText"/>
      </w:pPr>
      <w:r>
        <w:drawing>
          <wp:inline>
            <wp:extent cx="5753100" cy="4079976"/>
            <wp:effectExtent b="0" l="0" r="0" t="0"/>
            <wp:docPr descr="Figure 2c: Wave 2023, predicted ln(labour productivity) vs FSTS" title="" id="50" name="Picture"/>
            <a:graphic>
              <a:graphicData uri="http://schemas.openxmlformats.org/drawingml/2006/picture">
                <pic:pic>
                  <pic:nvPicPr>
                    <pic:cNvPr descr="figures/vietnam/figure_2c.png" id="51" name="Picture"/>
                    <pic:cNvPicPr>
                      <a:picLocks noChangeArrowheads="1" noChangeAspect="1"/>
                    </pic:cNvPicPr>
                  </pic:nvPicPr>
                  <pic:blipFill>
                    <a:blip r:embed="rId49"/>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w:t>
      </w:r>
      <w:r>
        <w:t xml:space="preserve"> </w:t>
      </w:r>
      <m:oMath>
        <m:r>
          <m:rPr>
            <m:sty m:val="p"/>
          </m:rPr>
          <m:t>≈</m:t>
        </m:r>
      </m:oMath>
      <w:r>
        <w:t xml:space="preserve"> </w:t>
      </w:r>
      <w:r>
        <w:t xml:space="preserve">42% FSTS (Lind-Mehlum p = .013).</w:t>
      </w:r>
    </w:p>
    <w:p>
      <w:pPr>
        <w:pStyle w:val="BodyText"/>
      </w:pPr>
      <w:r>
        <w:drawing>
          <wp:inline>
            <wp:extent cx="5753100" cy="4079976"/>
            <wp:effectExtent b="0" l="0" r="0" t="0"/>
            <wp:docPr descr="Figure 2d: Pooled (2009+2015+2023), predicted ln(labour productivity) vs FSTS" title="" id="53" name="Picture"/>
            <a:graphic>
              <a:graphicData uri="http://schemas.openxmlformats.org/drawingml/2006/picture">
                <pic:pic>
                  <pic:nvPicPr>
                    <pic:cNvPr descr="figures/vietnam/figure_2d.png" id="54" name="Picture"/>
                    <pic:cNvPicPr>
                      <a:picLocks noChangeArrowheads="1" noChangeAspect="1"/>
                    </pic:cNvPicPr>
                  </pic:nvPicPr>
                  <pic:blipFill>
                    <a:blip r:embed="rId52"/>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w:t>
      </w:r>
      <w:r>
        <w:t xml:space="preserve"> </w:t>
      </w:r>
      <m:oMath>
        <m:r>
          <m:rPr>
            <m:sty m:val="p"/>
          </m:rPr>
          <m:t>≈</m:t>
        </m:r>
      </m:oMath>
      <w:r>
        <w:t xml:space="preserve"> </w:t>
      </w:r>
      <w:r>
        <w:t xml:space="preserve">40% FSTS (Lind-Mehlum p &lt; .001).</w:t>
      </w:r>
    </w:p>
    <w:bookmarkEnd w:id="55"/>
    <w:bookmarkStart w:id="59"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coordination capacity, contract enforcement, and trade-finance access, that change more slowly than the wider operating environment. This within-WBES cross-wave evidence complements the institutional-context channel identified in meta-analyses of the I–P relationship (Wu, Fan, &amp; Chen, 2022, MIR; Marano et al., 2016).</w:t>
      </w:r>
    </w:p>
    <w:p>
      <w:pPr>
        <w:pStyle w:val="BodyText"/>
      </w:pPr>
      <w:r>
        <w:t xml:space="preserve">H2 is supported: the positive</w:t>
      </w:r>
      <w:r>
        <w:t xml:space="preserve"> </w:t>
      </w:r>
      <m:oMath>
        <m:sSub>
          <m:e>
            <m:r>
              <m:rPr>
                <m:nor/>
                <m:sty m:val="p"/>
              </m:rPr>
              <m:t>TCI</m:t>
            </m:r>
          </m:e>
          <m:sub>
            <m:r>
              <m:t>z</m:t>
            </m:r>
          </m:sub>
        </m:sSub>
      </m:oMath>
      <w:r>
        <w:t xml:space="preserve"> </w:t>
      </w:r>
      <w:r>
        <w:t xml:space="preserve">direct coefficient (pooled</w:t>
      </w:r>
      <w:r>
        <w:t xml:space="preserve"> </w:t>
      </w:r>
      <m:oMath>
        <m:r>
          <m:t>β</m:t>
        </m:r>
      </m:oMath>
      <w:r>
        <w:t xml:space="preserve"> </w:t>
      </w:r>
      <w:r>
        <w:t xml:space="preserve">= 0.179, p &lt; .001) is statistically significant in all three wave-specific periods (2009 p &lt; .001; 2015 p = .010; 2023 p = .006), and statistically distinguishable TCI moderation appears in three of four panels (M3 joint p = .040, .713, .027 and .003). The baseline</w:t>
      </w:r>
      <w:r>
        <w:t xml:space="preserve"> </w:t>
      </w:r>
      <m:oMath>
        <m:sSub>
          <m:e>
            <m:r>
              <m:rPr>
                <m:nor/>
                <m:sty m:val="p"/>
              </m:rPr>
              <m:t>DAI</m:t>
            </m:r>
          </m:e>
          <m:sub>
            <m:r>
              <m:t>z</m:t>
            </m:r>
          </m:sub>
        </m:sSub>
      </m:oMath>
      <w:r>
        <w:t xml:space="preserve"> </w:t>
      </w:r>
      <w:r>
        <w:t xml:space="preserve">control reports a positive pooled level association (</w:t>
      </w:r>
      <m:oMath>
        <m:r>
          <m:t>β</m:t>
        </m:r>
      </m:oMath>
      <w:r>
        <w:t xml:space="preserve"> </w:t>
      </w:r>
      <w:r>
        <w:t xml:space="preserve">= 0.078, p = .004) but with substantial wave-to-wave variability, strong in 2009 (</w:t>
      </w:r>
      <m:oMath>
        <m:r>
          <m:t>β</m:t>
        </m:r>
      </m:oMath>
      <w:r>
        <w:t xml:space="preserve"> </w:t>
      </w:r>
      <w:r>
        <w:t xml:space="preserve">= 0.175, p &lt; .001), null in 2015 (</w:t>
      </w:r>
      <m:oMath>
        <m:r>
          <m:t>β</m:t>
        </m:r>
      </m:oMath>
      <w:r>
        <w:t xml:space="preserve"> </w:t>
      </w:r>
      <w:r>
        <w:t xml:space="preserve">= -0.044, p = .377), and re-emerging in 2023 (</w:t>
      </w:r>
      <m:oMath>
        <m:r>
          <m:t>β</m:t>
        </m:r>
      </m:oMath>
      <w:r>
        <w:t xml:space="preserve"> </w:t>
      </w:r>
      <w:r>
        <w:t xml:space="preserve">= 0.095, p = .038). Because</w:t>
      </w:r>
      <w:r>
        <w:t xml:space="preserve"> </w:t>
      </w:r>
      <m:oMath>
        <m:sSub>
          <m:e>
            <m:r>
              <m:rPr>
                <m:nor/>
                <m:sty m:val="p"/>
              </m:rPr>
              <m:t>DAI</m:t>
            </m:r>
          </m:e>
          <m:sub>
            <m:r>
              <m:t>z</m:t>
            </m:r>
          </m:sub>
        </m:sSub>
      </m:oMath>
      <w:r>
        <w:t xml:space="preserve"> </w:t>
      </w:r>
      <w:r>
        <w:t xml:space="preserve">indexes only Tier-1 website presence and is not formalised as a primary hypothesis in this paper, this wave variation is reported descriptively rather than as a hypothesis test. The Paternoster cross-wave z-tests (Section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w:t>
      </w:r>
      <w:r>
        <w:t xml:space="preserve"> </w:t>
      </w:r>
      <m:oMath>
        <m:r>
          <m:rPr>
            <m:sty m:val="p"/>
          </m:rPr>
          <m:t>×</m:t>
        </m:r>
      </m:oMath>
      <w:r>
        <w:t xml:space="preserve"> </w:t>
      </w:r>
      <w:r>
        <w:t xml:space="preserve">focal interaction test (Panel I)</w:t>
      </w:r>
      <w:r>
        <w:t xml:space="preserve"> </w:t>
      </w:r>
      <w:r>
        <w:t xml:space="preserve">does not detect cross-wave differences in the</w:t>
      </w:r>
      <w:r>
        <w:t xml:space="preserve"> </w:t>
      </w:r>
      <m:oMath>
        <m:r>
          <m:rPr>
            <m:nor/>
            <m:sty m:val="p"/>
          </m:rPr>
          <m:t>FSTS</m:t>
        </m:r>
        <m:r>
          <m:rPr>
            <m:sty m:val="p"/>
          </m:rPr>
          <m:t>×</m:t>
        </m:r>
        <m:r>
          <m:rPr>
            <m:nor/>
            <m:sty m:val="p"/>
          </m:rPr>
          <m:t>DAI</m:t>
        </m:r>
      </m:oMath>
      <w:r>
        <w:t xml:space="preserve"> </w:t>
      </w:r>
      <w:r>
        <w:t xml:space="preserve">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w:t>
      </w:r>
      <w:r>
        <w:t xml:space="preserve"> </w:t>
      </w:r>
      <m:oMath>
        <m:r>
          <m:rPr>
            <m:nor/>
            <m:sty m:val="p"/>
          </m:rPr>
          <m:t>FSTS</m:t>
        </m:r>
        <m:r>
          <m:rPr>
            <m:sty m:val="p"/>
          </m:rPr>
          <m:t>×</m:t>
        </m:r>
        <m:r>
          <m:rPr>
            <m:nor/>
            <m:sty m:val="p"/>
          </m:rPr>
          <m:t>DAI</m:t>
        </m:r>
      </m:oMath>
      <w:r>
        <w:t xml:space="preserve"> </w:t>
      </w:r>
      <w:r>
        <w:t xml:space="preserve">interaction is significant while</w:t>
      </w:r>
      <w:r>
        <w:t xml:space="preserve"> </w:t>
      </w:r>
      <m:oMath>
        <m:sSup>
          <m:e>
            <m:r>
              <m:rPr>
                <m:nor/>
                <m:sty m:val="p"/>
              </m:rPr>
              <m:t>FSTS</m:t>
            </m:r>
          </m:e>
          <m:sup>
            <m:r>
              <m:t>2</m:t>
            </m:r>
          </m:sup>
        </m:sSup>
        <m:r>
          <m:rPr>
            <m:sty m:val="p"/>
          </m:rPr>
          <m:t>×</m:t>
        </m:r>
        <m:r>
          <m:rPr>
            <m:nor/>
            <m:sty m:val="p"/>
          </m:rPr>
          <m:t>DAI</m:t>
        </m:r>
      </m:oMath>
      <w:r>
        <w:t xml:space="preserve"> </w:t>
      </w:r>
      <w:r>
        <w:t xml:space="preserve">is not): the moderator shifts the position of the turning point but preserves the inverted-U shape. Type II moderation flips the shape of the curve (i.e.,</w:t>
      </w:r>
      <w:r>
        <w:t xml:space="preserve"> </w:t>
      </w:r>
      <m:oMath>
        <m:sSup>
          <m:e>
            <m:r>
              <m:rPr>
                <m:nor/>
                <m:sty m:val="p"/>
              </m:rPr>
              <m:t>FSTS</m:t>
            </m:r>
          </m:e>
          <m:sup>
            <m:r>
              <m:t>2</m:t>
            </m:r>
          </m:sup>
        </m:sSup>
        <m:r>
          <m:rPr>
            <m:sty m:val="p"/>
          </m:rPr>
          <m:t>×</m:t>
        </m:r>
        <m:r>
          <m:rPr>
            <m:nor/>
            <m:sty m:val="p"/>
          </m:rPr>
          <m:t>DAI</m:t>
        </m:r>
      </m:oMath>
      <w:r>
        <w:t xml:space="preserve"> </w:t>
      </w:r>
      <w:r>
        <w:t xml:space="preserve">is significant): high versus low moderator values produce qualitatively different functional forms. The 2023 DAI evidence fits Type I: the significant linear interaction</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 −0.912 (p = .043) indicates that digital adoption attenuates the positive slope at low export intensity, pulling the turning point inward, while the</w:t>
      </w:r>
      <w:r>
        <w:t xml:space="preserve"> </w:t>
      </w:r>
      <m:oMath>
        <m:sSup>
          <m:e>
            <m:r>
              <m:rPr>
                <m:nor/>
                <m:sty m:val="p"/>
              </m:rPr>
              <m:t>FSTS</m:t>
            </m:r>
          </m:e>
          <m:sup>
            <m:r>
              <m:t>2</m:t>
            </m:r>
          </m:sup>
        </m:sSup>
        <m:r>
          <m:rPr>
            <m:sty m:val="p"/>
          </m:rPr>
          <m:t>×</m:t>
        </m:r>
        <m:r>
          <m:rPr>
            <m:nor/>
            <m:sty m:val="p"/>
          </m:rPr>
          <m:t>DAI</m:t>
        </m:r>
      </m:oMath>
      <w:r>
        <w:t xml:space="preserve"> </w:t>
      </w:r>
      <w:r>
        <w:t xml:space="preserve">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612646"/>
            <wp:effectExtent b="0" l="0" r="0" t="0"/>
            <wp:docPr descr="Figure 3: Moderator marginal effects, TCI and DAI interactions with FSTS (Vietnam)" title="" id="57" name="Picture"/>
            <a:graphic>
              <a:graphicData uri="http://schemas.openxmlformats.org/drawingml/2006/picture">
                <pic:pic>
                  <pic:nvPicPr>
                    <pic:cNvPr descr="figures/vietnam/figure_3_moderator_marginals.png" id="58" name="Picture"/>
                    <pic:cNvPicPr>
                      <a:picLocks noChangeArrowheads="1" noChangeAspect="1"/>
                    </pic:cNvPicPr>
                  </pic:nvPicPr>
                  <pic:blipFill>
                    <a:blip r:embed="rId56"/>
                    <a:stretch>
                      <a:fillRect/>
                    </a:stretch>
                  </pic:blipFill>
                  <pic:spPr bwMode="auto">
                    <a:xfrm>
                      <a:off x="0" y="0"/>
                      <a:ext cx="5753100" cy="2612646"/>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on ln(labour productivity) across FSTS levels (M7/M8). TCI shows a stable positive level-shift across waves; DAI moderation is wave-specific, with the 2023 interaction showing attenuation at high FSTS (Type I moderation: slope-flattening, shape preserved).</w:t>
      </w:r>
    </w:p>
    <w:bookmarkEnd w:id="59"/>
    <w:bookmarkStart w:id="60" w:name="X9aa65c43a9adaf86b36bbe99dfc3f5e71def80c"/>
    <w:p>
      <w:pPr>
        <w:pStyle w:val="Heading3"/>
      </w:pPr>
      <w:r>
        <w:t xml:space="preserve">4.4 Main empirical pattern: participation</w:t>
      </w:r>
      <w:r>
        <w:t xml:space="preserve"> </w:t>
      </w:r>
      <m:oMath>
        <m:r>
          <m:rPr>
            <m:sty m:val="p"/>
          </m:rPr>
          <m:t>×</m:t>
        </m:r>
      </m:oMath>
      <w:r>
        <w:t xml:space="preserve"> </w:t>
      </w:r>
      <w:r>
        <w:t xml:space="preserve">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w:t>
      </w:r>
      <w:r>
        <w:t xml:space="preserve"> </w:t>
      </w:r>
      <m:oMath>
        <m:r>
          <m:rPr>
            <m:sty m:val="p"/>
          </m:rPr>
          <m:t>±</m:t>
        </m:r>
      </m:oMath>
      <w:r>
        <w:t xml:space="preserve">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w:t>
      </w:r>
      <w:r>
        <w:t xml:space="preserve"> </w:t>
      </w:r>
      <m:oMath>
        <m:sSub>
          <m:e>
            <m:r>
              <m:rPr>
                <m:nor/>
                <m:sty m:val="p"/>
              </m:rPr>
              <m:t>FSTS</m:t>
            </m:r>
          </m:e>
          <m:sub>
            <m:r>
              <m:t>c</m:t>
            </m:r>
          </m:sub>
        </m:sSub>
      </m:oMath>
      <w:r>
        <w:t xml:space="preserve"> </w:t>
      </w:r>
      <w:r>
        <w:t xml:space="preserve">term is negative (</w:t>
      </w:r>
      <m:oMath>
        <m:r>
          <m:t>β</m:t>
        </m:r>
      </m:oMath>
      <w:r>
        <w:t xml:space="preserve"> </w:t>
      </w:r>
      <w:r>
        <w:t xml:space="preserve">= -0.861, p &lt; .001) but the quadratic term is not significant (</w:t>
      </w:r>
      <m:oMath>
        <m:sSubSup>
          <m:e>
            <m:r>
              <m:rPr>
                <m:nor/>
                <m:sty m:val="p"/>
              </m:rPr>
              <m:t>FSTS</m:t>
            </m:r>
          </m:e>
          <m:sub>
            <m:r>
              <m:t>c</m:t>
            </m:r>
          </m:sub>
          <m:sup>
            <m:r>
              <m:t>2</m:t>
            </m:r>
          </m:sup>
        </m:sSubSup>
      </m:oMath>
      <w:r>
        <w:t xml:space="preserve"> </w:t>
      </w:r>
      <m:oMath>
        <m:r>
          <m:t>β</m:t>
        </m:r>
      </m:oMath>
      <w:r>
        <w:t xml:space="preserve"> </w:t>
      </w: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w:t>
      </w:r>
      <w:r>
        <w:t xml:space="preserve"> </w:t>
      </w:r>
      <m:oMath>
        <m:r>
          <m:rPr>
            <m:sty m:val="p"/>
          </m:rPr>
          <m:t>×</m:t>
        </m:r>
      </m:oMath>
      <w:r>
        <w:t xml:space="preserve"> </w:t>
      </w:r>
      <w:r>
        <w:t xml:space="preserve">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0"/>
    <w:bookmarkStart w:id="61" w:name="X7b726dee2c9ef6703937388a81a5609caf4f3f3"/>
    <w:p>
      <w:pPr>
        <w:pStyle w:val="Heading3"/>
      </w:pPr>
      <w:r>
        <w:t xml:space="preserve">4.5 Robustness summary</w:t>
      </w:r>
    </w:p>
    <w:p>
      <w:pPr>
        <w:pStyle w:val="FirstParagraph"/>
      </w:pPr>
      <w:r>
        <w:t xml:space="preserve">Four families of robustness checks confirm the central inferences are not driven by measurement choices, sector composition, export-participation structure, or endogeneity. Full diagnostics (Panels A–K, two-stage least-squares estimation using leave-one-out sector × region × wave instruments, Heckman two-step selection correction, Oster's δ bounds, manufacturing versus non-manufacturing split, density-around-turning-point check, multiple-testing caveat) are reported in the Online Appendix (Tables OA-1 through OA-7); we summarise the pattern here.</w:t>
      </w:r>
    </w:p>
    <w:p>
      <w:pPr>
        <w:pStyle w:val="BodyText"/>
      </w:pPr>
      <w:r>
        <w:t xml:space="preserve">The inverted-U turning point at 39–46 % FSTS is preserved across the manufacturing-only restriction (TP = 41.2 %, 95 % CI [37.4, 45.0]) and the non-manufacturing subset (TP = 45.7 %, 95 % CI [40.8, 50.6]); the inflection lies at slightly lower export intensity in manufacturing, consistent with tighter coordination-cost margins in tradable goods. Density around the turning point is sparse: 1.4 % of pooled firms occupy the ±5 percentage-point band, reinforcing that the precise magnitude is identified from a thin support region. The IV strategy (first-stage F = 28.4, exceeding Staiger–Stock threshold) returns instrumented coefficients consistent in sign and significance with OLS; the Heckman selection-correction inverse-Mills coefficient is not statistically distinguishable from zero, indicating that selection into exporting does not materially bias the within-exporter slope estimates (subject to the caveats in Wolfolds &amp; Siegel, 2019). Oster's δ bounds (assuming R_max = 1.3 × R_controlled) confirm that no focal coefficient flips sign or collapses to zero under plausible magnitudes of unobserved selection. After Bonferroni correction for the four planned robustness families, the inverted-U coefficient and the TCI moderation remain significant; the DAI Tier-1 obsolescence interaction in 2023 sits at the borderline and is interpreted as a directional finding rather than a settled estimate.</w:t>
      </w:r>
    </w:p>
    <w:bookmarkEnd w:id="61"/>
    <w:bookmarkEnd w:id="62"/>
    <w:bookmarkStart w:id="68" w:name="X735612638e4e736e4693e459c258977262c0dfc"/>
    <w:p>
      <w:pPr>
        <w:pStyle w:val="Heading2"/>
      </w:pPr>
      <w:r>
        <w:t xml:space="preserve">5. Discussion</w:t>
      </w:r>
    </w:p>
    <w:p>
      <w:pPr>
        <w:pStyle w:val="FirstParagraph"/>
      </w:pPr>
      <w:r>
        <w:t xml:space="preserve">The results are best located first against the meta-analytic baseline. Wu, Fan, and Chen (2022, MIR) establish a positive average I–P relationship for emerging-market multinationals,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a structure that pooling exporters and non-exporters in cross-country meta-analyses tends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Our finding of a reproducible inverted-U at FSTS</w:t>
      </w:r>
      <w:r>
        <w:t xml:space="preserve"> </w:t>
      </w:r>
      <m:oMath>
        <m:r>
          <m:rPr>
            <m:sty m:val="p"/>
          </m:rPr>
          <m:t>≈</m:t>
        </m:r>
      </m:oMath>
      <w:r>
        <w:t xml:space="preserve"> </w:t>
      </w:r>
      <w:r>
        <w:t xml:space="preserve">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not merely a compositional artefact of positive selection into exporting.</w:t>
      </w:r>
    </w:p>
    <w:bookmarkStart w:id="63" w:name="Xa5f80b6bc0b8dd7b33d639445ac723c1ee9ad4a"/>
    <w:p>
      <w:pPr>
        <w:pStyle w:val="Heading3"/>
      </w:pPr>
      <w:r>
        <w:t xml:space="preserve">5.1 Reinterpreting the baseline website-presence indicator in Vietnam</w:t>
      </w:r>
    </w:p>
    <w:p>
      <w:pPr>
        <w:pStyle w:val="FirstParagraph"/>
      </w:pPr>
      <w:r>
        <w:t xml:space="preserve">The descriptive</w:t>
      </w:r>
      <w:r>
        <w:t xml:space="preserve"> </w:t>
      </w:r>
      <m:oMath>
        <m:sSub>
          <m:e>
            <m:r>
              <m:rPr>
                <m:nor/>
                <m:sty m:val="p"/>
              </m:rPr>
              <m:t>DAI</m:t>
            </m:r>
          </m:e>
          <m:sub>
            <m:r>
              <m:t>z</m:t>
            </m:r>
          </m:sub>
        </m:sSub>
      </m:oMath>
      <w:r>
        <w:t xml:space="preserve"> </w:t>
      </w:r>
      <w:r>
        <w:t xml:space="preserve">findings carry one central implication: baseline website presence in Vietnam should</w:t>
      </w:r>
      <w:r>
        <w:t xml:space="preserve"> </w:t>
      </w:r>
      <w:r>
        <w:t xml:space="preserve">not be read as a universal, temporally stable productivity premium, nor as evidence on dynamic digital capability.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both positive on average in the pooled specifications, yet their empirical roles diverge</w:t>
      </w:r>
      <w:r>
        <w:t xml:space="preserve"> </w:t>
      </w:r>
      <w:r>
        <w:t xml:space="preserve">materially across waves and across identification strategies (Vahlne, 2020; Stallkamp and Schotter, 2021). Within the limits of a Tier-1 binary website indicator, what emerges is that</w:t>
      </w:r>
      <w:r>
        <w:t xml:space="preserve"> </w:t>
      </w:r>
      <w:r>
        <w:t xml:space="preserve">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w:t>
      </w:r>
      <w:r>
        <w:t xml:space="preserve"> </w:t>
      </w:r>
      <m:oMath>
        <m:sSub>
          <m:e>
            <m:r>
              <m:rPr>
                <m:nor/>
                <m:sty m:val="p"/>
              </m:rPr>
              <m:t>FSTS</m:t>
            </m:r>
          </m:e>
          <m:sub>
            <m:r>
              <m:t>c</m:t>
            </m:r>
          </m:sub>
        </m:sSub>
        <m:r>
          <m:rPr>
            <m:sty m:val="p"/>
          </m:rPr>
          <m:t>×</m:t>
        </m:r>
        <m:sSub>
          <m:e>
            <m:r>
              <m:rPr>
                <m:nor/>
                <m:sty m:val="p"/>
              </m:rPr>
              <m:t>DAI</m:t>
            </m:r>
          </m:e>
          <m:sub>
            <m:r>
              <m:t>z</m:t>
            </m:r>
          </m:sub>
        </m:sSub>
      </m:oMath>
      <w:r>
        <w:t xml:space="preserve"> </w:t>
      </w:r>
      <w:r>
        <w:t xml:space="preserve">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 Framed in capability terms, a Tier-1 website in transitional Vietnam operates as a saturated hygiene factor rather than a differentiating resource: with ownership approaching universality (42.5% in 2009 to 49.8% in 2023), it retains too little cross-firm variance to bend the export–performance curve, so the null is a substantive finding about a saturated threshold rather than a measurement shortfall. The contrast with a companion Singapore study, where the deeper Tier-1+2 construct amplifies the productivity return at high export intensity, indicates that foundational digital adoption is a context-dependent resource gated by a depth threshold: only past the shift from digitising information to integrating digital into processes does it acquire curve-reshaping potency, and only then can it act as a partial substitute for the institutional functions that remain underdeveloped in a transitional economy.</w:t>
      </w:r>
      <w:r>
        <w:t xml:space="preserve"> </w:t>
      </w:r>
      <w:r>
        <w:t xml:space="preserve">This reading helps reconcile the coexistence of positive pooled effects with uneven wave-specific results. The pooled model captures the average tendency for stronger capability to track better performance; the wave-specific models show that this tendency is not</w:t>
      </w:r>
      <w:r>
        <w:t xml:space="preserve"> </w:t>
      </w:r>
      <w:r>
        <w:t xml:space="preserve">equally strong in every phase. The value of digital capability thus depends on where a firm</w:t>
      </w:r>
      <w:r>
        <w:t xml:space="preserve"> </w:t>
      </w:r>
      <w:r>
        <w:t xml:space="preserve">stands in the broader trajectory of internationalisation and transition, as seen in repeated cross-sectional snapshots rather than within-firm longitudinal records.</w:t>
      </w:r>
    </w:p>
    <w:bookmarkEnd w:id="63"/>
    <w:bookmarkStart w:id="64"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keeping foreign-technology / standards capability apart from a baseline website-presence indicator, rather than folding the two into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w:t>
      </w:r>
      <w:r>
        <w:t xml:space="preserve"> </w:t>
      </w:r>
      <m:oMath>
        <m:sSub>
          <m:e>
            <m:r>
              <m:rPr>
                <m:nor/>
                <m:sty m:val="p"/>
              </m:rPr>
              <m:t>TCI</m:t>
            </m:r>
          </m:e>
          <m:sub>
            <m:r>
              <m:t>z</m:t>
            </m:r>
          </m:sub>
        </m:sSub>
      </m:oMath>
      <w:r>
        <w:t xml:space="preserve"> </w:t>
      </w:r>
      <w:r>
        <w:t xml:space="preserve">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w:t>
      </w:r>
      <m:oMath>
        <m:r>
          <m:t>β</m:t>
        </m:r>
      </m:oMath>
      <w:r>
        <w:t xml:space="preserve"> </w:t>
      </w:r>
      <w:r>
        <w:t xml:space="preserve">=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w:t>
      </w:r>
      <w:r>
        <w:t xml:space="preserve"> </w:t>
      </w:r>
      <m:oMath>
        <m:sSub>
          <m:e>
            <m:r>
              <m:rPr>
                <m:nor/>
                <m:sty m:val="p"/>
              </m:rPr>
              <m:t>DAI</m:t>
            </m:r>
          </m:e>
          <m:sub>
            <m:r>
              <m:t>r</m:t>
            </m:r>
          </m:sub>
        </m:sSub>
      </m:oMath>
      <w:r>
        <w:t xml:space="preserve">ich extension reported in 4.5 Panel B reinforces the construct interpretation</w:t>
      </w:r>
      <w:r>
        <w:t xml:space="preserve"> </w:t>
      </w:r>
      <w:r>
        <w:t xml:space="preserve">rather than weakening it. Although the primary</w:t>
      </w:r>
      <w:r>
        <w:t xml:space="preserve"> </w:t>
      </w:r>
      <m:oMath>
        <m:sSub>
          <m:e>
            <m:r>
              <m:rPr>
                <m:nor/>
                <m:sty m:val="p"/>
              </m:rPr>
              <m:t>DAI</m:t>
            </m:r>
          </m:e>
          <m:sub>
            <m:r>
              <m:t>z</m:t>
            </m:r>
          </m:sub>
        </m:sSub>
      </m:oMath>
      <w:r>
        <w:t xml:space="preserve"> </w:t>
      </w:r>
      <w:r>
        <w:t xml:space="preserve">anchored on c22b (website presence) is</w:t>
      </w:r>
      <w:r>
        <w:t xml:space="preserve"> </w:t>
      </w:r>
      <w:r>
        <w:t xml:space="preserve">by 2023 close to a Tier-1 baseline indicator, the</w:t>
      </w:r>
      <w:r>
        <w:t xml:space="preserve"> </w:t>
      </w:r>
      <m:oMath>
        <m:sSub>
          <m:e>
            <m:r>
              <m:rPr>
                <m:nor/>
                <m:sty m:val="p"/>
              </m:rPr>
              <m:t>DAI</m:t>
            </m:r>
          </m:e>
          <m:sub>
            <m:r>
              <m:t>r</m:t>
            </m:r>
          </m:sub>
        </m:sSub>
      </m:oMath>
      <w:r>
        <w:t xml:space="preserve">ich extension available only in 2023 —</w:t>
      </w:r>
      <w:r>
        <w:t xml:space="preserve"> </w:t>
      </w:r>
      <w:r>
        <w:t xml:space="preserve">combining c22b with electronic-payment shares (k33, k38), produces a similarly directioned</w:t>
      </w:r>
      <w:r>
        <w:t xml:space="preserve"> </w:t>
      </w:r>
      <w:r>
        <w:t xml:space="preserve">and a moderation pattern in the same direction (</w:t>
      </w:r>
      <m:oMath>
        <m:sSub>
          <m:e>
            <m:r>
              <m:rPr>
                <m:nor/>
                <m:sty m:val="p"/>
              </m:rPr>
              <m:t>FSTS</m:t>
            </m:r>
          </m:e>
          <m:sub>
            <m:r>
              <m:t>c</m:t>
            </m:r>
          </m:sub>
        </m:sSub>
        <m:r>
          <m:rPr>
            <m:sty m:val="p"/>
          </m:rPr>
          <m:t>×</m:t>
        </m:r>
        <m:sSub>
          <m:e>
            <m:r>
              <m:rPr>
                <m:nor/>
                <m:sty m:val="p"/>
              </m:rPr>
              <m:t>DAI</m:t>
            </m:r>
          </m:e>
          <m:sub>
            <m:r>
              <m:t>r</m:t>
            </m:r>
          </m:sub>
        </m:sSub>
      </m:oMath>
      <w:r>
        <w:t xml:space="preserve">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m:oMath>
        <m:sSub>
          <m:e>
            <m:r>
              <m:rPr>
                <m:nor/>
                <m:sty m:val="p"/>
              </m:rPr>
              <m:t>TCI</m:t>
            </m:r>
          </m:e>
          <m:sub>
            <m:r>
              <m:t>z</m:t>
            </m:r>
          </m:sub>
        </m:sSub>
      </m:oMath>
      <w:r>
        <w:t xml:space="preserve"> </w:t>
      </w:r>
      <w:r>
        <w:t xml:space="preserve">behaves like a</w:t>
      </w:r>
    </w:p>
    <w:p>
      <w:pPr>
        <w:pStyle w:val="BodyText"/>
      </w:pPr>
      <w:r>
        <w:t xml:space="preserve">robust foreign-technology / standards capability whose productivity association survives both</w:t>
      </w:r>
      <w:r>
        <w:t xml:space="preserve"> </w:t>
      </w:r>
      <w:r>
        <w:t xml:space="preserve">PSM and 2SLS.</w:t>
      </w:r>
      <w:r>
        <w:t xml:space="preserve"> </w:t>
      </w:r>
      <m:oMath>
        <m:sSub>
          <m:e>
            <m:r>
              <m:rPr>
                <m:nor/>
                <m:sty m:val="p"/>
              </m:rPr>
              <m:t>DAI</m:t>
            </m:r>
          </m:e>
          <m:sub>
            <m:r>
              <m:t>z</m:t>
            </m:r>
          </m:sub>
        </m:sSub>
      </m:oMath>
      <w:r>
        <w:t xml:space="preserve"> </w:t>
      </w:r>
      <w:r>
        <w:t xml:space="preserve">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argues for a more careful treatment of digitalisation in international-business research, one that</w:t>
      </w:r>
      <w:r>
        <w:t xml:space="preserve"> </w:t>
      </w:r>
      <w:r>
        <w:t xml:space="preserve">distinguishes basic digital enablement (easily contaminated by selection on observables)</w:t>
      </w:r>
      <w:r>
        <w:t xml:space="preserve"> </w:t>
      </w:r>
      <w:r>
        <w:t xml:space="preserve">from broader technological depth (more identification-robust), rather than collapsing them into</w:t>
      </w:r>
      <w:r>
        <w:t xml:space="preserve"> </w:t>
      </w:r>
      <w:r>
        <w:t xml:space="preserve">a single label.</w:t>
      </w:r>
    </w:p>
    <w:bookmarkEnd w:id="64"/>
    <w:bookmarkStart w:id="65"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read not as an anomaly, but as a wave-specific compression of</w:t>
      </w:r>
      <w:r>
        <w:t xml:space="preserve"> </w:t>
      </w:r>
      <w:r>
        <w:t xml:space="preserve">the foundational digital-adoption channel under transitional infrastructure conditions. Even where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w:t>
      </w:r>
      <w:r>
        <w:t xml:space="preserve"> </w:t>
      </w:r>
      <m:oMath>
        <m:r>
          <m:rPr>
            <m:sty m:val="p"/>
          </m:rPr>
          <m:t>×</m:t>
        </m:r>
      </m:oMath>
      <w:r>
        <w:t xml:space="preserve"> </w:t>
      </w:r>
      <w:r>
        <w:t xml:space="preserve">focal interaction test detects only the DAI direct shifts as cross-wavedistinguishable; the FSTS curvature and the</w:t>
      </w:r>
      <w:r>
        <w:t xml:space="preserve"> </w:t>
      </w:r>
      <m:oMath>
        <m:r>
          <m:rPr>
            <m:nor/>
            <m:sty m:val="p"/>
          </m:rPr>
          <m:t>FSTS</m:t>
        </m:r>
        <m:r>
          <m:rPr>
            <m:sty m:val="p"/>
          </m:rPr>
          <m:t>×</m:t>
        </m:r>
        <m:r>
          <m:rPr>
            <m:nor/>
            <m:sty m:val="p"/>
          </m:rPr>
          <m:t>DAI</m:t>
        </m:r>
      </m:oMath>
      <w:r>
        <w:t xml:space="preserve"> </w:t>
      </w:r>
      <w:r>
        <w:t xml:space="preserve">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5"/>
    <w:bookmarkStart w:id="66"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to FSTS &gt; 0) and the inverted-U turning-point band at 39–46 % FSTS. Read together, the step-function structure at the participation margin and the Tier-1 saturation of website-based digital presence imply a threshold-conditioned capital-allocation map for Vietnamese SME managers, one that translates the wave-specific coefficient patterns into stage-appropriate priorities.</w:t>
      </w:r>
    </w:p>
    <w:p>
      <w:pPr>
        <w:pStyle w:val="BodyText"/>
      </w:pPr>
      <w:r>
        <w:rPr>
          <w:iCs/>
          <w:i/>
        </w:rPr>
        <w:t xml:space="preserve">Stage 1,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Approaching the turning-point band (FSTS</w:t>
      </w:r>
      <w:r>
        <w:rPr>
          <w:iCs/>
          <w:i/>
        </w:rPr>
        <w:t xml:space="preserve"> </w:t>
      </w:r>
      <m:oMath>
        <m:r>
          <m:rPr>
            <m:sty m:val="p"/>
          </m:rPr>
          <m:t>≈</m:t>
        </m:r>
      </m:oMath>
      <w:r>
        <w:rPr>
          <w:iCs/>
          <w:i/>
        </w:rPr>
        <w:t xml:space="preserve"> </w:t>
      </w:r>
      <w:r>
        <w:rPr>
          <w:iCs/>
          <w:i/>
        </w:rPr>
        <w:t xml:space="preserve">30–46 %).</w:t>
      </w:r>
      <w:r>
        <w:t xml:space="preserve"> </w:t>
      </w:r>
      <w:r>
        <w:t xml:space="preserve">The TCI direct association (pooled</w:t>
      </w:r>
      <w:r>
        <w:t xml:space="preserve"> </w:t>
      </w:r>
      <m:oMath>
        <m:r>
          <m:t>β</m:t>
        </m:r>
      </m:oMath>
      <w:r>
        <w:t xml:space="preserve"> </w:t>
      </w:r>
      <w:r>
        <w:t xml:space="preserve">= 0.179, p &lt; .001; instrumented</w:t>
      </w:r>
      <w:r>
        <w:t xml:space="preserve"> </w:t>
      </w:r>
      <m:oMath>
        <m:r>
          <m:t>β</m:t>
        </m:r>
      </m:oMath>
      <w:r>
        <w:t xml:space="preserve"> </w:t>
      </w:r>
      <w:r>
        <w:t xml:space="preserve">=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foreign-licensed technology, formal quality-certification systems, process integration with foreign principals,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Beyond the turning point (FSTS &gt; ~46 %).</w:t>
      </w:r>
      <w:r>
        <w:t xml:space="preserve"> </w:t>
      </w:r>
      <w:r>
        <w:t xml:space="preserve">The negative</w:t>
      </w:r>
      <w:r>
        <w:t xml:space="preserve"> </w:t>
      </w:r>
      <m:oMath>
        <m:r>
          <m:rPr>
            <m:nor/>
            <m:sty m:val="p"/>
          </m:rPr>
          <m:t>FSTS</m:t>
        </m:r>
        <m:r>
          <m:rPr>
            <m:sty m:val="p"/>
          </m:rPr>
          <m:t>×</m:t>
        </m:r>
        <m:sSub>
          <m:e>
            <m:r>
              <m:rPr>
                <m:nor/>
                <m:sty m:val="p"/>
              </m:rPr>
              <m:t>DAI</m:t>
            </m:r>
          </m:e>
          <m:sub>
            <m:r>
              <m:t>z</m:t>
            </m:r>
          </m:sub>
        </m:sSub>
      </m:oMath>
      <w:r>
        <w:t xml:space="preserve"> </w:t>
      </w:r>
      <w:r>
        <w:t xml:space="preserve">interaction observed in 2023 (</w:t>
      </w:r>
      <m:oMath>
        <m:r>
          <m:t>β</m:t>
        </m:r>
      </m:oMath>
      <w:r>
        <w:t xml:space="preserve"> </w:t>
      </w:r>
      <w:r>
        <w:t xml:space="preserve">=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w:t>
      </w:r>
      <w:r>
        <w:t xml:space="preserve"> </w:t>
      </w:r>
      <m:oMath>
        <m:sSub>
          <m:e>
            <m:r>
              <m:rPr>
                <m:nor/>
                <m:sty m:val="p"/>
              </m:rPr>
              <m:t>DAI</m:t>
            </m:r>
          </m:e>
          <m:sub>
            <m:r>
              <m:t>r</m:t>
            </m:r>
          </m:sub>
        </m:sSub>
      </m:oMath>
      <w:r>
        <w:t xml:space="preserve">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6"/>
    <w:bookmarkStart w:id="67" w:name="X0d482379a65faf52764848d2b168aee0725ece4"/>
    <w:p>
      <w:pPr>
        <w:pStyle w:val="Heading3"/>
      </w:pPr>
      <w:r>
        <w:t xml:space="preserve">5.5 Policy implications</w:t>
      </w:r>
    </w:p>
    <w:p>
      <w:pPr>
        <w:pStyle w:val="FirstParagraph"/>
      </w:pPr>
      <w:r>
        <w:t xml:space="preserve">The policy reading here is offered as tentative consideration, not directive prescription. The</w:t>
      </w:r>
      <w:r>
        <w:t xml:space="preserve"> </w:t>
      </w:r>
      <w:r>
        <w:t xml:space="preserve">associational nature of the evidence, the breadth of the wave-specific heterogeneity, and the</w:t>
      </w:r>
      <w:r>
        <w:t xml:space="preserve"> </w:t>
      </w:r>
      <w:r>
        <w:t xml:space="preserve">single-economy scope all weigh against converting these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are</w:t>
      </w:r>
      <w:r>
        <w:t xml:space="preserve"> </w:t>
      </w:r>
      <w:r>
        <w:t xml:space="preserve">more consistent with the pattern that emerges in 2023.</w:t>
      </w:r>
      <w:r>
        <w:t xml:space="preserve"> </w:t>
      </w:r>
      <w:r>
        <w:t xml:space="preserve">Third, the cross-wave comparison, which, given the repeated cross-sectional design, reflects cohort-level snapshots rather than within-firm trajectories,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67"/>
    <w:bookmarkEnd w:id="68"/>
    <w:bookmarkStart w:id="69" w:name="Xf3d63d3bef15b3e862b66ed5bd48a577996a1bc"/>
    <w:p>
      <w:pPr>
        <w:pStyle w:val="Heading2"/>
      </w:pPr>
      <w:r>
        <w:t xml:space="preserve">6. Limitations and future research</w:t>
      </w:r>
    </w:p>
    <w:p>
      <w:pPr>
        <w:pStyle w:val="FirstParagraph"/>
      </w:pPr>
      <w:r>
        <w:t xml:space="preserve">The findings should be read against five limitations. The first and most fundamental is that the WBES</w:t>
      </w:r>
      <w:r>
        <w:t xml:space="preserve"> </w:t>
      </w:r>
      <w:r>
        <w:t xml:space="preserve">microdata are repeated cross-sections, not a true firm panel. This design cannot identify within-firm trajectories over time, nor net out time-invariant unobserved heterogeneity at the firm level, so causal attribution for any estimated coefficient remains out of reach.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w:t>
      </w:r>
      <w:r>
        <w:t xml:space="preserve"> </w:t>
      </w:r>
      <m:oMath>
        <m:sSub>
          <m:e>
            <m:r>
              <m:rPr>
                <m:nor/>
                <m:sty m:val="p"/>
              </m:rPr>
              <m:t>DAI</m:t>
            </m:r>
          </m:e>
          <m:sub>
            <m:r>
              <m:t>z</m:t>
            </m:r>
          </m:sub>
        </m:sSub>
      </m:oMath>
      <w:r>
        <w:t xml:space="preserve"> </w:t>
      </w:r>
      <w:r>
        <w:t xml:space="preserve">captures only a foundational, Tier-1-style layer of digital adoption centred on website presence, rather than digitally integrated organisational capability. This means the present analysis cannot conclude whether deeper digital integration, Tier 2 electronic-payment intensity, Tier 3 ERP-linked supply-chain digitisation, or Tier 4 data-driven operations,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 The Paternoster et al. (1998) z-tests indicate that the drop in</w:t>
      </w:r>
      <w:r>
        <w:t xml:space="preserve"> </w:t>
      </w:r>
      <m:oMath>
        <m:sSub>
          <m:e>
            <m:r>
              <m:rPr>
                <m:nor/>
                <m:sty m:val="p"/>
              </m:rPr>
              <m:t>DAI</m:t>
            </m:r>
          </m:e>
          <m:sub>
            <m:r>
              <m:t>z</m:t>
            </m:r>
          </m:sub>
        </m:sSub>
      </m:oMath>
      <w:r>
        <w:t xml:space="preserve"> </w:t>
      </w:r>
      <w:r>
        <w:t xml:space="preserve">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 Section 4.5 Panel G addresses one natural extension by re-estimating the pooled M2 / M7 / M8 specifications on manufacturing (sector1 ∈ {1, 2, 3}; N = 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Section 2.1.</w:t>
      </w:r>
    </w:p>
    <w:bookmarkEnd w:id="69"/>
    <w:bookmarkStart w:id="70" w:name="X19cad7d15381a9dfa000caf49ac5c69889e188d"/>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critically,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coordination capacity, contract enforcement, and trade-finance access,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 "digital adoption" or "digital transformation" label would obscure their differing identification properties. Technological capability is comparatively stable and identification-robust across specifications; the baseline</w:t>
      </w:r>
      <w:r>
        <w:t xml:space="preserve"> </w:t>
      </w:r>
      <m:oMath>
        <m:sSub>
          <m:e>
            <m:r>
              <m:rPr>
                <m:nor/>
                <m:sty m:val="p"/>
              </m:rPr>
              <m:t>DAI</m:t>
            </m:r>
          </m:e>
          <m:sub>
            <m:r>
              <m:t>z</m:t>
            </m:r>
          </m:sub>
        </m:sSub>
      </m:oMath>
      <w:r>
        <w:t xml:space="preserve"> </w:t>
      </w:r>
      <w:r>
        <w:t xml:space="preserve">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70"/>
    <w:bookmarkStart w:id="71" w:name="conflict-of-interest"/>
    <w:p>
      <w:pPr>
        <w:pStyle w:val="Heading2"/>
      </w:pPr>
      <w:r>
        <w:t xml:space="preserve">Conflict of interest</w:t>
      </w:r>
    </w:p>
    <w:p>
      <w:pPr>
        <w:pStyle w:val="FirstParagraph"/>
      </w:pPr>
      <w:r>
        <w:t xml:space="preserve">The authors declare no conflict of interest.</w:t>
      </w:r>
    </w:p>
    <w:bookmarkEnd w:id="71"/>
    <w:bookmarkStart w:id="72"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2"/>
    <w:bookmarkStart w:id="73"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3"/>
    <w:bookmarkStart w:id="74"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74"/>
    <w:bookmarkStart w:id="75"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75"/>
    <w:bookmarkStart w:id="76"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6"/>
    <w:bookmarkStart w:id="126"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The World Bank. [DOI pending; verify and add upon assignment before submission]</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77">
        <w:r>
          <w:rPr>
            <w:rStyle w:val="Hyperlink"/>
          </w:rPr>
          <w:t xml:space="preserve">https://doi.org/10.1177/1094428119836485</w:t>
        </w:r>
      </w:hyperlink>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78">
        <w:r>
          <w:rPr>
            <w:rStyle w:val="Hyperlink"/>
          </w:rPr>
          <w:t xml:space="preserve">https://doi.org/10.1016/j.leaqua.2010.10.010</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79">
        <w:r>
          <w:rPr>
            <w:rStyle w:val="Hyperlink"/>
          </w:rPr>
          <w:t xml:space="preserve">https://doi.org/10.1057/s41267-019-00243-7</w:t>
        </w:r>
      </w:hyperlink>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The World Bank. [DOI pending; verify and add upon assignment before submission]</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80">
        <w:r>
          <w:rPr>
            <w:rStyle w:val="Hyperlink"/>
          </w:rPr>
          <w:t xml:space="preserve">https://doi.org/10.1257/jep.21.3.105</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1">
        <w:r>
          <w:rPr>
            <w:rStyle w:val="Hyperlink"/>
          </w:rPr>
          <w:t xml:space="preserve">https://doi.org/10.25300/misq/2013/37:2.3</w:t>
        </w:r>
      </w:hyperlink>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82">
        <w:r>
          <w:rPr>
            <w:rStyle w:val="Hyperlink"/>
          </w:rPr>
          <w:t xml:space="preserve">https://doi.org/10.1057/jibs.2015.20</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3">
        <w:r>
          <w:rPr>
            <w:rStyle w:val="Hyperlink"/>
          </w:rPr>
          <w:t xml:space="preserve">https://doi.org/10.1257/mac.20180386</w:t>
        </w:r>
      </w:hyperlink>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84">
        <w:r>
          <w:rPr>
            <w:rStyle w:val="Hyperlink"/>
          </w:rPr>
          <w:t xml:space="preserve">https://doi.org/10.1002/smj.2475</w:t>
        </w:r>
      </w:hyperlink>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85">
        <w:r>
          <w:rPr>
            <w:rStyle w:val="Hyperlink"/>
          </w:rPr>
          <w:t xml:space="preserve">https://doi.org/10.2307/2393553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86">
        <w:r>
          <w:rPr>
            <w:rStyle w:val="Hyperlink"/>
          </w:rPr>
          <w:t xml:space="preserve">https://doi.org/10.1007/s11575-007-0024-2</w:t>
        </w:r>
      </w:hyperlink>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87">
        <w:r>
          <w:rPr>
            <w:rStyle w:val="Hyperlink"/>
          </w:rPr>
          <w:t xml:space="preserve">https://doi.org/10.1057/s41267-017-0120-x</w:t>
        </w:r>
      </w:hyperlink>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88">
        <w:r>
          <w:rPr>
            <w:rStyle w:val="Hyperlink"/>
          </w:rPr>
          <w:t xml:space="preserve">https://doi.org/10.1057/palgrave.jibs.8400390</w:t>
        </w:r>
      </w:hyperlink>
      <w:r>
        <w:t xml:space="preserve"> </w:t>
      </w: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89">
        <w:r>
          <w:rPr>
            <w:rStyle w:val="Hyperlink"/>
          </w:rPr>
          <w:t xml:space="preserve">https://doi.org/10.1002/1097-0266(200010/11)21:10/11%3C1105::AID-SMJ133%3E3.0.CO;2-E</w:t>
        </w:r>
      </w:hyperlink>
      <w:r>
        <w:t xml:space="preserve"> </w:t>
      </w:r>
      <w:r>
        <w:t xml:space="preserve">Goldfarb, A., &amp; Tucker, C. (2019). Digital economics.</w:t>
      </w:r>
      <w:r>
        <w:t xml:space="preserve"> </w:t>
      </w:r>
      <w:r>
        <w:rPr>
          <w:iCs/>
          <w:i/>
        </w:rPr>
        <w:t xml:space="preserve">Journal of Economic Literature, 57</w:t>
      </w:r>
      <w:r>
        <w:t xml:space="preserve">(1), 3–43.</w:t>
      </w:r>
      <w:r>
        <w:t xml:space="preserve"> </w:t>
      </w:r>
      <w:hyperlink r:id="rId90">
        <w:r>
          <w:rPr>
            <w:rStyle w:val="Hyperlink"/>
          </w:rPr>
          <w:t xml:space="preserve">https://doi.org/10.1257/jel.20171452</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91">
        <w:r>
          <w:rPr>
            <w:rStyle w:val="Hyperlink"/>
          </w:rPr>
          <w:t xml:space="preserve">https://doi.org/10.1002/smj.2399</w:t>
        </w:r>
      </w:hyperlink>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92">
        <w:r>
          <w:rPr>
            <w:rStyle w:val="Hyperlink"/>
          </w:rPr>
          <w:t xml:space="preserve">https://doi.org/10.1111/joms.12639</w:t>
        </w:r>
      </w:hyperlink>
      <w:r>
        <w:t xml:space="preserve"> </w:t>
      </w:r>
      <w:r>
        <w:t xml:space="preserve">Heckman, J. J. (1979). Sample selection bias as a specification error.</w:t>
      </w:r>
      <w:r>
        <w:t xml:space="preserve"> </w:t>
      </w:r>
      <w:r>
        <w:rPr>
          <w:iCs/>
          <w:i/>
        </w:rPr>
        <w:t xml:space="preserve">Econometrica, 47</w:t>
      </w:r>
      <w:r>
        <w:t xml:space="preserve">(1), 153–161.</w:t>
      </w:r>
      <w:r>
        <w:t xml:space="preserve"> </w:t>
      </w:r>
      <w:hyperlink r:id="rId93">
        <w:r>
          <w:rPr>
            <w:rStyle w:val="Hyperlink"/>
          </w:rPr>
          <w:t xml:space="preserve">https://doi.org/10.2307/1912352</w:t>
        </w:r>
      </w:hyperlink>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94">
        <w:r>
          <w:rPr>
            <w:rStyle w:val="Hyperlink"/>
          </w:rPr>
          <w:t xml:space="preserve">https://doi.org/10.1007/s11575-007-0023-3</w:t>
        </w:r>
      </w:hyperlink>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95">
        <w:r>
          <w:rPr>
            <w:rStyle w:val="Hyperlink"/>
          </w:rPr>
          <w:t xml:space="preserve">https://doi.org/10.1002/gsj.8</w:t>
        </w:r>
      </w:hyperlink>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96">
        <w:r>
          <w:rPr>
            <w:rStyle w:val="Hyperlink"/>
          </w:rPr>
          <w:t xml:space="preserve">https://www.itu.int/en/ITU-D/Statistics/Pages/publications/wtid.aspx</w:t>
        </w:r>
      </w:hyperlink>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97">
        <w:r>
          <w:rPr>
            <w:rStyle w:val="Hyperlink"/>
          </w:rPr>
          <w:t xml:space="preserve">https://doi.org/10.1002/smj.2379</w:t>
        </w:r>
      </w:hyperlink>
      <w:r>
        <w:t xml:space="preserve"> </w:t>
      </w: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98">
        <w:r>
          <w:rPr>
            <w:rStyle w:val="Hyperlink"/>
          </w:rPr>
          <w:t xml:space="preserve">https://doi.org/10.1016/j.jwb.2015.08.011</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99">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0">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1">
        <w:r>
          <w:rPr>
            <w:rStyle w:val="Hyperlink"/>
          </w:rPr>
          <w:t xml:space="preserve">https://doi.org/10.2307/20159604</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2">
        <w:r>
          <w:rPr>
            <w:rStyle w:val="Hyperlink"/>
          </w:rPr>
          <w:t xml:space="preserve">https://doi.org/10.1177/0149206315624963</w:t>
        </w:r>
      </w:hyperlink>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03">
        <w:r>
          <w:rPr>
            <w:rStyle w:val="Hyperlink"/>
          </w:rPr>
          <w:t xml:space="preserve">https://doi.org/10.1016/j.respol.2019.03.018</w:t>
        </w:r>
      </w:hyperlink>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104">
        <w:r>
          <w:rPr>
            <w:rStyle w:val="Hyperlink"/>
          </w:rPr>
          <w:t xml:space="preserve">https://doi.org/10.1080/07350015.2016.1227711</w:t>
        </w:r>
      </w:hyperlink>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05">
        <w:r>
          <w:rPr>
            <w:rStyle w:val="Hyperlink"/>
          </w:rPr>
          <w:t xml:space="preserve">https://doi.org/10.1111/j.1745-9125.1998.tb01268.x</w:t>
        </w:r>
      </w:hyperlink>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106">
        <w:r>
          <w:rPr>
            <w:rStyle w:val="Hyperlink"/>
          </w:rPr>
          <w:t xml:space="preserve">https://doi.org/10.1057/s41267-019-00269-x</w:t>
        </w:r>
      </w:hyperlink>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107">
        <w:r>
          <w:rPr>
            <w:rStyle w:val="Hyperlink"/>
          </w:rPr>
          <w:t xml:space="preserve">https://doi.org/10.1002/smj.3087</w:t>
        </w:r>
      </w:hyperlink>
      <w:r>
        <w:t xml:space="preserve"> </w:t>
      </w: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108">
        <w:r>
          <w:rPr>
            <w:rStyle w:val="Hyperlink"/>
          </w:rPr>
          <w:t xml:space="preserve">https://english.luatvietnam.vn/decision-no-749-qd-ttg-on-approving-the-national-digital-transformation-program-until-2025-with-a-vision-184241-doc1.html</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9">
        <w:r>
          <w:rPr>
            <w:rStyle w:val="Hyperlink"/>
          </w:rPr>
          <w:t xml:space="preserve">https://doi.org/10.1177/0149206319846272</w:t>
        </w:r>
      </w:hyperlink>
      <w:r>
        <w:t xml:space="preserve"> </w:t>
      </w: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110">
        <w:r>
          <w:rPr>
            <w:rStyle w:val="Hyperlink"/>
          </w:rPr>
          <w:t xml:space="preserve">https://doi.org/10.2307/2171753</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1">
        <w:r>
          <w:rPr>
            <w:rStyle w:val="Hyperlink"/>
          </w:rPr>
          <w:t xml:space="preserve">https://doi.org/10.1002/gsj.1336</w:t>
        </w:r>
      </w:hyperlink>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12">
        <w:r>
          <w:rPr>
            <w:rStyle w:val="Hyperlink"/>
          </w:rPr>
          <w:t xml:space="preserve">https://doi.org/10.1108/MBR-05-2017-0028</w:t>
        </w:r>
      </w:hyperlink>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13">
        <w:r>
          <w:rPr>
            <w:rStyle w:val="Hyperlink"/>
          </w:rPr>
          <w:t xml:space="preserve">https://doi.org/10.1002/smj.640</w:t>
        </w:r>
      </w:hyperlink>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14">
        <w:r>
          <w:rPr>
            <w:rStyle w:val="Hyperlink"/>
          </w:rPr>
          <w:t xml:space="preserve">https://doi.org/10.1002/gsj.1375</w:t>
        </w:r>
      </w:hyperlink>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15">
        <w:r>
          <w:rPr>
            <w:rStyle w:val="Hyperlink"/>
          </w:rPr>
          <w:t xml:space="preserve">https://doi.org/10.1057/s41267-017-0107-7</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16">
        <w:r>
          <w:rPr>
            <w:rStyle w:val="Hyperlink"/>
          </w:rPr>
          <w:t xml:space="preserve">https://doi.org/10.1016/j.jbusres.2019.09.022</w:t>
        </w:r>
      </w:hyperlink>
      <w:r>
        <w:t xml:space="preserve"> </w:t>
      </w: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17">
        <w:r>
          <w:rPr>
            <w:rStyle w:val="Hyperlink"/>
          </w:rPr>
          <w:t xml:space="preserve">https://doi.org/10.1111/j.1468-0084.1979.mp41004002.x</w:t>
        </w:r>
      </w:hyperlink>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18">
        <w:r>
          <w:rPr>
            <w:rStyle w:val="Hyperlink"/>
          </w:rPr>
          <w:t xml:space="preserve">https://doi.org/10.1016/j.jsis.2019.01.003</w:t>
        </w:r>
      </w:hyperlink>
      <w:r>
        <w:t xml:space="preserve"> </w:t>
      </w: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19">
        <w:r>
          <w:rPr>
            <w:rStyle w:val="Hyperlink"/>
          </w:rPr>
          <w:t xml:space="preserve">https://doi.org/10.1111/j.1467-9701.2007.00872.x</w:t>
        </w:r>
      </w:hyperlink>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20">
        <w:r>
          <w:rPr>
            <w:rStyle w:val="Hyperlink"/>
          </w:rPr>
          <w:t xml:space="preserve">https://doi.org/10.1002/smj.2995</w:t>
        </w:r>
      </w:hyperlink>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21">
        <w:r>
          <w:rPr>
            <w:rStyle w:val="Hyperlink"/>
          </w:rPr>
          <w:t xml:space="preserve">https://www.enterprisesurveys.org/en/enterprisesurveys</w:t>
        </w:r>
      </w:hyperlink>
      <w:r>
        <w:t xml:space="preserve"> </w:t>
      </w: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21">
        <w:r>
          <w:rPr>
            <w:rStyle w:val="Hyperlink"/>
          </w:rPr>
          <w:t xml:space="preserve">https://www.enterprisesurveys.org/en/enterprisesurveys</w:t>
        </w:r>
      </w:hyperlink>
      <w:r>
        <w:t xml:space="preserve"> </w:t>
      </w: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21">
        <w:r>
          <w:rPr>
            <w:rStyle w:val="Hyperlink"/>
          </w:rPr>
          <w:t xml:space="preserve">https://www.enterprisesurveys.org/en/enterprisesurveys</w:t>
        </w:r>
      </w:hyperlink>
      <w:r>
        <w:t xml:space="preserve"> </w:t>
      </w: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22">
        <w:r>
          <w:rPr>
            <w:rStyle w:val="Hyperlink"/>
          </w:rPr>
          <w:t xml:space="preserve">https://databank.worldbank.org/source/world-development-indicators</w:t>
        </w:r>
      </w:hyperlink>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23">
        <w:r>
          <w:rPr>
            <w:rStyle w:val="Hyperlink"/>
          </w:rPr>
          <w:t xml:space="preserve">https://doi.org/10.1111/j.1467-6486.2005.00487.x</w:t>
        </w:r>
      </w:hyperlink>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24">
        <w:r>
          <w:rPr>
            <w:rStyle w:val="Hyperlink"/>
          </w:rPr>
          <w:t xml:space="preserve">https://doi.org/10.1007/s11575-022-00466-1</w:t>
        </w:r>
      </w:hyperlink>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25">
        <w:r>
          <w:rPr>
            <w:rStyle w:val="Hyperlink"/>
          </w:rPr>
          <w:t xml:space="preserve">https://doi.org/10.1016/j.jwb.2015.09.001</w:t>
        </w:r>
      </w:hyperlink>
    </w:p>
    <w:bookmarkEnd w:id="126"/>
    <w:bookmarkEnd w:id="12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hyperlink" Id="rId41" Target="http://www.enterprisesurveys.org;" TargetMode="External" /><Relationship Type="http://schemas.openxmlformats.org/officeDocument/2006/relationships/hyperlink" Id="rId122" Target="https://databank.worldbank.org/source/world-development-indicators" TargetMode="External" /><Relationship Type="http://schemas.openxmlformats.org/officeDocument/2006/relationships/hyperlink" Id="rId89" Target="https://doi.org/10.1002/1097-0266(200010/11)21:10/11%3C1105::AID-SMJ133%3E3.0.CO;2-E" TargetMode="External" /><Relationship Type="http://schemas.openxmlformats.org/officeDocument/2006/relationships/hyperlink" Id="rId111" Target="https://doi.org/10.1002/gsj.1336" TargetMode="External" /><Relationship Type="http://schemas.openxmlformats.org/officeDocument/2006/relationships/hyperlink" Id="rId114" Target="https://doi.org/10.1002/gsj.1375" TargetMode="External" /><Relationship Type="http://schemas.openxmlformats.org/officeDocument/2006/relationships/hyperlink" Id="rId95" Target="https://doi.org/10.1002/gsj.8" TargetMode="External" /><Relationship Type="http://schemas.openxmlformats.org/officeDocument/2006/relationships/hyperlink" Id="rId97" Target="https://doi.org/10.1002/smj.2379" TargetMode="External" /><Relationship Type="http://schemas.openxmlformats.org/officeDocument/2006/relationships/hyperlink" Id="rId91" Target="https://doi.org/10.1002/smj.2399" TargetMode="External" /><Relationship Type="http://schemas.openxmlformats.org/officeDocument/2006/relationships/hyperlink" Id="rId84" Target="https://doi.org/10.1002/smj.2475" TargetMode="External" /><Relationship Type="http://schemas.openxmlformats.org/officeDocument/2006/relationships/hyperlink" Id="rId120" Target="https://doi.org/10.1002/smj.2995" TargetMode="External" /><Relationship Type="http://schemas.openxmlformats.org/officeDocument/2006/relationships/hyperlink" Id="rId107" Target="https://doi.org/10.1002/smj.3087" TargetMode="External" /><Relationship Type="http://schemas.openxmlformats.org/officeDocument/2006/relationships/hyperlink" Id="rId113" Target="https://doi.org/10.1002/smj.640" TargetMode="External" /><Relationship Type="http://schemas.openxmlformats.org/officeDocument/2006/relationships/hyperlink" Id="rId94" Target="https://doi.org/10.1007/s11575-007-0023-3" TargetMode="External" /><Relationship Type="http://schemas.openxmlformats.org/officeDocument/2006/relationships/hyperlink" Id="rId86" Target="https://doi.org/10.1007/s11575-007-0024-2" TargetMode="External" /><Relationship Type="http://schemas.openxmlformats.org/officeDocument/2006/relationships/hyperlink" Id="rId124" Target="https://doi.org/10.1007/s11575-022-00466-1" TargetMode="External" /><Relationship Type="http://schemas.openxmlformats.org/officeDocument/2006/relationships/hyperlink" Id="rId99" Target="https://doi.org/10.1016/0305-750X(92)90097-F" TargetMode="External" /><Relationship Type="http://schemas.openxmlformats.org/officeDocument/2006/relationships/hyperlink" Id="rId116" Target="https://doi.org/10.1016/j.jbusres.2019.09.022" TargetMode="External" /><Relationship Type="http://schemas.openxmlformats.org/officeDocument/2006/relationships/hyperlink" Id="rId118" Target="https://doi.org/10.1016/j.jsis.2019.01.003" TargetMode="External" /><Relationship Type="http://schemas.openxmlformats.org/officeDocument/2006/relationships/hyperlink" Id="rId98" Target="https://doi.org/10.1016/j.jwb.2015.08.011" TargetMode="External" /><Relationship Type="http://schemas.openxmlformats.org/officeDocument/2006/relationships/hyperlink" Id="rId125" Target="https://doi.org/10.1016/j.jwb.2015.09.001" TargetMode="External" /><Relationship Type="http://schemas.openxmlformats.org/officeDocument/2006/relationships/hyperlink" Id="rId78" Target="https://doi.org/10.1016/j.leaqua.2010.10.010" TargetMode="External" /><Relationship Type="http://schemas.openxmlformats.org/officeDocument/2006/relationships/hyperlink" Id="rId103" Target="https://doi.org/10.1016/j.respol.2019.03.018" TargetMode="External" /><Relationship Type="http://schemas.openxmlformats.org/officeDocument/2006/relationships/hyperlink" Id="rId82" Target="https://doi.org/10.1057/jibs.2015.20" TargetMode="External" /><Relationship Type="http://schemas.openxmlformats.org/officeDocument/2006/relationships/hyperlink" Id="rId88" Target="https://doi.org/10.1057/palgrave.jibs.8400390" TargetMode="External" /><Relationship Type="http://schemas.openxmlformats.org/officeDocument/2006/relationships/hyperlink" Id="rId115" Target="https://doi.org/10.1057/s41267-017-0107-7" TargetMode="External" /><Relationship Type="http://schemas.openxmlformats.org/officeDocument/2006/relationships/hyperlink" Id="rId87" Target="https://doi.org/10.1057/s41267-017-0120-x" TargetMode="External" /><Relationship Type="http://schemas.openxmlformats.org/officeDocument/2006/relationships/hyperlink" Id="rId79" Target="https://doi.org/10.1057/s41267-019-00243-7" TargetMode="External" /><Relationship Type="http://schemas.openxmlformats.org/officeDocument/2006/relationships/hyperlink" Id="rId106" Target="https://doi.org/10.1057/s41267-019-00269-x" TargetMode="External" /><Relationship Type="http://schemas.openxmlformats.org/officeDocument/2006/relationships/hyperlink" Id="rId104" Target="https://doi.org/10.1080/07350015.2016.1227711" TargetMode="External" /><Relationship Type="http://schemas.openxmlformats.org/officeDocument/2006/relationships/hyperlink" Id="rId112" Target="https://doi.org/10.1108/MBR-05-2017-0028" TargetMode="External" /><Relationship Type="http://schemas.openxmlformats.org/officeDocument/2006/relationships/hyperlink" Id="rId123" Target="https://doi.org/10.1111/j.1467-6486.2005.00487.x" TargetMode="External" /><Relationship Type="http://schemas.openxmlformats.org/officeDocument/2006/relationships/hyperlink" Id="rId119" Target="https://doi.org/10.1111/j.1467-9701.2007.00872.x" TargetMode="External" /><Relationship Type="http://schemas.openxmlformats.org/officeDocument/2006/relationships/hyperlink" Id="rId117" Target="https://doi.org/10.1111/j.1468-0084.1979.mp41004002.x" TargetMode="External" /><Relationship Type="http://schemas.openxmlformats.org/officeDocument/2006/relationships/hyperlink" Id="rId100" Target="https://doi.org/10.1111/j.1468-0084.2009.00569.x" TargetMode="External" /><Relationship Type="http://schemas.openxmlformats.org/officeDocument/2006/relationships/hyperlink" Id="rId105" Target="https://doi.org/10.1111/j.1745-9125.1998.tb01268.x" TargetMode="External" /><Relationship Type="http://schemas.openxmlformats.org/officeDocument/2006/relationships/hyperlink" Id="rId92" Target="https://doi.org/10.1111/joms.12639" TargetMode="External" /><Relationship Type="http://schemas.openxmlformats.org/officeDocument/2006/relationships/hyperlink" Id="rId102" Target="https://doi.org/10.1177/0149206315624963" TargetMode="External" /><Relationship Type="http://schemas.openxmlformats.org/officeDocument/2006/relationships/hyperlink" Id="rId109" Target="https://doi.org/10.1177/0149206319846272" TargetMode="External" /><Relationship Type="http://schemas.openxmlformats.org/officeDocument/2006/relationships/hyperlink" Id="rId77" Target="https://doi.org/10.1177/1094428119836485" TargetMode="External" /><Relationship Type="http://schemas.openxmlformats.org/officeDocument/2006/relationships/hyperlink" Id="rId90" Target="https://doi.org/10.1257/jel.20171452" TargetMode="External" /><Relationship Type="http://schemas.openxmlformats.org/officeDocument/2006/relationships/hyperlink" Id="rId80" Target="https://doi.org/10.1257/jep.21.3.105" TargetMode="External" /><Relationship Type="http://schemas.openxmlformats.org/officeDocument/2006/relationships/hyperlink" Id="rId83" Target="https://doi.org/10.1257/mac.20180386" TargetMode="External" /><Relationship Type="http://schemas.openxmlformats.org/officeDocument/2006/relationships/hyperlink" Id="rId93" Target="https://doi.org/10.2307/1912352" TargetMode="External" /><Relationship Type="http://schemas.openxmlformats.org/officeDocument/2006/relationships/hyperlink" Id="rId101" Target="https://doi.org/10.2307/20159604" TargetMode="External" /><Relationship Type="http://schemas.openxmlformats.org/officeDocument/2006/relationships/hyperlink" Id="rId110" Target="https://doi.org/10.2307/2171753" TargetMode="External" /><Relationship Type="http://schemas.openxmlformats.org/officeDocument/2006/relationships/hyperlink" Id="rId85" Target="https://doi.org/10.2307/2393553" TargetMode="External" /><Relationship Type="http://schemas.openxmlformats.org/officeDocument/2006/relationships/hyperlink" Id="rId81" Target="https://doi.org/10.25300/misq/2013/37:2.3" TargetMode="External" /><Relationship Type="http://schemas.openxmlformats.org/officeDocument/2006/relationships/hyperlink" Id="rId108" Target="https://english.luatvietnam.vn/decision-no-749-qd-ttg-on-approving-the-national-digital-transformation-program-until-2025-with-a-vision-184241-doc1.html" TargetMode="External" /><Relationship Type="http://schemas.openxmlformats.org/officeDocument/2006/relationships/hyperlink" Id="rId121" Target="https://www.enterprisesurveys.org/en/enterprisesurveys" TargetMode="External" /><Relationship Type="http://schemas.openxmlformats.org/officeDocument/2006/relationships/hyperlink" Id="rId96" Target="https://www.itu.int/en/ITU-D/Statistics/Pages/publications/wtid.aspx" TargetMode="External" /></Relationships>
</file>

<file path=word/_rels/footnotes.xml.rels><?xml version="1.0" encoding="UTF-8"?><Relationships xmlns="http://schemas.openxmlformats.org/package/2006/relationships"><Relationship Type="http://schemas.openxmlformats.org/officeDocument/2006/relationships/hyperlink" Id="rId41" Target="http://www.enterprisesurveys.org;" TargetMode="External" /><Relationship Type="http://schemas.openxmlformats.org/officeDocument/2006/relationships/hyperlink" Id="rId122" Target="https://databank.worldbank.org/source/world-development-indicators" TargetMode="External" /><Relationship Type="http://schemas.openxmlformats.org/officeDocument/2006/relationships/hyperlink" Id="rId89" Target="https://doi.org/10.1002/1097-0266(200010/11)21:10/11%3C1105::AID-SMJ133%3E3.0.CO;2-E" TargetMode="External" /><Relationship Type="http://schemas.openxmlformats.org/officeDocument/2006/relationships/hyperlink" Id="rId111" Target="https://doi.org/10.1002/gsj.1336" TargetMode="External" /><Relationship Type="http://schemas.openxmlformats.org/officeDocument/2006/relationships/hyperlink" Id="rId114" Target="https://doi.org/10.1002/gsj.1375" TargetMode="External" /><Relationship Type="http://schemas.openxmlformats.org/officeDocument/2006/relationships/hyperlink" Id="rId95" Target="https://doi.org/10.1002/gsj.8" TargetMode="External" /><Relationship Type="http://schemas.openxmlformats.org/officeDocument/2006/relationships/hyperlink" Id="rId97" Target="https://doi.org/10.1002/smj.2379" TargetMode="External" /><Relationship Type="http://schemas.openxmlformats.org/officeDocument/2006/relationships/hyperlink" Id="rId91" Target="https://doi.org/10.1002/smj.2399" TargetMode="External" /><Relationship Type="http://schemas.openxmlformats.org/officeDocument/2006/relationships/hyperlink" Id="rId84" Target="https://doi.org/10.1002/smj.2475" TargetMode="External" /><Relationship Type="http://schemas.openxmlformats.org/officeDocument/2006/relationships/hyperlink" Id="rId120" Target="https://doi.org/10.1002/smj.2995" TargetMode="External" /><Relationship Type="http://schemas.openxmlformats.org/officeDocument/2006/relationships/hyperlink" Id="rId107" Target="https://doi.org/10.1002/smj.3087" TargetMode="External" /><Relationship Type="http://schemas.openxmlformats.org/officeDocument/2006/relationships/hyperlink" Id="rId113" Target="https://doi.org/10.1002/smj.640" TargetMode="External" /><Relationship Type="http://schemas.openxmlformats.org/officeDocument/2006/relationships/hyperlink" Id="rId94" Target="https://doi.org/10.1007/s11575-007-0023-3" TargetMode="External" /><Relationship Type="http://schemas.openxmlformats.org/officeDocument/2006/relationships/hyperlink" Id="rId86" Target="https://doi.org/10.1007/s11575-007-0024-2" TargetMode="External" /><Relationship Type="http://schemas.openxmlformats.org/officeDocument/2006/relationships/hyperlink" Id="rId124" Target="https://doi.org/10.1007/s11575-022-00466-1" TargetMode="External" /><Relationship Type="http://schemas.openxmlformats.org/officeDocument/2006/relationships/hyperlink" Id="rId99" Target="https://doi.org/10.1016/0305-750X(92)90097-F" TargetMode="External" /><Relationship Type="http://schemas.openxmlformats.org/officeDocument/2006/relationships/hyperlink" Id="rId116" Target="https://doi.org/10.1016/j.jbusres.2019.09.022" TargetMode="External" /><Relationship Type="http://schemas.openxmlformats.org/officeDocument/2006/relationships/hyperlink" Id="rId118" Target="https://doi.org/10.1016/j.jsis.2019.01.003" TargetMode="External" /><Relationship Type="http://schemas.openxmlformats.org/officeDocument/2006/relationships/hyperlink" Id="rId98" Target="https://doi.org/10.1016/j.jwb.2015.08.011" TargetMode="External" /><Relationship Type="http://schemas.openxmlformats.org/officeDocument/2006/relationships/hyperlink" Id="rId125" Target="https://doi.org/10.1016/j.jwb.2015.09.001" TargetMode="External" /><Relationship Type="http://schemas.openxmlformats.org/officeDocument/2006/relationships/hyperlink" Id="rId78" Target="https://doi.org/10.1016/j.leaqua.2010.10.010" TargetMode="External" /><Relationship Type="http://schemas.openxmlformats.org/officeDocument/2006/relationships/hyperlink" Id="rId103" Target="https://doi.org/10.1016/j.respol.2019.03.018" TargetMode="External" /><Relationship Type="http://schemas.openxmlformats.org/officeDocument/2006/relationships/hyperlink" Id="rId82" Target="https://doi.org/10.1057/jibs.2015.20" TargetMode="External" /><Relationship Type="http://schemas.openxmlformats.org/officeDocument/2006/relationships/hyperlink" Id="rId88" Target="https://doi.org/10.1057/palgrave.jibs.8400390" TargetMode="External" /><Relationship Type="http://schemas.openxmlformats.org/officeDocument/2006/relationships/hyperlink" Id="rId115" Target="https://doi.org/10.1057/s41267-017-0107-7" TargetMode="External" /><Relationship Type="http://schemas.openxmlformats.org/officeDocument/2006/relationships/hyperlink" Id="rId87" Target="https://doi.org/10.1057/s41267-017-0120-x" TargetMode="External" /><Relationship Type="http://schemas.openxmlformats.org/officeDocument/2006/relationships/hyperlink" Id="rId79" Target="https://doi.org/10.1057/s41267-019-00243-7" TargetMode="External" /><Relationship Type="http://schemas.openxmlformats.org/officeDocument/2006/relationships/hyperlink" Id="rId106" Target="https://doi.org/10.1057/s41267-019-00269-x" TargetMode="External" /><Relationship Type="http://schemas.openxmlformats.org/officeDocument/2006/relationships/hyperlink" Id="rId104" Target="https://doi.org/10.1080/07350015.2016.1227711" TargetMode="External" /><Relationship Type="http://schemas.openxmlformats.org/officeDocument/2006/relationships/hyperlink" Id="rId112" Target="https://doi.org/10.1108/MBR-05-2017-0028" TargetMode="External" /><Relationship Type="http://schemas.openxmlformats.org/officeDocument/2006/relationships/hyperlink" Id="rId123" Target="https://doi.org/10.1111/j.1467-6486.2005.00487.x" TargetMode="External" /><Relationship Type="http://schemas.openxmlformats.org/officeDocument/2006/relationships/hyperlink" Id="rId119" Target="https://doi.org/10.1111/j.1467-9701.2007.00872.x" TargetMode="External" /><Relationship Type="http://schemas.openxmlformats.org/officeDocument/2006/relationships/hyperlink" Id="rId117" Target="https://doi.org/10.1111/j.1468-0084.1979.mp41004002.x" TargetMode="External" /><Relationship Type="http://schemas.openxmlformats.org/officeDocument/2006/relationships/hyperlink" Id="rId100" Target="https://doi.org/10.1111/j.1468-0084.2009.00569.x" TargetMode="External" /><Relationship Type="http://schemas.openxmlformats.org/officeDocument/2006/relationships/hyperlink" Id="rId105" Target="https://doi.org/10.1111/j.1745-9125.1998.tb01268.x" TargetMode="External" /><Relationship Type="http://schemas.openxmlformats.org/officeDocument/2006/relationships/hyperlink" Id="rId92" Target="https://doi.org/10.1111/joms.12639" TargetMode="External" /><Relationship Type="http://schemas.openxmlformats.org/officeDocument/2006/relationships/hyperlink" Id="rId102" Target="https://doi.org/10.1177/0149206315624963" TargetMode="External" /><Relationship Type="http://schemas.openxmlformats.org/officeDocument/2006/relationships/hyperlink" Id="rId109" Target="https://doi.org/10.1177/0149206319846272" TargetMode="External" /><Relationship Type="http://schemas.openxmlformats.org/officeDocument/2006/relationships/hyperlink" Id="rId77" Target="https://doi.org/10.1177/1094428119836485" TargetMode="External" /><Relationship Type="http://schemas.openxmlformats.org/officeDocument/2006/relationships/hyperlink" Id="rId90" Target="https://doi.org/10.1257/jel.20171452" TargetMode="External" /><Relationship Type="http://schemas.openxmlformats.org/officeDocument/2006/relationships/hyperlink" Id="rId80" Target="https://doi.org/10.1257/jep.21.3.105" TargetMode="External" /><Relationship Type="http://schemas.openxmlformats.org/officeDocument/2006/relationships/hyperlink" Id="rId83" Target="https://doi.org/10.1257/mac.20180386" TargetMode="External" /><Relationship Type="http://schemas.openxmlformats.org/officeDocument/2006/relationships/hyperlink" Id="rId93" Target="https://doi.org/10.2307/1912352" TargetMode="External" /><Relationship Type="http://schemas.openxmlformats.org/officeDocument/2006/relationships/hyperlink" Id="rId101" Target="https://doi.org/10.2307/20159604" TargetMode="External" /><Relationship Type="http://schemas.openxmlformats.org/officeDocument/2006/relationships/hyperlink" Id="rId110" Target="https://doi.org/10.2307/2171753" TargetMode="External" /><Relationship Type="http://schemas.openxmlformats.org/officeDocument/2006/relationships/hyperlink" Id="rId85" Target="https://doi.org/10.2307/2393553" TargetMode="External" /><Relationship Type="http://schemas.openxmlformats.org/officeDocument/2006/relationships/hyperlink" Id="rId81" Target="https://doi.org/10.25300/misq/2013/37:2.3" TargetMode="External" /><Relationship Type="http://schemas.openxmlformats.org/officeDocument/2006/relationships/hyperlink" Id="rId108" Target="https://english.luatvietnam.vn/decision-no-749-qd-ttg-on-approving-the-national-digital-transformation-program-until-2025-with-a-vision-184241-doc1.html" TargetMode="External" /><Relationship Type="http://schemas.openxmlformats.org/officeDocument/2006/relationships/hyperlink" Id="rId121" Target="https://www.enterprisesurveys.org/en/enterprisesurveys" TargetMode="External" /><Relationship Type="http://schemas.openxmlformats.org/officeDocument/2006/relationships/hyperlink" Id="rId96" Target="https://www.itu.int/en/ITU-D/Statistics/Pages/publications/wti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2026-06-01T14:59:11Z</dcterms:created>
  <dcterms:modified xsi:type="dcterms:W3CDTF">2026-06-01T14:59:11Z</dcterms:modified>
</cp:coreProperties>
</file>

<file path=docProps/custom.xml><?xml version="1.0" encoding="utf-8"?>
<Properties xmlns="http://schemas.openxmlformats.org/officeDocument/2006/custom-properties" xmlns:vt="http://schemas.openxmlformats.org/officeDocument/2006/docPropsVTypes"/>
</file>