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khẳng định</w:t>
      </w:r>
      <w:r>
        <w:t xml:space="preserve"> </w:t>
      </w:r>
      <w:r>
        <w:rPr>
          <w:bCs/>
          <w:b/>
        </w:rPr>
        <w:t xml:space="preserve">selection thực sự tồn tại</w:t>
      </w:r>
      <w:r>
        <w:t xml:space="preserve"> </w:t>
      </w:r>
      <w:r>
        <w:t xml:space="preserve">(Begg</w:t>
      </w:r>
      <w:r>
        <w:t xml:space="preserve"> </w:t>
      </w:r>
      <m:oMath>
        <m:r>
          <m:t>p</m:t>
        </m:r>
        <m:r>
          <m:rPr>
            <m:sty m:val="p"/>
          </m:rPr>
          <m:t>&lt;</m:t>
        </m:r>
        <m:r>
          <m:rPr>
            <m:sty m:val="p"/>
          </m:rPr>
          <m:t>,</m:t>
        </m:r>
        <m:r>
          <m:t>001</m:t>
        </m:r>
      </m:oMath>
      <w:r>
        <w:t xml:space="preserve">; mô hình lựa chọn Vevea-Hedges LRT</w:t>
      </w:r>
      <w:r>
        <w:t xml:space="preserve"> </w:t>
      </w:r>
      <m:oMath>
        <m:r>
          <m:t>p</m:t>
        </m:r>
        <m:r>
          <m:rPr>
            <m:sty m:val="p"/>
          </m:rPr>
          <m:t>=</m:t>
        </m:r>
        <m:r>
          <m:rPr>
            <m:sty m:val="p"/>
          </m:rPr>
          <m:t>,</m:t>
        </m:r>
        <m:r>
          <m:t>002</m:t>
        </m:r>
      </m:oMath>
      <w:r>
        <w:t xml:space="preserve">); về độ lớn, 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tùy giả định selection-process: trim-and-fill cho</w:t>
      </w:r>
      <w:r>
        <w:t xml:space="preserve"> </w:t>
      </w:r>
      <m:oMath>
        <m:r>
          <m:t>r</m:t>
        </m:r>
        <m:r>
          <m:rPr>
            <m:sty m:val="p"/>
          </m:rPr>
          <m:t>=</m:t>
        </m:r>
        <m:r>
          <m:t>0</m:t>
        </m:r>
        <m:r>
          <m:rPr>
            <m:sty m:val="p"/>
          </m:rPr>
          <m:t>,</m:t>
        </m:r>
        <m:r>
          <m:t>035</m:t>
        </m:r>
      </m:oMath>
      <w:r>
        <w:t xml:space="preserve"> </w:t>
      </w:r>
      <w:r>
        <w:t xml:space="preserve">(mạnh nhất), PET-PEESE cho</w:t>
      </w:r>
      <w:r>
        <w:t xml:space="preserve"> </w:t>
      </w:r>
      <m:oMath>
        <m:r>
          <m:t>r</m:t>
        </m:r>
        <m:r>
          <m:rPr>
            <m:sty m:val="p"/>
          </m:rPr>
          <m:t>=</m:t>
        </m:r>
        <m:r>
          <m:t>0</m:t>
        </m:r>
        <m:r>
          <m:rPr>
            <m:sty m:val="p"/>
          </m:rPr>
          <m:t>,</m:t>
        </m:r>
        <m:r>
          <m:t>061</m:t>
        </m:r>
      </m:oMath>
      <w:r>
        <w:t xml:space="preserve">, mô hình lựa chọn Vevea-Hedges cho</w:t>
      </w:r>
      <w:r>
        <w:t xml:space="preserve"> </w:t>
      </w:r>
      <m:oMath>
        <m:r>
          <m:t>r</m:t>
        </m:r>
        <m:r>
          <m:rPr>
            <m:sty m:val="p"/>
          </m:rPr>
          <m:t>=</m:t>
        </m:r>
        <m:r>
          <m:t>0</m:t>
        </m:r>
        <m:r>
          <m:rPr>
            <m:sty m:val="p"/>
          </m:rPr>
          <m:t>,</m:t>
        </m:r>
        <m:r>
          <m:t>077</m:t>
        </m:r>
      </m:oMath>
      <w:r>
        <w:t xml:space="preserve"> </w:t>
      </w:r>
      <w:r>
        <w:t xml:space="preserve">(bảo thủ nhất). Như vậy phần lớn bằng chứng I-P tích lũy suốt bốn thập kỷ có thể đã bị thổi phồng, nhưng</w:t>
      </w:r>
      <w:r>
        <w:t xml:space="preserve"> </w:t>
      </w:r>
      <w:r>
        <w:rPr>
          <w:iCs/>
          <w:i/>
        </w:rPr>
        <w:t xml:space="preserve">mức</w:t>
      </w:r>
      <w:r>
        <w:t xml:space="preserve"> </w:t>
      </w:r>
      <w:r>
        <w:t xml:space="preserve">thổi phồng phụ thuộc vào phương pháp hiệu chỉnh được giả định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Cụ thể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cụ thể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ước lượng lại trên bốn chế độ đông dữ liệu (I/II/III/MX,</w:t>
      </w:r>
      <w:r>
        <w:t xml:space="preserve"> </w:t>
      </w:r>
      <m:oMath>
        <m:r>
          <m:t>K</m:t>
        </m:r>
        <m:r>
          <m:rPr>
            <m:sty m:val="p"/>
          </m:rPr>
          <m:t>=</m:t>
        </m:r>
        <m:r>
          <m:t>285</m:t>
        </m:r>
      </m:oMath>
      <w:r>
        <w:t xml:space="preserve">),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không một chủ hiệu ứng điều tiết nào (thể chế hay số) vững chắc ở cấp tổng hợp,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w:t>
      </w:r>
      <w:r>
        <w:t xml:space="preserve"> </w:t>
      </w:r>
      <w:r>
        <w:rPr>
          <w:bCs/>
          <w:b/>
        </w:rPr>
        <w:t xml:space="preserve">sáu kiểm định bổ sung cho nhau</w:t>
      </w:r>
      <w:r>
        <w:t xml:space="preserve">, mỗi kiểm định có giả định riêng và điểm yếu riêng, nhằm bao quát hiệu ứng hiệu chỉnh thay vì ước lượng một điểm.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(mẫu nhỏ hơn) có xu hướng báo cáo mức độ ảnh hưởng thấp hơn, phù hợp với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nhưng phương pháp này được biết là có thể</w:t>
      </w:r>
      <w:r>
        <w:t xml:space="preserve"> </w:t>
      </w:r>
      <w:r>
        <w:rPr>
          <w:iCs/>
          <w:i/>
        </w:rPr>
        <w:t xml:space="preserve">điều chỉnh quá mức</w:t>
      </w:r>
      <w:r>
        <w:t xml:space="preserve"> </w:t>
      </w:r>
      <w:r>
        <w:t xml:space="preserve">dưới điều kiện dị biệt cao (</w:t>
      </w:r>
      <m:oMath>
        <m:sSup>
          <m:e>
            <m:r>
              <m:t>I</m:t>
            </m:r>
          </m:e>
          <m:sup>
            <m:r>
              <m:t>2</m:t>
            </m:r>
          </m:sup>
        </m:sSup>
        <m:r>
          <m:rPr>
            <m:sty m:val="p"/>
          </m:rPr>
          <m:t>&gt;</m:t>
        </m:r>
        <m:r>
          <m:t>80</m:t>
        </m:r>
        <m:r>
          <m:rPr>
            <m:sty m:val="p"/>
          </m:rPr>
          <m:t>%</m:t>
        </m:r>
      </m:oMath>
      <w:r>
        <w:t xml:space="preserve">; Terrin et al., 2003). Để bao quát hiệu ứng hiệu chỉnh, phân tích bổ sung hai phương pháp model-based:</w:t>
      </w:r>
      <w:r>
        <w:t xml:space="preserve"> </w:t>
      </w:r>
      <w:r>
        <w:rPr>
          <w:bCs/>
          <w:b/>
        </w:rPr>
        <w:t xml:space="preserve">PET-PEESE</w:t>
      </w:r>
      <w:r>
        <w:t xml:space="preserve"> </w:t>
      </w:r>
      <w:r>
        <w:t xml:space="preserve">(Stanley &amp; Doucouliagos, 2014) cho</w:t>
      </w:r>
      <w:r>
        <w:t xml:space="preserve"> </w:t>
      </w:r>
      <m:oMath>
        <m:sSub>
          <m:e>
            <m:r>
              <m:t>r</m:t>
            </m:r>
          </m:e>
          <m:sub>
            <m:r>
              <m:rPr>
                <m:nor/>
                <m:sty m:val="p"/>
              </m:rPr>
              <m:t>adj</m:t>
            </m:r>
          </m:sub>
        </m:sSub>
        <m:r>
          <m:rPr>
            <m:sty m:val="p"/>
          </m:rPr>
          <m:t>=</m:t>
        </m:r>
        <m:r>
          <m:t>0</m:t>
        </m:r>
        <m:r>
          <m:rPr>
            <m:sty m:val="p"/>
          </m:rPr>
          <m:t>,</m:t>
        </m:r>
        <m:r>
          <m:t>061</m:t>
        </m:r>
      </m:oMath>
      <w:r>
        <w:t xml:space="preserve"> </w:t>
      </w:r>
      <w:r>
        <w:t xml:space="preserve">(95% CI [0,042; 0,080]), mức điều chỉnh nhẹ;</w:t>
      </w:r>
      <w:r>
        <w:t xml:space="preserve"> </w:t>
      </w:r>
      <w:r>
        <w:rPr>
          <w:bCs/>
          <w:b/>
        </w:rPr>
        <w:t xml:space="preserve">mô hình lựa chọn ba tham số Vevea-Hedges</w:t>
      </w:r>
      <w:r>
        <w:t xml:space="preserve"> </w:t>
      </w:r>
      <w:r>
        <w:t xml:space="preserve">(Vevea &amp; Hedges, 1995; Hedges &amp; Vevea, 1996) cho</w:t>
      </w:r>
      <w:r>
        <w:t xml:space="preserve"> </w:t>
      </w:r>
      <m:oMath>
        <m:sSub>
          <m:e>
            <m:r>
              <m:t>r</m:t>
            </m:r>
          </m:e>
          <m:sub>
            <m:r>
              <m:rPr>
                <m:nor/>
                <m:sty m:val="p"/>
              </m:rPr>
              <m:t>adj</m:t>
            </m:r>
          </m:sub>
        </m:sSub>
        <m:r>
          <m:rPr>
            <m:sty m:val="p"/>
          </m:rPr>
          <m:t>=</m:t>
        </m:r>
        <m:r>
          <m:t>0</m:t>
        </m:r>
        <m:r>
          <m:rPr>
            <m:sty m:val="p"/>
          </m:rPr>
          <m:t>,</m:t>
        </m:r>
        <m:r>
          <m:t>077</m:t>
        </m:r>
      </m:oMath>
      <w:r>
        <w:t xml:space="preserve"> </w:t>
      </w:r>
      <w:r>
        <w:t xml:space="preserve">(95% CI [0,042; 0,111]) với kiểm định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khẳng định</w:t>
      </w:r>
      <w:r>
        <w:t xml:space="preserve"> </w:t>
      </w:r>
      <w:r>
        <w:rPr>
          <w:iCs/>
          <w:i/>
        </w:rPr>
        <w:t xml:space="preserve">selection thực sự tồn tại</w:t>
      </w:r>
      <w:r>
        <w:t xml:space="preserve"> </w:t>
      </w:r>
      <w:r>
        <w:t xml:space="preserve">nhưng độ lớn điều chỉnh khiêm tốn hơn.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w:t>
      </w:r>
      <w:r>
        <w:t xml:space="preserve"> </w:t>
      </w:r>
      <w:r>
        <w:rPr>
          <w:bCs/>
          <w:b/>
        </w:rPr>
        <w:t xml:space="preserve">Cách đọc tổng hợp:</w:t>
      </w:r>
      <w:r>
        <w:t xml:space="preserve"> </w:t>
      </w:r>
      <w:r>
        <w:t xml:space="preserve">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cách diễn giải rằng</w:t>
      </w:r>
      <w:r>
        <w:t xml:space="preserve"> </w:t>
      </w:r>
      <w:r>
        <w:t xml:space="preserve">“</w:t>
      </w:r>
      <w:r>
        <w:t xml:space="preserve">trường nghiên cứu I-P bị thổi phồng</w:t>
      </w:r>
      <w:r>
        <w:t xml:space="preserve">”</w:t>
      </w:r>
      <w:r>
        <w:t xml:space="preserve"> </w:t>
      </w:r>
      <w:r>
        <w:t xml:space="preserve">được khẳng định trên cả sáu kiểm định,</w:t>
      </w:r>
      <w:r>
        <w:t xml:space="preserve"> </w:t>
      </w:r>
      <w:r>
        <w:rPr>
          <w:iCs/>
          <w:i/>
        </w:rPr>
        <w:t xml:space="preserve">mức</w:t>
      </w:r>
      <w:r>
        <w:t xml:space="preserve"> </w:t>
      </w:r>
      <w:r>
        <w:t xml:space="preserve">thổi phồng phụ thuộc giả định selection-process được áp dụng.</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qua hai số hạng tương tác FSTS×ICRV và FSTS²×ICRV (đều</w:t>
      </w:r>
      <w:r>
        <w:t xml:space="preserve"> </w:t>
      </w:r>
      <m:oMath>
        <m:r>
          <m:t>p</m:t>
        </m:r>
        <m:r>
          <m:rPr>
            <m:sty m:val="p"/>
          </m:rPr>
          <m:t>&lt;</m:t>
        </m:r>
        <m:r>
          <m:rPr>
            <m:sty m:val="p"/>
          </m:rPr>
          <m:t>,</m:t>
        </m:r>
        <m:r>
          <m:t>001</m:t>
        </m:r>
      </m:oMath>
      <w:r>
        <w:t xml:space="preserve">),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riêng phần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40"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Start w:id="39" w:name="Xddeb49496c98b97fc07ec0deb4668c68609a243"/>
    <w:p>
      <w:pPr>
        <w:pStyle w:val="Heading3"/>
      </w:pPr>
      <w:r>
        <w:t xml:space="preserve">4.4.4 Ấn Độ, chế độ chuyển đổi thu nhập trung bình thấp với biến động thể chế cực đoan (Ấn Độ)</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4.7.</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(Đỗ &amp; Phan, 2026, bản thảo đang chuẩn bị nộp tạp chí MIR).</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End w:id="39"/>
    <w:bookmarkEnd w:id="40"/>
    <w:bookmarkStart w:id="44" w:name="X7dc1f4b6942ab8cbfe81c82f5ce732ad4c75229"/>
    <w:p>
      <w:pPr>
        <w:pStyle w:val="Heading2"/>
      </w:pPr>
      <w:r>
        <w:t xml:space="preserve">4.5 Trường hợp biên: quốc đảo nhỏ đang phát triển Thái Bình Dương (SIDS)</w:t>
      </w:r>
    </w:p>
    <w:bookmarkStart w:id="41"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1"/>
    <w:bookmarkStart w:id="42"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Vì biến phụ thuộc là logarit năng suất lao động, một bước tăng FSTS từ 0 lên 1 (từ không xuất khẩu sang xuất khẩu hoàn toàn) gắn với mức giảm năng suất khoảng</w:t>
      </w:r>
      <w:r>
        <w:t xml:space="preserve"> </w:t>
      </w:r>
      <m:oMath>
        <m:r>
          <m:rPr>
            <m:sty m:val="p"/>
          </m:rPr>
          <m:t>exp</m:t>
        </m:r>
        <m:d>
          <m:dPr>
            <m:begChr m:val="("/>
            <m:endChr m:val=")"/>
            <m:sepChr m:val=""/>
            <m:grow/>
          </m:dPr>
          <m:e>
            <m:r>
              <m:rPr>
                <m:sty m:val="p"/>
              </m:rPr>
              <m:t>−</m:t>
            </m:r>
            <m:r>
              <m:t>0</m:t>
            </m:r>
            <m:r>
              <m:rPr>
                <m:sty m:val="p"/>
              </m:rPr>
              <m:t>,</m:t>
            </m:r>
            <m:r>
              <m:t>404</m:t>
            </m:r>
          </m:e>
        </m:d>
        <m:r>
          <m:rPr>
            <m:sty m:val="p"/>
          </m:rPr>
          <m:t>−</m:t>
        </m:r>
        <m:r>
          <m:t>1</m:t>
        </m:r>
        <m:r>
          <m:rPr>
            <m:sty m:val="p"/>
          </m:rPr>
          <m:t>≈</m:t>
        </m:r>
        <m:r>
          <m:rPr>
            <m:sty m:val="p"/>
          </m:rPr>
          <m:t>−</m:t>
        </m:r>
        <m:r>
          <m:t>33</m:t>
        </m:r>
        <m:r>
          <m:rPr>
            <m:sty m:val="p"/>
          </m:rPr>
          <m:t>,</m:t>
        </m:r>
        <m:r>
          <m:t>2</m:t>
        </m:r>
        <m:r>
          <m:rPr>
            <m:sty m:val="p"/>
          </m:rPr>
          <m:t>%</m:t>
        </m:r>
      </m:oMath>
      <w:r>
        <w:t xml:space="preserve"> </w:t>
      </w:r>
      <w:r>
        <w:t xml:space="preserve">(không phải −40,4% như diễn giải tuyến tính sai sẽ gợi ý).</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2"/>
    <w:bookmarkStart w:id="43"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FIP). Khái niệm này không phải hoàn toàn mới: cấu trúc kinh tế của SIDS với ba ràng buộc đồng thời (thị trường nội địa nhỏ, chi phí thương mại cao, hỗ trợ thể chế yếu) đã được phân tích trong các nghiên cứu SIDS từ Briguglio (1995) và mô hình MIRAB của Bertram (2006). Đóng góp của luận án là (i) chính thức kết nối ràng buộc cấu trúc SIDS với dấu của hệ số FSTS trong hồi quy I-P ở cấp doanh nghiệp, (ii) cung cấp ước lượng định lượng đầu tiên (β = −0,404,</w:t>
      </w:r>
      <w:r>
        <w:t xml:space="preserve"> </w:t>
      </w:r>
      <m:oMath>
        <m:r>
          <m:t>p</m:t>
        </m:r>
      </m:oMath>
      <w:r>
        <w:t xml:space="preserve"> </w:t>
      </w:r>
      <w:r>
        <w:t xml:space="preserve">=,032) trên dữ liệu WBES, và (iii) đặt FIP như một điều kiện biên rõ ràng cho lý thuyết quan hệ I-P phi tuyến.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3"/>
    <w:bookmarkEnd w:id="44"/>
    <w:bookmarkStart w:id="49" w:name="thảo-luận-tổng-hợp"/>
    <w:p>
      <w:pPr>
        <w:pStyle w:val="Heading2"/>
      </w:pPr>
      <w:r>
        <w:t xml:space="preserve">4.6 Thảo luận tổng hợp</w:t>
      </w:r>
    </w:p>
    <w:bookmarkStart w:id="45"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5"/>
    <w:bookmarkStart w:id="46"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nối tiếp và mở rộng phát hiện của Bustamante et al. (2022) về tương tác cDAI-thể chế ở cấp SME đa quốc gia. Đóng góp tăng thêm của luận án là (i) áp dụng trên mẫu lớn hơn nhiều (28.500 quan sát so với mẫu SME của Bustamante), (ii) phân tách rõ TCI khỏi DAI để cô lập cơ chế số bề mặt khỏi năng lực công nghệ chiều sâu, và (iii) xác nhận hướng tương tác là</w:t>
      </w:r>
      <w:r>
        <w:t xml:space="preserve"> </w:t>
      </w:r>
      <w:r>
        <w:rPr>
          <w:iCs/>
          <w:i/>
        </w:rPr>
        <w:t xml:space="preserve">thay thế</w:t>
      </w:r>
      <w:r>
        <w:t xml:space="preserve"> </w:t>
      </w:r>
      <w:r>
        <w:t xml:space="preserve">chứ không phải</w:t>
      </w:r>
      <w:r>
        <w:t xml:space="preserve"> </w:t>
      </w:r>
      <w:r>
        <w:rPr>
          <w:iCs/>
          <w:i/>
        </w:rPr>
        <w:t xml:space="preserve">bổ sung</w:t>
      </w:r>
      <w:r>
        <w:t xml:space="preserve"> </w:t>
      </w:r>
      <w:r>
        <w:t xml:space="preserve">trên dải sáu chế độ ICRV, một kết luận mạnh hơn về mặt phương pháp do dải biến thiên thể chế của mẫu luận án rộng hơn đáng kể.</w:t>
      </w:r>
    </w:p>
    <w:bookmarkEnd w:id="46"/>
    <w:bookmarkStart w:id="47"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7"/>
    <w:bookmarkStart w:id="48"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8"/>
    <w:bookmarkEnd w:id="49"/>
    <w:bookmarkStart w:id="50"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2026-06-02T20:41:18Z</dcterms:created>
  <dcterms:modified xsi:type="dcterms:W3CDTF">2026-06-02T20:41:18Z</dcterms:modified>
</cp:coreProperties>
</file>

<file path=docProps/custom.xml><?xml version="1.0" encoding="utf-8"?>
<Properties xmlns="http://schemas.openxmlformats.org/officeDocument/2006/custom-properties" xmlns:vt="http://schemas.openxmlformats.org/officeDocument/2006/docPropsVTypes"/>
</file>