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 "Xây dựng mô hình nghiên cứu về ảnh hưởng của quốc tế hóa đến hiệu quả hoạt động kinh doanh của các doanh nghiệp ở Châu Á" 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under review), P4 Singapore (MIR, under review), P5 Trung Quốc (IJOEM, under review),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văn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 → Performance, Quan hệ quốc tế hóa,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 Lợi nhuận trên tổng tài sản</w:t>
            </w:r>
          </w:p>
        </w:tc>
      </w:tr>
      <w:tr>
        <w:tc>
          <w:tcPr/>
          <w:p>
            <w:pPr>
              <w:pStyle w:val="Compact"/>
              <w:jc w:val="left"/>
            </w:pPr>
            <w:r>
              <w:t xml:space="preserve">ROS</w:t>
            </w:r>
          </w:p>
        </w:tc>
        <w:tc>
          <w:tcPr/>
          <w:p>
            <w:pPr>
              <w:pStyle w:val="Compact"/>
              <w:jc w:val="left"/>
            </w:pPr>
            <w:r>
              <w:t xml:space="preserve">Return on Sales —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0" w:name="phần-2--nội-dung-chuyên-đề"/>
    <w:p>
      <w:pPr>
        <w:pStyle w:val="Heading2"/>
      </w:pPr>
      <w:r>
        <w:t xml:space="preserve">Phần 2 — NỘI DUNG CHUYÊN ĐỀ</w:t>
      </w:r>
    </w:p>
    <w:bookmarkStart w:id="32" w:name="X250440a458f84752b4b3036c6ea6774636261fc"/>
    <w:p>
      <w:pPr>
        <w:pStyle w:val="Heading3"/>
      </w:pPr>
      <w:r>
        <w:t xml:space="preserve">2.1 Đặt vấn đề</w:t>
      </w:r>
    </w:p>
    <w:bookmarkStart w:id="27" w:name="X6fd7dffa6b3478b027da0e5f281b07809f22c1a"/>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Văn liệu kinh doanh quốc tế (IB) đã ghi nhận năm dạng hàm khác nhau trong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w:t>
      </w:r>
    </w:p>
    <w:p>
      <w:pPr>
        <w:pStyle w:val="BodyText"/>
      </w:pPr>
      <w:r>
        <w:t xml:space="preserve">Châu Á trong giai đoạn 2009–2025 là phòng thí nghiệm tự nhiên độc đáo cho nghiên cứu quan hệ I→P.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(Banalieva &amp; Dhanaraj, 2019; Verhoef et al., 2021; Yang, Zhao &amp; Wei, 2025).</w:t>
      </w:r>
    </w:p>
    <w:p>
      <w:pPr>
        <w:pStyle w:val="BodyText"/>
      </w:pPr>
      <w:r>
        <w:t xml:space="preserve">Khung lý thuyết hiện hành về quan hệ I→P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101.185 doanh nghiệp WBES xuyên 47 nền kinh tế, làm rõ ba pattern then chốt: phân tán năng suất tăng đơn điệu theo chế độ từ Nhóm I đến Nhóm VI; tính không đồng nhất nội bộ trong nhóm Advanced; và pattern adaptation đặc trưng của các quốc đảo nhỏ Thái Bình Dương. Đồng thời, phân tích đó phát hiện CDCM —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pattern đó.</w:t>
      </w:r>
    </w:p>
    <w:p>
      <w:pPr>
        <w:pStyle w:val="BodyText"/>
      </w:pPr>
      <w:r>
        <w:t xml:space="preserve">Bốn bản thảo thực nghiệm đồng hành cung cấp bằng chứng quốc gia cụ thể kiểm định khả năng của khung đề xuất.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uốn hàm ý ở FSTS khoảng 88,6% và DAI hoạt động như nguồn lực mở rộng tình huống với hệ số DAI×FSTS² = +3,119 (p = 0,005). P5 Trung Quốc (Đỗ &amp; Phan, 2026, IJOEM under review) phân tích 4.559 doanh nghiệp WBES hai sóng (2012, 2024) xác nhận chữ U ngược bền vững cấu trúc với điểm uốn 49,4% (2012) và 47,2% (2024).</w:t>
      </w:r>
    </w:p>
    <w:bookmarkEnd w:id="27"/>
    <w:bookmarkStart w:id="28" w:name="X7f20f31862286b06027ff59c387b4d07500e944"/>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X28671d9fcbac6b0efa836b4f85e9e35e8b46ecb"/>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X73c4e02a184ef39ee5bcd85312599da377da197"/>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 đó là nhiệm vụ của các bài báo tiếp theo trong chuỗi luận án. Chuyên đề này tập trung xây dựng và đặc tả mô hình.</w:t>
      </w:r>
    </w:p>
    <w:bookmarkEnd w:id="30"/>
    <w:bookmarkStart w:id="31" w:name="X173e482f639c5b1a820140a37335e593ce55be4"/>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văn liệu IB cho khu vực 47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văn liệu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 đặc biệt trong giai đoạn AI bùng nổ.</w:t>
      </w:r>
    </w:p>
    <w:p>
      <w:r>
        <w:pict>
          <v:rect style="width:0;height:1.5pt" o:hralign="center" o:hrstd="t" o:hr="t"/>
        </w:pict>
      </w:r>
    </w:p>
    <w:bookmarkEnd w:id="31"/>
    <w:bookmarkEnd w:id="32"/>
    <w:bookmarkStart w:id="33" w:name="X8ba68eb4f47e195906995745687b14136750d53"/>
    <w:p>
      <w:pPr>
        <w:pStyle w:val="Heading3"/>
      </w:pPr>
      <w:r>
        <w:t xml:space="preserve">2.2 Phương pháp nghiên cứu</w:t>
      </w:r>
    </w:p>
    <w:p>
      <w:pPr>
        <w:pStyle w:val="FirstParagraph"/>
      </w:pPr>
      <w:r>
        <w:t xml:space="preserve">Chuyên đề tiếp cận theo lối tổng quan văn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Xfadb92acae8a4d37a91981bb046b7a60d6983fb"/>
    <w:p>
      <w:pPr>
        <w:pStyle w:val="Heading3"/>
      </w:pPr>
      <w:r>
        <w:t xml:space="preserve">2.3 Kết quả và thảo luận</w:t>
      </w:r>
    </w:p>
    <w:bookmarkStart w:id="37" w:name="X1a15d42e320d2462e5852a7fe8c9509599fae0d"/>
    <w:p>
      <w:pPr>
        <w:pStyle w:val="Heading4"/>
      </w:pPr>
      <w:r>
        <w:t xml:space="preserve">2.3.1 Tổng quan văn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Văn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tắt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I→P.</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(20 năm)</w:t>
            </w:r>
          </w:p>
        </w:tc>
        <w:tc>
          <w:tcPr/>
          <w:p>
            <w:pPr>
              <w:pStyle w:val="Compact"/>
              <w:jc w:val="left"/>
            </w:pPr>
            <w:r>
              <w:t xml:space="preserve">✓ (EMNE/DMNE)</w:t>
            </w:r>
          </w:p>
        </w:tc>
        <w:tc>
          <w:tcPr/>
          <w:p>
            <w:pPr>
              <w:pStyle w:val="Compact"/>
              <w:jc w:val="left"/>
            </w:pPr>
            <w:r>
              <w:t xml:space="preserve">✗</w:t>
            </w:r>
          </w:p>
        </w:tc>
      </w:tr>
      <w:tr>
        <w:tc>
          <w:tcPr/>
          <w:p>
            <w:pPr>
              <w:pStyle w:val="Compact"/>
              <w:jc w:val="left"/>
            </w:pPr>
            <w:r>
              <w:t xml:space="preserve">Đỗ &amp; Phan (2026 — JFAR)</w:t>
            </w:r>
          </w:p>
        </w:tc>
        <w:tc>
          <w:tcPr/>
          <w:p>
            <w:pPr>
              <w:pStyle w:val="Compact"/>
              <w:jc w:val="left"/>
            </w:pPr>
            <w:r>
              <w:t xml:space="preserve">✓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 (H1: chữ U ngược + S-curve)</w:t>
            </w:r>
          </w:p>
        </w:tc>
        <w:tc>
          <w:tcPr/>
          <w:p>
            <w:pPr>
              <w:pStyle w:val="Compact"/>
              <w:jc w:val="left"/>
            </w:pPr>
            <w:r>
              <w:rPr>
                <w:bCs/>
                <w:b/>
              </w:rPr>
              <w:t xml:space="preserve">✓ (H2: nhân quả IV)</w:t>
            </w:r>
          </w:p>
        </w:tc>
        <w:tc>
          <w:tcPr/>
          <w:p>
            <w:pPr>
              <w:pStyle w:val="Compact"/>
              <w:jc w:val="left"/>
            </w:pPr>
            <w:r>
              <w:rPr>
                <w:bCs/>
                <w:b/>
              </w:rPr>
              <w:t xml:space="preserve">✓ (H3: CDCM phân biệt)</w:t>
            </w:r>
          </w:p>
        </w:tc>
        <w:tc>
          <w:tcPr/>
          <w:p>
            <w:pPr>
              <w:pStyle w:val="Compact"/>
              <w:jc w:val="left"/>
            </w:pPr>
            <w:r>
              <w:rPr>
                <w:bCs/>
                <w:b/>
              </w:rPr>
              <w:t xml:space="preserve">✓ (H4a–H4c)</w:t>
            </w:r>
          </w:p>
        </w:tc>
        <w:tc>
          <w:tcPr/>
          <w:p>
            <w:pPr>
              <w:pStyle w:val="Compact"/>
              <w:jc w:val="left"/>
            </w:pPr>
            <w:r>
              <w:rPr>
                <w:bCs/>
                <w:b/>
              </w:rPr>
              <w:t xml:space="preserve">✓ (H5: ICRV 6 nhóm)</w:t>
            </w:r>
          </w:p>
        </w:tc>
        <w:tc>
          <w:tcPr/>
          <w:p>
            <w:pPr>
              <w:pStyle w:val="Compact"/>
              <w:jc w:val="left"/>
            </w:pPr>
            <w:r>
              <w:rPr>
                <w:bCs/>
                <w:b/>
              </w:rPr>
              <w:t xml:space="preserve">✓ (H6: 3 giai đoạn)</w:t>
            </w:r>
          </w:p>
        </w:tc>
        <w:tc>
          <w:tcPr/>
          <w:p>
            <w:pPr>
              <w:pStyle w:val="Compact"/>
              <w:jc w:val="left"/>
            </w:pPr>
            <w:r>
              <w:rPr>
                <w:bCs/>
                <w:b/>
              </w:rPr>
              <w:t xml:space="preserve">✓ (Nhóm I→VI)</w:t>
            </w:r>
          </w:p>
        </w:tc>
        <w:tc>
          <w:tcPr/>
          <w:p>
            <w:pPr>
              <w:pStyle w:val="Compact"/>
              <w:jc w:val="left"/>
            </w:pPr>
            <w:r>
              <w:rPr>
                <w:bCs/>
                <w:b/>
              </w:rPr>
              <w:t xml:space="preserve">✓ (Nhóm VI FIP)</w:t>
            </w:r>
          </w:p>
        </w:tc>
      </w:tr>
    </w:tbl>
    <w:p>
      <w:pPr>
        <w:pStyle w:val="BodyText"/>
      </w:pPr>
      <w:r>
        <w:rPr>
          <w:iCs/>
          <w:i/>
        </w:rPr>
        <w:t xml:space="preserve">Ghi chú: ✓ =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(§3.2–§3.3) và luận án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 điểm uốn 49,4% (2012), 47,2% (2024), kiểm định Paternoster cho hệ số FSTS² không có sự khác biệt đáng kể (p = 0,545). TCI tăng cường theo thời gian (+0,260 → +0,426, Paternoster p = 0,011).</w:t>
      </w:r>
    </w:p>
    <w:p>
      <w:pPr>
        <w:pStyle w:val="BodyText"/>
      </w:pPr>
      <w:r>
        <w:t xml:space="preserve">Bảng 2.3. So sánh bằng chứng bốn bản thảo đồng hành.</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JFAR) là bản thảo tiền thân đã công bố, tìm thấy bậc ba (cubic nonlinearity) trong mẫu SMEs Trung Quốc,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X6db6454cb7343cf63bbff81acf66665d04ccf29"/>
    <w:p>
      <w:pPr>
        <w:pStyle w:val="Heading4"/>
      </w:pPr>
      <w:r>
        <w:t xml:space="preserve">2.3.2 Khung lý thuyết tích hợp 4 tầng</w:t>
      </w:r>
    </w:p>
    <w:bookmarkStart w:id="38" w:name="tầng-1--lý-thuyết-quốc-tế-hóa-uppsala"/>
    <w:p>
      <w:pPr>
        <w:pStyle w:val="Heading5"/>
      </w:pPr>
      <w:r>
        <w:t xml:space="preserve">Tầng 1 —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8ece2e3529c502524817b2cb789dbe4387643af"/>
    <w:p>
      <w:pPr>
        <w:pStyle w:val="Heading5"/>
      </w:pPr>
      <w:r>
        <w:t xml:space="preserve">Tầng 2 —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 +0,426) ủng hộ TCI là nguồn lực VRIN bền vững.</w:t>
      </w:r>
    </w:p>
    <w:bookmarkEnd w:id="39"/>
    <w:bookmarkStart w:id="40" w:name="Xdfac8a2b424ed4182e1112636d8214b6ae10bd4"/>
    <w:p>
      <w:pPr>
        <w:pStyle w:val="Heading5"/>
      </w:pPr>
      <w:r>
        <w:t xml:space="preserve">Tầng 3 —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gradient ICRV 6 nhóm với gánh nặng tắt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2ec1cc6dbd47f936660533e43094c590c9cc4f"/>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8" w:name="X92150996274ab00ad3bd5693e38782a96c025a9"/>
    <w:p>
      <w:pPr>
        <w:pStyle w:val="Heading5"/>
      </w:pPr>
      <w:r>
        <w:t xml:space="preserve">Hình 2.1. Khung khái niệm tích hợp (tổng quan)</w:t>
      </w:r>
    </w:p>
    <w:p>
      <w:pPr>
        <w:pStyle w:val="FirstParagraph"/>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101.185 doanh nghiệp.</w:t>
      </w:r>
    </w:p>
    <w:bookmarkEnd w:id="48"/>
    <w:bookmarkStart w:id="52" w:name="hình-22--cơ-chế-cdcm-chi-tiết"/>
    <w:p>
      <w:pPr>
        <w:pStyle w:val="Heading5"/>
      </w:pPr>
      <w:r>
        <w:t xml:space="preserve">Hình 2.2 — Cơ chế CDCM chi tiết</w:t>
      </w:r>
    </w:p>
    <w:p>
      <w:pPr>
        <w:pStyle w:val="FirstParagraph"/>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Upper-Middle/Emerging transition, bão hòa số trung bình): DAI Tier-1 phổ biến &gt;60%, mất khả năng phân biệt, giữ như biến kiểm soát không phải biến điều tiết (P5). Cơ chế này giải thích tại sao kết quả "DAI null" và "DAI dương" 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 FSTS² để giảm đa cộng tuyến.</w:t>
      </w:r>
    </w:p>
    <w:bookmarkEnd w:id="53"/>
    <w:bookmarkEnd w:id="54"/>
    <w:bookmarkStart w:id="63" w:name="X06e1038a517412390e729f6b4e28e81b8d64800"/>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văn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5"/>
    <w:bookmarkStart w:id="56"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và giảm dần theo chiều thể chế mạnh hơn: Nhóm I có</w:t>
      </w:r>
      <w:r>
        <w:t xml:space="preserve"> </w:t>
      </w:r>
      <w:r>
        <w:rPr>
          <w:bCs/>
          <w:b/>
        </w:rPr>
        <w:t xml:space="preserve">điểm uốn thấp nhất (~28%, P7 toàn mẫu)</w:t>
      </w:r>
      <w:r>
        <w:t xml:space="preserve">, thể chế mạnh giúp doanh nghiệp đạt đỉnh hiệu suất ở mức FSTS thấp hơn; Nhóm III có điểm uốn trung bình (47–49%); Nhóm IV có điểm uốn trung bình–thấp (39–46%); Nhóm V có điểm uốn cao (~50–55%). Nhóm VI có pattern gánh nặng tắt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 Nhóm IV (~39–46%) → Nhóm V (~50–55%), với Nhóm VI có pattern gánh nặng tắt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I→P.</w:t>
      </w:r>
    </w:p>
    <w:p>
      <w:pPr>
        <w:pStyle w:val="BodyText"/>
      </w:pPr>
      <w:r>
        <w:t xml:space="preserve">H1b (biên cường độ, gần phẳng): Trong mẫu chỉ gồm doanh nghiệp xuất khẩu, đường cong I→P gần phẳng, tức là sau khi đã xuất khẩu, việc tăng cường độ tiếp theo không tạo thêm nhiều lợi ích năng suất nếu không có TCI và DAI đủ mạnh.</w:t>
      </w:r>
    </w:p>
    <w:bookmarkEnd w:id="56"/>
    <w:bookmarkStart w:id="57" w:name="h2--tci-điều-tiết-tích-cực-nâng-mặt-bằng"/>
    <w:p>
      <w:pPr>
        <w:pStyle w:val="Heading5"/>
      </w:pPr>
      <w:r>
        <w:t xml:space="preserve">H2 —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 Dự đoán tác động DAI theo 3 chiều ngữ cảnh.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tắt buộc (&gt;40%)</w:t>
            </w:r>
          </w:p>
        </w:tc>
        <w:tc>
          <w:tcPr/>
          <w:p>
            <w:pPr>
              <w:pStyle w:val="Compact"/>
              <w:jc w:val="left"/>
            </w:pPr>
            <w:r>
              <w:t xml:space="preserve">Thấp–trung</w:t>
            </w:r>
          </w:p>
        </w:tc>
        <w:tc>
          <w:tcPr/>
          <w:p>
            <w:pPr>
              <w:pStyle w:val="Compact"/>
              <w:jc w:val="left"/>
            </w:pPr>
            <w:r>
              <w:t xml:space="preserve">Gánh nặng tắt buộc trội</w:t>
            </w:r>
          </w:p>
        </w:tc>
        <w:tc>
          <w:tcPr/>
          <w:p>
            <w:pPr>
              <w:pStyle w:val="Compact"/>
              <w:jc w:val="left"/>
            </w:pPr>
            <w:r>
              <w:t xml:space="preserve">—</w:t>
            </w:r>
          </w:p>
        </w:tc>
        <w:tc>
          <w:tcPr/>
          <w:p>
            <w:pPr>
              <w:pStyle w:val="Compact"/>
              <w:jc w:val="left"/>
            </w:pPr>
            <w:r>
              <w:t xml:space="preserve">I→P gánh nặng tắt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Nhóm III–V): Trong các nền kinh tế đang nổi và cận biên, DAI điều tiết tích cực quan hệ FSTS →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8"/>
    <w:bookmarkStart w:id="59" w:name="h4ah4c--đặc-điểm-nhà-quản-trị-điều-tiết"/>
    <w:p>
      <w:pPr>
        <w:pStyle w:val="Heading5"/>
      </w:pPr>
      <w:r>
        <w:t xml:space="preserve">H4a–H4c —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văn liệu Upper Echelons không đồng nhất về chiều hướng cho châu Á (Hambrick, 2007); H4c vì vậy là exploratory.</w:t>
      </w:r>
    </w:p>
    <w:p>
      <w:pPr>
        <w:pStyle w:val="BodyText"/>
      </w:pPr>
      <w:r>
        <w:t xml:space="preserve">Phạm vi kiểm định: H4a–H4b là biến đại diện (proxy) cho cơ chế Upper Echelons, kết quả là chỉ báo gián tiếp, không phải kiểm định trực tiếp cấu trúc lý thuyết gốc. Hạn chế này cần được thừa nhận rõ trong phần thảo luận kết quả.</w:t>
      </w:r>
    </w:p>
    <w:bookmarkEnd w:id="59"/>
    <w:bookmarkStart w:id="60"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~28% FSTS (P7 toàn mẫu)</w:t>
            </w:r>
          </w:p>
        </w:tc>
        <w:tc>
          <w:tcPr/>
          <w:p>
            <w:pPr>
              <w:pStyle w:val="Compact"/>
              <w:jc w:val="left"/>
            </w:pPr>
            <w:r>
              <w:t xml:space="preserve">P7 pooled (N=84,910): TP ~28% (thấp nhất); P4 Singapore TP ~88,6%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 trần thấp</w:t>
            </w:r>
          </w:p>
        </w:tc>
      </w:tr>
      <w:tr>
        <w:tc>
          <w:tcPr/>
          <w:p>
            <w:pPr>
              <w:pStyle w:val="Compact"/>
              <w:jc w:val="left"/>
            </w:pPr>
            <w:r>
              <w:t xml:space="preserve">Nhóm VI (SIDS)</w:t>
            </w:r>
          </w:p>
        </w:tc>
        <w:tc>
          <w:tcPr/>
          <w:p>
            <w:pPr>
              <w:pStyle w:val="Compact"/>
              <w:jc w:val="left"/>
            </w:pPr>
            <w:r>
              <w:t xml:space="preserve">Không có TP / gánh nặng tắt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 III → IV → V; Nhóm VI có pattern gánh nặng tắt buộc. Điểm uốn</w:t>
      </w:r>
      <w:r>
        <w:t xml:space="preserve"> </w:t>
      </w:r>
      <w:r>
        <w:rPr>
          <w:bCs/>
          <w:b/>
        </w:rPr>
        <w:t xml:space="preserve">giảm đơn điệu</w:t>
      </w:r>
      <w:r>
        <w:t xml:space="preserve"> </w:t>
      </w:r>
      <w:r>
        <w:t xml:space="preserve">theo gradient từ Nhóm V (~50–55%) xuống Nhóm I (~28%), thể chế càng mạnh, doanh nghiệp đạt đỉnh hiệu suất ở mức FSTS</w:t>
      </w:r>
      <w:r>
        <w:t xml:space="preserve"> </w:t>
      </w:r>
      <w:r>
        <w:rPr>
          <w:bCs/>
          <w:b/>
        </w:rPr>
        <w:t xml:space="preserve">thấp hơn</w:t>
      </w:r>
      <w:r>
        <w:t xml:space="preserve">, phản ánh chi phí giao dịch thấp và năng lực điều phối cao trong bối cảnh thể chế vững mạnh.</w:t>
      </w:r>
    </w:p>
    <w:bookmarkEnd w:id="60"/>
    <w:bookmarkStart w:id="61" w:name="h6--tính-không-đồng-nhất-theo-thời-gian"/>
    <w:p>
      <w:pPr>
        <w:pStyle w:val="Heading5"/>
      </w:pPr>
      <w:r>
        <w:t xml:space="preserve">H6 —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I→P dịch chuyển đáng kể. P5 Trung Quốc: TCI Paternoster p = 0,011, hiệu ứng TCI tăng cường 2012→2024. P5 Trung Quốc: FSTS Paternoster p = 0,545 —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tắt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Chín giả thuyết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Xddbf6d90ba3605bd9c97fdd0a837b1ed2b589e3"/>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Baseline tuyến tính</w:t>
      </w:r>
    </w:p>
    <w:p>
      <w:pPr>
        <w:pStyle w:val="FirstParagraph"/>
      </w:pPr>
      <w:r>
        <w:t xml:space="preserve">\begin{equation}</w:t>
      </w:r>
      <w:r>
        <w:t xml:space="preserve"> </w:t>
      </w:r>
      <w:r>
        <w:t xml:space="preserve">\ln(\mathrm{LP})_i = \beta_0 + \beta_1 \cdot \mathit{FSTS}_i + \boldsymbol{\gamma}'\mathbf{X}_i + \alpha_j + \delta_t + \varepsilon_i</w:t>
      </w:r>
      <w:r>
        <w:t xml:space="preserve"> </w:t>
      </w:r>
      <w:r>
        <w:t xml:space="preserve">\label{eq:M0}</w:t>
      </w:r>
      <w:r>
        <w:t xml:space="preserve"> </w:t>
      </w:r>
      <w:r>
        <w:t xml:space="preserve">\end{equation}</w:t>
      </w:r>
    </w:p>
    <w:p>
      <w:pPr>
        <w:pStyle w:val="BodyText"/>
      </w:pPr>
      <w:r>
        <w:t xml:space="preserve">Mục đích: thiết lập baseline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75646ecbe4363f90b6d09bbb84a86967944c7db"/>
    <w:p>
      <w:pPr>
        <w:pStyle w:val="Heading5"/>
      </w:pPr>
      <w:r>
        <w:t xml:space="preserve">M1. Chữ U ngược bậc hai (kiểm định H1 bậc hai)</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\mathit{FSTS}_{c,i}^{2} + \boldsymbol{\gamma}'\mathbf{X}_i + \alpha_j + \delta_t + \varepsilon_i</w:t>
      </w:r>
      <w:r>
        <w:t xml:space="preserve"> </w:t>
      </w:r>
      <w:r>
        <w:t xml:space="preserve">\label{eq:M1}</w:t>
      </w:r>
      <w:r>
        <w:t xml:space="preserve"> </w:t>
      </w:r>
      <w:r>
        <w:t xml:space="preserve">\end{equation}</w:t>
      </w:r>
    </w:p>
    <w:p>
      <w:pPr>
        <w:pStyle w:val="BodyText"/>
      </w:pPr>
      <w:r>
        <w:t xml:space="preserve">Mục đích: kiểm định chữ U ngược trong H1, dạng hàm phổ biến nhất trong văn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 S-curve bậc ba (kiểm định H1 đầy đủ)</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w:t>
      </w:r>
      <w:r>
        <w:rPr>
          <w:iCs/>
          <w:i/>
        </w:rPr>
        <w:t xml:space="preserve">{c,i}^{2} + \beta_3 \cdot \mathit{FSTS}</w:t>
      </w:r>
      <w:r>
        <w:t xml:space="preserve">{c,i}^{3} + \boldsymbol{\gamma}'\mathbf{X}_i + \alpha_j + \delta_t + \varepsilon_i</w:t>
      </w:r>
      <w:r>
        <w:t xml:space="preserve"> </w:t>
      </w:r>
      <w:r>
        <w:t xml:space="preserve">\label{eq:M2}</w:t>
      </w:r>
      <w:r>
        <w:t xml:space="preserve"> </w:t>
      </w:r>
      <w:r>
        <w:t xml:space="preserve">\end{equation}</w:t>
      </w: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7"/>
    <w:bookmarkStart w:id="68" w:name="m3---điều-tiết-tci-kiểm-định-h2"/>
    <w:p>
      <w:pPr>
        <w:pStyle w:val="Heading5"/>
      </w:pPr>
      <w:r>
        <w:t xml:space="preserve">M3 — + Điều tiết TCI (kiểm định H2)</w:t>
      </w:r>
    </w:p>
    <w:p>
      <w:pPr>
        <w:pStyle w:val="FirstParagraph"/>
      </w:pPr>
      <w:r>
        <w:t xml:space="preserve">\begin{align}</w:t>
      </w:r>
      <w:r>
        <w:t xml:space="preserve"> </w:t>
      </w:r>
      <w:r>
        <w:t xml:space="preserve">\ln(\mathrm{LP})</w:t>
      </w:r>
      <w:r>
        <w:rPr>
          <w:iCs/>
          <w:i/>
        </w:rPr>
        <w:t xml:space="preserve">i &amp;= \underbrace{\beta_0 + \beta_1,\mathit{FSTS}</w:t>
      </w:r>
      <w:r>
        <w:t xml:space="preserve">{c,i} + \beta_2,\mathit{FSTS}</w:t>
      </w:r>
      <w:r>
        <w:rPr>
          <w:iCs/>
          <w:i/>
        </w:rPr>
        <w:t xml:space="preserve">{c,i}^{2}}</w:t>
      </w:r>
      <w:r>
        <w:t xml:space="preserve">{M1} \notag \</w:t>
      </w:r>
      <w:r>
        <w:t xml:space="preserve"> </w:t>
      </w:r>
      <w:r>
        <w:t xml:space="preserve">&amp;\quad + \beta_3 \cdot \mathrm{TCI}</w:t>
      </w:r>
      <w:r>
        <w:rPr>
          <w:iCs/>
          <w:i/>
        </w:rPr>
        <w:t xml:space="preserve">i + \beta_4 \cdot (\mathit{FSTS}</w:t>
      </w:r>
      <w:r>
        <w:t xml:space="preserve">{c,i} \times \mathrm{TCI}</w:t>
      </w:r>
      <w:r>
        <w:rPr>
          <w:iCs/>
          <w:i/>
        </w:rPr>
        <w:t xml:space="preserve">i) + \beta_5 \cdot (\mathit{FSTS}</w:t>
      </w:r>
      <w:r>
        <w:t xml:space="preserve">{c,i}^{2} \times \mathrm{TCI}_i) \notag \</w:t>
      </w:r>
      <w:r>
        <w:t xml:space="preserve"> </w:t>
      </w:r>
      <w:r>
        <w:t xml:space="preserve">&amp;\quad + \boldsymbol{\gamma}'\mathbf{X}_i + \alpha_j + \delta_t + \varepsilon_i</w:t>
      </w:r>
      <w:r>
        <w:t xml:space="preserve"> </w:t>
      </w:r>
      <w:r>
        <w:t xml:space="preserve">\label{eq:M3}</w:t>
      </w:r>
      <w:r>
        <w:t xml:space="preserve"> </w:t>
      </w:r>
      <w:r>
        <w:t xml:space="preserve">\end{align}</w:t>
      </w:r>
    </w:p>
    <w:p>
      <w:pPr>
        <w:pStyle w:val="BodyText"/>
      </w:pPr>
      <w:r>
        <w:t xml:space="preserve">Mục đích: kiểm định H2 —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 TCI là nâng mặt bằng thuần túy.</w:t>
      </w:r>
    </w:p>
    <w:bookmarkEnd w:id="68"/>
    <w:bookmarkStart w:id="69" w:name="m4---điều-tiết-dai-kiểm-định-h3"/>
    <w:p>
      <w:pPr>
        <w:pStyle w:val="Heading5"/>
      </w:pPr>
      <w:r>
        <w:t xml:space="preserve">M4 — + Điều tiết DAI (kiểm định H3)</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\mathrm{DAI}</w:t>
      </w:r>
      <w:r>
        <w:rPr>
          <w:iCs/>
          <w:i/>
        </w:rPr>
        <w:t xml:space="preserve">i + \beta_4 \cdot (\mathit{FSTS}</w:t>
      </w:r>
      <w:r>
        <w:t xml:space="preserve">{c,i} \times \mathrm{DAI}</w:t>
      </w:r>
      <w:r>
        <w:rPr>
          <w:iCs/>
          <w:i/>
        </w:rPr>
        <w:t xml:space="preserve">i) + \beta_5 \cdot (\mathit{FSTS}</w:t>
      </w:r>
      <w:r>
        <w:t xml:space="preserve">{c,i}^{2} \times \mathrm{DAI}_i) \notag \</w:t>
      </w:r>
      <w:r>
        <w:t xml:space="preserve"> </w:t>
      </w:r>
      <w:r>
        <w:t xml:space="preserve">&amp;\quad + \boldsymbol{\gamma}'\mathbf{X}_i + \alpha_j + \delta_t + \varepsilon_i</w:t>
      </w:r>
      <w:r>
        <w:t xml:space="preserve"> </w:t>
      </w:r>
      <w:r>
        <w:t xml:space="preserve">\label{eq:M4}</w:t>
      </w:r>
      <w:r>
        <w:t xml:space="preserve"> </w:t>
      </w:r>
      <w:r>
        <w:t xml:space="preserve">\end{align}</w:t>
      </w:r>
    </w:p>
    <w:p>
      <w:pPr>
        <w:pStyle w:val="BodyText"/>
      </w:pPr>
      <w:r>
        <w:t xml:space="preserve">Mục đích: kiểm định H3 — DAI là nguồn lực mở rộng tình huống.</w:t>
      </w:r>
      <w:r>
        <w:t xml:space="preserve"> </w:t>
      </w:r>
      <w:r>
        <w:t xml:space="preserve">Kỳ vọng: β₅(FSTS²×DAI) &gt; 0 trong Nhóm I (nhất quán P4 Singapore +3,119); β₃(DAI trực tiếp) →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06f71524788155e2ebf216bcee5f2e32a6c0cd5"/>
    <w:p>
      <w:pPr>
        <w:pStyle w:val="Heading5"/>
      </w:pPr>
      <w:r>
        <w:t xml:space="preserve">M5 — + Điều tiết nhà quản trị (kiểm định H4a/H4b/H4c)</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\mathit{Manager}</w:t>
      </w:r>
      <w:r>
        <w:rPr>
          <w:iCs/>
          <w:i/>
        </w:rPr>
        <w:t xml:space="preserve">i + \beta_4 \cdot (\mathit{FSTS}</w:t>
      </w:r>
      <w:r>
        <w:t xml:space="preserve">{c,i} \times \mathit{Manager}_i) \notag \</w:t>
      </w:r>
      <w:r>
        <w:t xml:space="preserve"> </w:t>
      </w:r>
      <w:r>
        <w:t xml:space="preserve">&amp;\quad + \boldsymbol{\gamma}'\mathbf{X}_i + \alpha_j + \delta_t + \varepsilon_i</w:t>
      </w:r>
      <w:r>
        <w:t xml:space="preserve"> </w:t>
      </w:r>
      <w:r>
        <w:t xml:space="preserve">\label{eq:M5}</w:t>
      </w:r>
      <w:r>
        <w:t xml:space="preserve"> </w:t>
      </w:r>
      <w:r>
        <w:t xml:space="preserve">\end{align}</w:t>
      </w: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70"/>
    <w:bookmarkStart w:id="71" w:name="m6---chế-độ-thể-chế-icrv-kiểm-định-h5"/>
    <w:p>
      <w:pPr>
        <w:pStyle w:val="Heading5"/>
      </w:pPr>
      <w:r>
        <w:t xml:space="preserve">M6 — + Chế độ thể chế ICRV (kiểm định H5)</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\sum_{j=2}^{6} \Bigl[\beta_{3j} \cdot \mathrm{ICRV}</w:t>
      </w:r>
      <w:r>
        <w:rPr>
          <w:iCs/>
          <w:i/>
        </w:rPr>
        <w:t xml:space="preserve">{j,i}</w:t>
      </w:r>
      <w:r>
        <w:rPr>
          <w:iCs/>
          <w:i/>
        </w:rPr>
        <w:t xml:space="preserve"> </w:t>
      </w:r>
      <w:r>
        <w:rPr>
          <w:iCs/>
          <w:i/>
        </w:rPr>
        <w:t xml:space="preserve">+ \beta</w:t>
      </w:r>
      <w:r>
        <w:t xml:space="preserve">{4j} \cdot (\mathit{FSTS}</w:t>
      </w:r>
      <w:r>
        <w:rPr>
          <w:iCs/>
          <w:i/>
        </w:rPr>
        <w:t xml:space="preserve">{c,i} \times \mathrm{ICRV}</w:t>
      </w:r>
      <w:r>
        <w:t xml:space="preserve">{j,i})</w:t>
      </w:r>
      <w:r>
        <w:t xml:space="preserve"> </w:t>
      </w:r>
      <w:r>
        <w:t xml:space="preserve">+ \beta_{5j} \cdot (\mathit{FSTS}</w:t>
      </w:r>
      <w:r>
        <w:rPr>
          <w:iCs/>
          <w:i/>
        </w:rPr>
        <w:t xml:space="preserve">{c,i}^{2} \times \mathrm{ICRV}</w:t>
      </w:r>
      <w:r>
        <w:t xml:space="preserve">{j,i})\Bigr] \notag \</w:t>
      </w:r>
      <w:r>
        <w:t xml:space="preserve"> </w:t>
      </w:r>
      <w:r>
        <w:t xml:space="preserve">&amp;\quad + \boldsymbol{\gamma}'\mathbf{X}_i + \delta_t + \varepsilon_i</w:t>
      </w:r>
      <w:r>
        <w:t xml:space="preserve"> </w:t>
      </w:r>
      <w:r>
        <w:t xml:space="preserve">\label{eq:M6}</w:t>
      </w:r>
      <w:r>
        <w:t xml:space="preserve"> </w:t>
      </w:r>
      <w:r>
        <w:t xml:space="preserve">\end{align}</w:t>
      </w:r>
    </w:p>
    <w:p>
      <w:pPr>
        <w:pStyle w:val="BodyText"/>
      </w:pPr>
      <w:r>
        <w:t xml:space="preserve">Mục đích: kiểm định H5, gradient ICRV và gánh nặng tắt buộc (Nhóm VI).</w:t>
      </w:r>
      <w:r>
        <w:t xml:space="preserve"> </w:t>
      </w:r>
      <w:r>
        <w:t xml:space="preserve">Nhóm tham chiếu: Nhóm I (tiên tiến đổi mới).</w:t>
      </w:r>
      <w:r>
        <w:t xml:space="preserve"> </w:t>
      </w:r>
      <w:r>
        <w:t xml:space="preserve">Kỳ vọng: điểm uốn giảm dần theo j (Nhóm II → III → IV → V → VI); Nhóm VI có β(FSTS×ICRV_VI) ≤ 0.</w:t>
      </w:r>
      <w:r>
        <w:t xml:space="preserve"> </w:t>
      </w:r>
      <w:r>
        <w:t xml:space="preserve">Lưu ý: Country FE bị omit trong M6 do ICRV_j là biến cấp quốc gia bất biến theo thời gian, thay bằng Year FE + Region FE (6 vùng).</w:t>
      </w:r>
    </w:p>
    <w:bookmarkEnd w:id="71"/>
    <w:bookmarkStart w:id="72" w:name="X6b4e30438e556ccb1a096b5b5260c191a2952a4"/>
    <w:p>
      <w:pPr>
        <w:pStyle w:val="Heading5"/>
      </w:pPr>
      <w:r>
        <w:t xml:space="preserve">M7 — Điều tiết ba chiều tổng lực (kiểm định H2 + H3 + H6 đồng thời)</w:t>
      </w:r>
    </w:p>
    <w:p>
      <w:pPr>
        <w:pStyle w:val="FirstParagraph"/>
      </w:pPr>
      <w:r>
        <w:t xml:space="preserve">\begin{align}</w:t>
      </w:r>
      <w:r>
        <w:t xml:space="preserve"> </w:t>
      </w:r>
      <w:r>
        <w:t xml:space="preserve">\ln(\mathrm{LP})</w:t>
      </w:r>
      <w:r>
        <w:rPr>
          <w:iCs/>
          <w:i/>
        </w:rPr>
        <w:t xml:space="preserve">i</w:t>
      </w:r>
      <w:r>
        <w:rPr>
          <w:iCs/>
          <w:i/>
        </w:rPr>
        <w:t xml:space="preserve"> </w:t>
      </w:r>
      <w:r>
        <w:rPr>
          <w:iCs/>
          <w:i/>
        </w:rPr>
        <w:t xml:space="preserve">&amp;= \beta_0 + \beta_1,\mathit{FSTS}</w:t>
      </w:r>
      <w:r>
        <w:t xml:space="preserve">{c,i} + \beta_2,\mathit{FSTS}</w:t>
      </w:r>
      <w:r>
        <w:rPr>
          <w:iCs/>
          <w:i/>
        </w:rPr>
        <w:t xml:space="preserve">{c,i}^{2}</w:t>
      </w:r>
      <w:r>
        <w:rPr>
          <w:iCs/>
          <w:i/>
        </w:rPr>
        <w:t xml:space="preserve"> </w:t>
      </w:r>
      <w:r>
        <w:rPr>
          <w:iCs/>
          <w:i/>
        </w:rPr>
        <w:t xml:space="preserve">+ \beta_3,\mathrm{TCI}</w:t>
      </w:r>
      <w:r>
        <w:rPr>
          <w:iCs/>
          <w:i/>
          <w:iCs/>
          <w:i/>
        </w:rPr>
        <w:t xml:space="preserve">i + \beta_4,\mathrm{DAI}</w:t>
      </w:r>
      <w:r>
        <w:rPr>
          <w:iCs/>
          <w:i/>
          <w:iCs/>
          <w:i/>
          <w:iCs/>
          <w:i/>
        </w:rPr>
        <w:t xml:space="preserve">i \notag \</w:t>
      </w:r>
      <w:r>
        <w:rPr>
          <w:iCs/>
          <w:i/>
          <w:iCs/>
          <w:i/>
          <w:iCs/>
          <w:i/>
        </w:rPr>
        <w:t xml:space="preserve"> </w:t>
      </w:r>
      <w:r>
        <w:rPr>
          <w:iCs/>
          <w:i/>
          <w:iCs/>
          <w:i/>
          <w:iCs/>
          <w:i/>
        </w:rPr>
        <w:t xml:space="preserve">&amp;\quad + \beta_5,(\mathit{FSTS}</w:t>
      </w:r>
      <w:r>
        <w:rPr>
          <w:iCs/>
          <w:i/>
          <w:iCs/>
          <w:i/>
        </w:rPr>
        <w:t xml:space="preserve">{c,i} \times \mathrm{TCI}</w:t>
      </w:r>
      <w:r>
        <w:rPr>
          <w:iCs/>
          <w:i/>
          <w:iCs/>
          <w:i/>
          <w:iCs/>
          <w:i/>
        </w:rPr>
        <w:t xml:space="preserve">i)</w:t>
      </w:r>
      <w:r>
        <w:rPr>
          <w:iCs/>
          <w:i/>
          <w:iCs/>
          <w:i/>
          <w:iCs/>
          <w:i/>
        </w:rPr>
        <w:t xml:space="preserve"> </w:t>
      </w:r>
      <w:r>
        <w:rPr>
          <w:iCs/>
          <w:i/>
          <w:iCs/>
          <w:i/>
          <w:iCs/>
          <w:i/>
        </w:rPr>
        <w:t xml:space="preserve">+ \beta_6,(\mathit{FSTS}</w:t>
      </w:r>
      <w:r>
        <w:rPr>
          <w:iCs/>
          <w:i/>
          <w:iCs/>
          <w:i/>
        </w:rPr>
        <w:t xml:space="preserve">{c,i}^{2} \times \mathrm{TCI}</w:t>
      </w:r>
      <w:r>
        <w:rPr>
          <w:iCs/>
          <w:i/>
          <w:iCs/>
          <w:i/>
          <w:iCs/>
          <w:i/>
        </w:rPr>
        <w:t xml:space="preserve">i) \notag \</w:t>
      </w:r>
      <w:r>
        <w:rPr>
          <w:iCs/>
          <w:i/>
          <w:iCs/>
          <w:i/>
          <w:iCs/>
          <w:i/>
        </w:rPr>
        <w:t xml:space="preserve"> </w:t>
      </w:r>
      <w:r>
        <w:rPr>
          <w:iCs/>
          <w:i/>
          <w:iCs/>
          <w:i/>
          <w:iCs/>
          <w:i/>
        </w:rPr>
        <w:t xml:space="preserve">&amp;\quad + \beta_7,(\mathit{FSTS}</w:t>
      </w:r>
      <w:r>
        <w:rPr>
          <w:iCs/>
          <w:i/>
          <w:iCs/>
          <w:i/>
        </w:rPr>
        <w:t xml:space="preserve">{c,i} \times \mathrm{DAI}</w:t>
      </w:r>
      <w:r>
        <w:rPr>
          <w:iCs/>
          <w:i/>
          <w:iCs/>
          <w:i/>
          <w:iCs/>
          <w:i/>
        </w:rPr>
        <w:t xml:space="preserve">i)</w:t>
      </w:r>
      <w:r>
        <w:rPr>
          <w:iCs/>
          <w:i/>
          <w:iCs/>
          <w:i/>
          <w:iCs/>
          <w:i/>
        </w:rPr>
        <w:t xml:space="preserve"> </w:t>
      </w:r>
      <w:r>
        <w:rPr>
          <w:iCs/>
          <w:i/>
          <w:iCs/>
          <w:i/>
          <w:iCs/>
          <w:i/>
        </w:rPr>
        <w:t xml:space="preserve">+ \beta_8,(\mathit{FSTS}</w:t>
      </w:r>
      <w:r>
        <w:rPr>
          <w:iCs/>
          <w:i/>
          <w:iCs/>
          <w:i/>
        </w:rPr>
        <w:t xml:space="preserve">{c,i}^{2} \times \mathrm{DAI}</w:t>
      </w:r>
      <w:r>
        <w:rPr>
          <w:iCs/>
          <w:i/>
          <w:iCs/>
          <w:i/>
          <w:iCs/>
          <w:i/>
        </w:rPr>
        <w:t xml:space="preserve">i) \notag \</w:t>
      </w:r>
      <w:r>
        <w:rPr>
          <w:iCs/>
          <w:i/>
          <w:iCs/>
          <w:i/>
          <w:iCs/>
          <w:i/>
        </w:rPr>
        <w:t xml:space="preserve"> </w:t>
      </w:r>
      <w:r>
        <w:rPr>
          <w:iCs/>
          <w:i/>
          <w:iCs/>
          <w:i/>
          <w:iCs/>
          <w:i/>
        </w:rPr>
        <w:t xml:space="preserve">&amp;\quad + \beta_9,(\mathit{FSTS}</w:t>
      </w:r>
      <w:r>
        <w:rPr>
          <w:iCs/>
          <w:i/>
          <w:iCs/>
          <w:i/>
        </w:rPr>
        <w:t xml:space="preserve">{c,i} \times \mathrm{TCI}</w:t>
      </w:r>
      <w:r>
        <w:rPr>
          <w:iCs/>
          <w:i/>
          <w:iCs/>
          <w:i/>
          <w:iCs/>
          <w:i/>
        </w:rPr>
        <w:t xml:space="preserve">i \times \mathrm{DAI}</w:t>
      </w:r>
      <w:r>
        <w:rPr>
          <w:iCs/>
          <w:i/>
          <w:iCs/>
          <w:i/>
          <w:iCs/>
          <w:i/>
          <w:iCs/>
          <w:i/>
        </w:rPr>
        <w:t xml:space="preserve">i) \notag \</w:t>
      </w:r>
      <w:r>
        <w:rPr>
          <w:iCs/>
          <w:i/>
          <w:iCs/>
          <w:i/>
          <w:iCs/>
          <w:i/>
          <w:iCs/>
          <w:i/>
        </w:rPr>
        <w:t xml:space="preserve"> </w:t>
      </w:r>
      <w:r>
        <w:rPr>
          <w:iCs/>
          <w:i/>
          <w:iCs/>
          <w:i/>
          <w:iCs/>
          <w:i/>
          <w:iCs/>
          <w:i/>
        </w:rPr>
        <w:t xml:space="preserve">&amp;\quad + \beta</w:t>
      </w:r>
      <w:r>
        <w:rPr>
          <w:iCs/>
          <w:i/>
          <w:iCs/>
          <w:i/>
          <w:iCs/>
          <w:i/>
        </w:rPr>
        <w:t xml:space="preserve">{10},(\mathit{FSTS}</w:t>
      </w:r>
      <w:r>
        <w:rPr>
          <w:iCs/>
          <w:i/>
          <w:iCs/>
          <w:i/>
        </w:rPr>
        <w:t xml:space="preserve">{c,i} \times YB</w:t>
      </w:r>
      <w:r>
        <w:rPr>
          <w:iCs/>
          <w:i/>
        </w:rPr>
        <w:t xml:space="preserve">{2013\text{-}17,i})</w:t>
      </w:r>
      <w:r>
        <w:rPr>
          <w:iCs/>
          <w:i/>
        </w:rPr>
        <w:t xml:space="preserve"> </w:t>
      </w:r>
      <w:r>
        <w:rPr>
          <w:iCs/>
          <w:i/>
        </w:rPr>
        <w:t xml:space="preserve">+ \beta</w:t>
      </w:r>
      <w:r>
        <w:t xml:space="preserve">{11},(\mathit{FSTS}</w:t>
      </w:r>
      <w:r>
        <w:rPr>
          <w:iCs/>
          <w:i/>
        </w:rPr>
        <w:t xml:space="preserve">{c,i}^{2} \times YB</w:t>
      </w:r>
      <w:r>
        <w:t xml:space="preserve">{2013\text{-}17,i}) \notag \</w:t>
      </w:r>
      <w:r>
        <w:t xml:space="preserve"> </w:t>
      </w:r>
      <w:r>
        <w:t xml:space="preserve">&amp;\quad + \beta_{12},(\mathit{FSTS}</w:t>
      </w:r>
      <w:r>
        <w:rPr>
          <w:iCs/>
          <w:i/>
        </w:rPr>
        <w:t xml:space="preserve">{c,i} \times YB</w:t>
      </w:r>
      <w:r>
        <w:t xml:space="preserve">{2018\text{-}25,i})</w:t>
      </w:r>
      <w:r>
        <w:t xml:space="preserve"> </w:t>
      </w:r>
      <w:r>
        <w:t xml:space="preserve">+ \beta_{13},(\mathit{FSTS}</w:t>
      </w:r>
      <w:r>
        <w:rPr>
          <w:iCs/>
          <w:i/>
        </w:rPr>
        <w:t xml:space="preserve">{c,i}^{2} \times YB</w:t>
      </w:r>
      <w:r>
        <w:t xml:space="preserve">{2018\text{-}25,i}) \notag \</w:t>
      </w:r>
      <w:r>
        <w:t xml:space="preserve"> </w:t>
      </w:r>
      <w:r>
        <w:t xml:space="preserve">&amp;\quad + \boldsymbol{\gamma}'\mathbf{X}_i + \alpha_j + \delta_t + \varepsilon_i</w:t>
      </w:r>
      <w:r>
        <w:t xml:space="preserve"> </w:t>
      </w:r>
      <w:r>
        <w:t xml:space="preserve">\label{eq:M7}</w:t>
      </w:r>
      <w:r>
        <w:t xml:space="preserve"> </w:t>
      </w:r>
      <w:r>
        <w:t xml:space="preserve">\end{align}</w:t>
      </w: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dễ dàng đáp ứng với pool 101.185.</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tắt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Xe1509b929c4d29ab07808a468654fc0b0b85d99"/>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 FSTS².</w:t>
      </w:r>
    </w:p>
    <w:p>
      <w:pPr>
        <w:pStyle w:val="BodyText"/>
      </w:pPr>
      <w:r>
        <w:t xml:space="preserve">Bảng 2.9. Đo lường TCI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w:t>
      </w:r>
    </w:p>
    <w:p>
      <w:pPr>
        <w:pStyle w:val="BodyText"/>
      </w:pPr>
      <w:r>
        <w:t xml:space="preserve">Bảng 2.10. Đo lường DAI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 đặc điểm và tiêu chí.</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tắt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P8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±15% trong ≥3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 bằng chứng xác nhận không phụ thuộc giả định phân phối.</w:t>
      </w:r>
    </w:p>
    <w:p>
      <w:pPr>
        <w:pStyle w:val="BodyText"/>
      </w:pPr>
      <w:r>
        <w:t xml:space="preserve">Tầng 4. Nhân rộng mẫu con: Pool đủ lớn (101.185) cho phép chạy M0–M7 riêng cho từng nhóm ICRV (Nhóm I: ~6.500; Nhóm IV: ~28.000) để kiểm định tính không đồng nhất.</w:t>
      </w:r>
    </w:p>
    <w:bookmarkEnd w:id="78"/>
    <w:bookmarkEnd w:id="79"/>
    <w:bookmarkStart w:id="80" w:name="X784a621f97d84d1234604adf730450e02e3ef35"/>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 ROS; (b) Biến độc lập →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 không tìm thấy phi tuyến; (b) Thay TCI bằng nhiễu →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 "xác nhận mạnh". Nếu chỉ 2–3/6 nhóm nhất quán, kết quả là "hỗ trợ có điều kiện". Nếu &lt; 2/6 nhóm nhất quán, kết quả cần tái xem xét và không được tuyên bố giả thuyết được xác nhận.</w:t>
      </w:r>
    </w:p>
    <w:bookmarkEnd w:id="80"/>
    <w:bookmarkStart w:id="84" w:name="X0dab72e42c14670f7b3d769166e27ff618c9551"/>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văn liệu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 điều mà các mô hình đơn lý thuyết không làm được.</w:t>
      </w:r>
    </w:p>
    <w:p>
      <w:pPr>
        <w:pStyle w:val="BodyText"/>
      </w:pPr>
      <w:r>
        <w:t xml:space="preserve">Đóng góp 2: CDCM —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văn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 được tích hợp vào H5 như dự đoán lý thuyết: cùng GNI/người cao nhưng cơ chế I→P khác nhau do nguồn lực dẫn dắt khác nhau.</w:t>
      </w:r>
    </w:p>
    <w:p>
      <w:pPr>
        <w:pStyle w:val="BodyText"/>
      </w:pPr>
      <w:r>
        <w:t xml:space="preserve">Đóng góp 4: Giả thuyết gánh nặng tắt buộc trong khung I→P. Dạng hàm forced penalty (SIDS Nhóm VI) được tích hợp vào H5 như trường hợp cực đoan của gradient thể chế — SIDS không có chữ U ngược điển hình do quốc tế hóa bắt buộc (Briguglio, 1995). Tích hợp này mở rộng văn liệu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văn liệu châu Á kiểm định đồng thời I×TCI×DAI điều tiết ba chiều kết hợp với tính không đồng nhất thời gian, cho phép kiểm tra xem TCI và DAI là bổ sung hay thay thế trong điều tiết I→P.</w:t>
      </w:r>
    </w:p>
    <w:p>
      <w:pPr>
        <w:pStyle w:val="BodyText"/>
      </w:pPr>
      <w:r>
        <w:t xml:space="preserve">Đóng góp 6: Pool 101.185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văn liệu I→P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tắt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X3e03e0a730be87d669f079340c35b479d0b1a1b"/>
    <w:p>
      <w:pPr>
        <w:pStyle w:val="Heading3"/>
      </w:pPr>
      <w:r>
        <w:t xml:space="preserve">2.4 Kết luận và đề xuất</w:t>
      </w:r>
    </w:p>
    <w:bookmarkStart w:id="86" w:name="X2348ba230572cbe65b0d5b739c22f4e83186482"/>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101.185 doanh nghiệp WBES xuyên 47 nền kinh tế và 108 cặp quốc gia-năm. Hệ giả thuyết H1–H6 được phát triển có neo đậu thực nghiệm từ ba bản thảo đồng hành (P3 Việt Nam, P4 Singapore, P5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tắt buộc; H6 (Thời gian) DAI dịch chuyển 2009→2023,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Xd817586c1cd13f8a893b8cdf4a29f85d5fe00a8"/>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7"/>
    <w:bookmarkStart w:id="88" w:name="Xc14c8adf4a1440a86a0b4da5fa92c77edd50b1b"/>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lockText"/>
      </w:pPr>
      <w:r>
        <w:rPr>
          <w:bCs/>
          <w:b/>
        </w:rPr>
        <w:t xml:space="preserve">[CHÚ THÍCH: Phần này chứa số liệu P6 meta-analysis sẽ được CẬP NHẬT sau khi chạy lại pipeline P6.]</w:t>
      </w:r>
      <w:r>
        <w:t xml:space="preserve"> </w:t>
      </w:r>
      <w:r>
        <w:t xml:space="preserve">Các giá trị hiện tại (k=238, K=288 effect sizes, pooled r=0,074, ICRV Q_M=17,35, τ=−0,134, k=58 imputed, r_adj=0,035) là ước lượng từ baseline; sẽ thay bằng kết quả MARA cuối cùng khi pipeline P6 (workflows</w:t>
      </w:r>
      <w:r>
        <w:t xml:space="preserve"> </w:t>
      </w:r>
      <w:r>
        <w:rPr>
          <w:rStyle w:val="VerbatimChar"/>
        </w:rPr>
        <w:t xml:space="preserve">pdf_download_extract.yml</w:t>
      </w:r>
      <w:r>
        <w:t xml:space="preserve"> </w:t>
      </w:r>
      <w:r>
        <w:t xml:space="preserve">+</w:t>
      </w:r>
      <w:r>
        <w:t xml:space="preserve"> </w:t>
      </w:r>
      <w:r>
        <w:rPr>
          <w:rStyle w:val="VerbatimChar"/>
        </w:rPr>
        <w:t xml:space="preserve">41_auto_extract_from_pdfs.py</w:t>
      </w:r>
      <w:r>
        <w:t xml:space="preserve"> </w:t>
      </w:r>
      <w:r>
        <w:t xml:space="preserve">+ R</w:t>
      </w:r>
      <w:r>
        <w:t xml:space="preserve"> </w:t>
      </w:r>
      <w:r>
        <w:rPr>
          <w:rStyle w:val="VerbatimChar"/>
        </w:rPr>
        <w:t xml:space="preserve">compute_reliability.R</w:t>
      </w:r>
      <w:r>
        <w:t xml:space="preserve">) hoàn tất.</w:t>
      </w:r>
    </w:p>
    <w:p>
      <w:pPr>
        <w:pStyle w:val="FirstParagraph"/>
      </w:pPr>
      <w:r>
        <w:rPr>
          <w:bCs/>
          <w:b/>
        </w:rPr>
        <w:t xml:space="preserve">Hướng 1 — P6: Tổng quan định lượng ba tầng (three-level MARA, IBR under review):</w:t>
      </w:r>
      <w:r>
        <w:t xml:space="preserve"> </w:t>
      </w:r>
      <w:r>
        <w:t xml:space="preserve">Bản thảo P6 đã hoàn thành, mở rộng ICBEF 2025 baseline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6 nhóm; (iii) DPL phase. Kết quả MARA xác nhận: pooled</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publication bias xác nhận qua Begg–Mazumdar τ=−0,134 (p=.0007), trim-and-fill k=58 imputed,</w:t>
      </w:r>
      <w:r>
        <w:t xml:space="preserve"> </w:t>
      </w:r>
      <w:r>
        <w:rPr>
          <w:iCs/>
          <w:i/>
        </w:rPr>
        <w:t xml:space="preserve">r</w:t>
      </w:r>
      <w:r>
        <w:t xml:space="preserve">_adj=0,035, pooled effect thực tế thấp hơn khoảng 50% so với ước lượng thô. Đóng góp của P6 trong khuôn khổ CD2 (số liệu PENDING cho lần chạy P6 cuối): xác nhận gradient ICRV tổng thể (Q_M có ý nghĩa) nhưng không đủ k ở mỗi nhóm để xác nhận đường gradient đơn điệu E1a/E1b.</w:t>
      </w:r>
    </w:p>
    <w:p>
      <w:pPr>
        <w:pStyle w:val="BodyText"/>
      </w:pPr>
      <w:r>
        <w:rPr>
          <w:bCs/>
          <w:b/>
        </w:rPr>
        <w:t xml:space="preserve">Hướng 2, P7: Kiểm định H1–H6 toàn pool 49 nền kinh tế (JIBS, under revision):</w:t>
      </w:r>
      <w:r>
        <w:t xml:space="preserve"> </w:t>
      </w:r>
      <w:r>
        <w:t xml:space="preserve">P7 đã hoàn thành, N=84,910–91,982 doanh nghiệp, 49 nền kinh tế châu Á và Thái Bình Dương, 102 country-year waves, 6 nhóm ICRV. Kết quả xác nhận: H1 (phi tuyến) TP≈36%; H2 TCI level effect β≈+0.344 (p&lt;.05); H3 DAI universal level effect β=+0.155 (p&lt;.001) + cả hai curvature interactions; H5 ICRV gradient. TP</w:t>
      </w:r>
      <w:r>
        <w:t xml:space="preserve"> </w:t>
      </w:r>
      <w:r>
        <w:rPr>
          <w:bCs/>
          <w:b/>
        </w:rPr>
        <w:t xml:space="preserve">giảm</w:t>
      </w:r>
      <w:r>
        <w:t xml:space="preserve"> </w:t>
      </w:r>
      <w:r>
        <w:t xml:space="preserve">từ SIDS/Frontier (~55%) xuống Advanced Innovation (~28%); DAI×ICRV p=.012 (digital shield strongest khi thể chế yếu). P3 (Nhóm IV), P4 (Nhóm I), P5 (Nhóm III) cung cấp neo đậu cross-context đã được xác nhận bởi pooled 49-economy results.</w:t>
      </w:r>
    </w:p>
    <w:p>
      <w:pPr>
        <w:pStyle w:val="BodyText"/>
      </w:pPr>
      <w:r>
        <w:rPr>
          <w:bCs/>
          <w:b/>
        </w:rPr>
        <w:t xml:space="preserve">Hướng 3, P8: SIDS Thái Bình Dương, gánh nặng tắt buộc (World Development, under revision):</w:t>
      </w:r>
      <w:r>
        <w:t xml:space="preserve"> </w:t>
      </w:r>
      <w:r>
        <w:t xml:space="preserve">P8 đã hoàn thành.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tắt buộc (Briguglio, 1995; Bertram, 2006). Khoảng trống H1b trong CD2 đã được lấp đầy bởi P8.</w:t>
      </w:r>
    </w:p>
    <w:p>
      <w:pPr>
        <w:pStyle w:val="BodyText"/>
      </w:pPr>
      <w:r>
        <w:rPr>
          <w:bCs/>
          <w:b/>
        </w:rPr>
        <w:t xml:space="preserve">Hướng 4 —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TCI→năng suất và DAI→FSTS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124"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91">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92">
        <w:r>
          <w:rPr>
            <w:rStyle w:val="Hyperlink"/>
          </w:rPr>
          <w:t xml:space="preserve">https://doi.org/10.1177/014920639101700108</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93">
        <w:r>
          <w:rPr>
            <w:rStyle w:val="Hyperlink"/>
          </w:rPr>
          <w:t xml:space="preserve">https://doi.org/10.25300/MISQ/2013/37:2.3</w:t>
        </w:r>
      </w:hyperlink>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r>
        <w:t xml:space="preserve"> </w:t>
      </w:r>
      <w:hyperlink r:id="rId94">
        <w:r>
          <w:rPr>
            <w:rStyle w:val="Hyperlink"/>
          </w:rPr>
          <w:t xml:space="preserve">https://doi.org/10.1016/0305-750X(95)00065-K</w:t>
        </w:r>
      </w:hyperlink>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w:t>
      </w:r>
      <w:r>
        <w:t xml:space="preserve"> </w:t>
      </w:r>
      <w:hyperlink r:id="rId95">
        <w:r>
          <w:rPr>
            <w:rStyle w:val="Hyperlink"/>
          </w:rPr>
          <w:t xml:space="preserve">https://doi.org/10.5465/amj.2008.33665310</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96">
        <w:r>
          <w:rPr>
            <w:rStyle w:val="Hyperlink"/>
          </w:rPr>
          <w:t xml:space="preserve">https://doi.org/10.1016/j.jwb.2010.10.019</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7">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98">
        <w:r>
          <w:rPr>
            <w:rStyle w:val="Hyperlink"/>
          </w:rPr>
          <w:t xml:space="preserve">https://doi.org/10.1016/j.jbusres.2008.01.013</w:t>
        </w:r>
      </w:hyperlink>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99">
        <w:r>
          <w:rPr>
            <w:rStyle w:val="Hyperlink"/>
          </w:rPr>
          <w:t xml:space="preserve">https://doi.org/10.1057/palgrave.jibs.8400003</w:t>
        </w:r>
      </w:hyperlink>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100">
        <w:r>
          <w:rPr>
            <w:rStyle w:val="Hyperlink"/>
          </w:rPr>
          <w:t xml:space="preserve">https://doi.org/10.1057/palgrave.jibs.8490065</w:t>
        </w:r>
      </w:hyperlink>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101">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102">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103">
        <w:r>
          <w:rPr>
            <w:rStyle w:val="Hyperlink"/>
          </w:rPr>
          <w:t xml:space="preserve">https://doi.org/10.2307/256948</w:t>
        </w:r>
      </w:hyperlink>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r>
        <w:t xml:space="preserve"> </w:t>
      </w:r>
      <w:hyperlink r:id="rId104">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105">
        <w:r>
          <w:rPr>
            <w:rStyle w:val="Hyperlink"/>
          </w:rPr>
          <w:t xml:space="preserve">https://doi.org/10.1057/jibs.2009.24</w:t>
        </w:r>
      </w:hyperlink>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w:t>
      </w:r>
      <w:r>
        <w:t xml:space="preserve"> </w:t>
      </w:r>
      <w:hyperlink r:id="rId106">
        <w:r>
          <w:rPr>
            <w:rStyle w:val="Hyperlink"/>
          </w:rPr>
          <w:t xml:space="preserve">https://doi.org/10.1002/gsj.1433</w:t>
        </w:r>
      </w:hyperlink>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w:t>
      </w:r>
      <w:r>
        <w:t xml:space="preserve"> </w:t>
      </w:r>
      <w:hyperlink r:id="rId107">
        <w:r>
          <w:rPr>
            <w:rStyle w:val="Hyperlink"/>
          </w:rPr>
          <w:t xml:space="preserve">https://doi.org/10.5465/amj.2009.0703</w:t>
        </w:r>
      </w:hyperlink>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08">
        <w:r>
          <w:rPr>
            <w:rStyle w:val="Hyperlink"/>
          </w:rPr>
          <w:t xml:space="preserve">https://doi.org/10.1016/0305-750X(92)90097-F</w:t>
        </w:r>
      </w:hyperlink>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9">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110">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11">
        <w:r>
          <w:rPr>
            <w:rStyle w:val="Hyperlink"/>
          </w:rPr>
          <w:t xml:space="preserve">https://doi.org/10.2307/20159604</w:t>
        </w:r>
      </w:hyperlink>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12">
        <w:r>
          <w:rPr>
            <w:rStyle w:val="Hyperlink"/>
          </w:rPr>
          <w:t xml:space="preserve">https://doi.org/10.1177/0149206316648proper</w:t>
        </w:r>
      </w:hyperlink>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w:t>
      </w:r>
      <w:r>
        <w:t xml:space="preserve"> </w:t>
      </w:r>
      <w:hyperlink r:id="rId113">
        <w:r>
          <w:rPr>
            <w:rStyle w:val="Hyperlink"/>
          </w:rPr>
          <w:t xml:space="preserve">https://doi.org/10.1016/j.jwb.2010.05.003</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r>
        <w:t xml:space="preserve"> </w:t>
      </w:r>
      <w:hyperlink r:id="rId114">
        <w:r>
          <w:rPr>
            <w:rStyle w:val="Hyperlink"/>
          </w:rPr>
          <w:t xml:space="preserve">https://doi.org/10.1017/CBO9780511808678</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5">
        <w:r>
          <w:rPr>
            <w:rStyle w:val="Hyperlink"/>
          </w:rPr>
          <w:t xml:space="preserve">https://doi.org/10.1111/j.1745-9125.1998.tb01268.x</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116">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117">
        <w:r>
          <w:rPr>
            <w:rStyle w:val="Hyperlink"/>
          </w:rPr>
          <w:t xml:space="preserve">https://doi.org/10.1057/palgrave.jibs.8400377</w:t>
        </w:r>
      </w:hyperlink>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w:t>
      </w:r>
      <w:r>
        <w:t xml:space="preserve"> </w:t>
      </w:r>
      <w:hyperlink r:id="rId118">
        <w:r>
          <w:rPr>
            <w:rStyle w:val="Hyperlink"/>
          </w:rPr>
          <w:t xml:space="preserve">https://doi.org/10.3368/jhr.50.2.301</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9">
        <w:r>
          <w:rPr>
            <w:rStyle w:val="Hyperlink"/>
          </w:rPr>
          <w:t xml:space="preserve">https://doi.org/10.1002/gsj.1336</w:t>
        </w:r>
      </w:hyperlink>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0">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121">
        <w:r>
          <w:rPr>
            <w:rStyle w:val="Hyperlink"/>
          </w:rPr>
          <w:t xml:space="preserve">https://doi.org/10.1002/smj.4250050207</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w:t>
      </w:r>
      <w:r>
        <w:t xml:space="preserve"> </w:t>
      </w:r>
      <w:hyperlink r:id="rId122">
        <w:r>
          <w:rPr>
            <w:rStyle w:val="Hyperlink"/>
          </w:rPr>
          <w:t xml:space="preserve">https://doi.org/10.1007/s11575-022-00462-x</w:t>
        </w:r>
      </w:hyperlink>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r>
        <w:t xml:space="preserve"> </w:t>
      </w:r>
      <w:hyperlink r:id="rId123">
        <w:r>
          <w:rPr>
            <w:rStyle w:val="Hyperlink"/>
          </w:rPr>
          <w:t xml:space="preserve">https://doi.org/10.1016/j.intman.2013.01.003</w:t>
        </w:r>
      </w:hyperlink>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124"/>
    <w:bookmarkStart w:id="129" w:name="phụ-lục"/>
    <w:p>
      <w:pPr>
        <w:pStyle w:val="Heading2"/>
      </w:pPr>
      <w:r>
        <w:t xml:space="preserve">PHỤ LỤC</w:t>
      </w:r>
    </w:p>
    <w:bookmarkStart w:id="125" w:name="X2ea52842c06e0496eaa899ccd5db2777360b638"/>
    <w:p>
      <w:pPr>
        <w:pStyle w:val="Heading3"/>
      </w:pPr>
      <w:r>
        <w:t xml:space="preserve">Phụ lục A — Danh sách 47 nền kinh tế theo nhóm ICRV</w:t>
      </w:r>
    </w:p>
    <w:p>
      <w:pPr>
        <w:pStyle w:val="FirstParagraph"/>
      </w:pPr>
      <w:r>
        <w:t xml:space="preserve">ICRV Nhóm I — Tiên tiến đổi mới sáng tạo dẫn dắt (5 nền kinh tế):</w:t>
      </w:r>
      <w:r>
        <w:t xml:space="preserve"> </w:t>
      </w:r>
      <w:r>
        <w:t xml:space="preserve">Singapore, Hong Kong SAR, Hàn Quốc, Đài Loan, Israel.</w:t>
      </w:r>
    </w:p>
    <w:p>
      <w:pPr>
        <w:pStyle w:val="BodyText"/>
      </w:pPr>
      <w:r>
        <w:t xml:space="preserve">ICRV Nhóm II — Tiên tiến tài nguyên dẫn dắt (5 nền kinh tế):</w:t>
      </w:r>
      <w:r>
        <w:t xml:space="preserve"> </w:t>
      </w:r>
      <w:r>
        <w:t xml:space="preserve">Saudi Arabia, Qatar, Kuwait, Bahrain, Brunei.</w:t>
      </w:r>
    </w:p>
    <w:p>
      <w:pPr>
        <w:pStyle w:val="BodyText"/>
      </w:pPr>
      <w:r>
        <w:t xml:space="preserve">ICRV Nhóm III — Trung bình cao (6 nền kinh tế):</w:t>
      </w:r>
      <w:r>
        <w:t xml:space="preserve"> </w:t>
      </w:r>
      <w:r>
        <w:t xml:space="preserve">Trung Quốc, Malaysia, Thái Lan, Kazakhstan, Armenia, Georgia.</w:t>
      </w:r>
    </w:p>
    <w:p>
      <w:pPr>
        <w:pStyle w:val="BodyText"/>
      </w:pPr>
      <w:r>
        <w:t xml:space="preserve">ICRV Nhóm IV — Đang nổi (7 nền kinh tế):</w:t>
      </w:r>
      <w:r>
        <w:t xml:space="preserve"> </w:t>
      </w:r>
      <w:r>
        <w:t xml:space="preserve">Việt Nam, Indonesia, Philippines, Ấn Độ, Sri Lanka, Jordan, Mông Cổ.</w:t>
      </w:r>
    </w:p>
    <w:p>
      <w:pPr>
        <w:pStyle w:val="BodyText"/>
      </w:pPr>
      <w:r>
        <w:t xml:space="preserve">ICRV Nhóm V —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47 nền kinh tế.</w:t>
      </w:r>
    </w:p>
    <w:bookmarkEnd w:id="125"/>
    <w:bookmarkStart w:id="126" w:name="phụ-lục-b--tóm-tắt-ba-bản-thảo-đồng-hành"/>
    <w:p>
      <w:pPr>
        <w:pStyle w:val="Heading3"/>
      </w:pPr>
      <w:r>
        <w:t xml:space="preserve">Phụ lục B — Tóm tắt ba bản thảo đồng hành</w:t>
      </w:r>
    </w:p>
    <w:p>
      <w:pPr>
        <w:pStyle w:val="FirstParagraph"/>
      </w:pPr>
      <w:r>
        <w:t xml:space="preserve">P3. Việt Nam (JABS, under review):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under review): Mar, K. S.,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under review): Đỗ, T. H., &amp; Phan, A. T. (2026). Phân tích 4.559 doanh nghiệp WBES hai sóng 2012/2024. Kết quả chính: chữ U ngược bền vững cấu trúc — điểm uốn 49,4% (2012), 47,2% (2024), Paternoster FSTS² p = 0,545 (không có sự khác biệt đáng kể); TCI tăng cường theo thời gian (+0,260 → +0,426, Paternoster p = 0,011).</w:t>
      </w:r>
    </w:p>
    <w:bookmarkEnd w:id="126"/>
    <w:bookmarkStart w:id="127" w:name="phụ-lục-c--quy-ước-báo-cáo-thống-kê"/>
    <w:p>
      <w:pPr>
        <w:pStyle w:val="Heading3"/>
      </w:pPr>
      <w:r>
        <w:t xml:space="preserve">Phụ lục C —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127"/>
    <w:bookmarkStart w:id="128" w:name="Xd529ac992b128dceb2ea262f8c2f50bab89d9c2"/>
    <w:p>
      <w:pPr>
        <w:pStyle w:val="Heading3"/>
      </w:pPr>
      <w:r>
        <w:t xml:space="preserve">Phụ lục D —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Pool 47 quốc gia × 5 ngành chính ≈ 235 </w:t>
      </w:r>
      <w:r>
        <w:rPr>
          <w:rStyle w:val="KeywordTok"/>
        </w:rPr>
        <w:t xml:space="preserve">cluster</w:t>
      </w:r>
      <w:r>
        <w:rPr>
          <w:rStyle w:val="NormalTok"/>
        </w:rPr>
        <w:t xml:space="preserve"> →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128"/>
    <w:bookmarkEnd w:id="129"/>
    <w:bookmarkEnd w:id="13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hyperlink" Id="rId119" Target="https://doi.org/10.1002/gsj.1336" TargetMode="External" /><Relationship Type="http://schemas.openxmlformats.org/officeDocument/2006/relationships/hyperlink" Id="rId106" Target="https://doi.org/10.1002/gsj.1433" TargetMode="External" /><Relationship Type="http://schemas.openxmlformats.org/officeDocument/2006/relationships/hyperlink" Id="rId121" Target="https://doi.org/10.1002/smj.4250050207" TargetMode="External" /><Relationship Type="http://schemas.openxmlformats.org/officeDocument/2006/relationships/hyperlink" Id="rId122" Target="https://doi.org/10.1007/s11575-022-00462-x" TargetMode="External" /><Relationship Type="http://schemas.openxmlformats.org/officeDocument/2006/relationships/hyperlink" Id="rId108" Target="https://doi.org/10.1016/0305-750X(92)90097-F" TargetMode="External" /><Relationship Type="http://schemas.openxmlformats.org/officeDocument/2006/relationships/hyperlink" Id="rId94" Target="https://doi.org/10.1016/0305-750X(95)00065-K" TargetMode="External" /><Relationship Type="http://schemas.openxmlformats.org/officeDocument/2006/relationships/hyperlink" Id="rId123" Target="https://doi.org/10.1016/j.intman.2013.01.003" TargetMode="External" /><Relationship Type="http://schemas.openxmlformats.org/officeDocument/2006/relationships/hyperlink" Id="rId98" Target="https://doi.org/10.1016/j.jbusres.2008.01.013" TargetMode="External" /><Relationship Type="http://schemas.openxmlformats.org/officeDocument/2006/relationships/hyperlink" Id="rId120" Target="https://doi.org/10.1016/j.jbusres.2019.09.022" TargetMode="External" /><Relationship Type="http://schemas.openxmlformats.org/officeDocument/2006/relationships/hyperlink" Id="rId113" Target="https://doi.org/10.1016/j.jwb.2010.05.003" TargetMode="External" /><Relationship Type="http://schemas.openxmlformats.org/officeDocument/2006/relationships/hyperlink" Id="rId96" Target="https://doi.org/10.1016/j.jwb.2010.10.019" TargetMode="External" /><Relationship Type="http://schemas.openxmlformats.org/officeDocument/2006/relationships/hyperlink" Id="rId114" Target="https://doi.org/10.1017/CBO9780511808678" TargetMode="External" /><Relationship Type="http://schemas.openxmlformats.org/officeDocument/2006/relationships/hyperlink" Id="rId105" Target="https://doi.org/10.1057/jibs.2009.24" TargetMode="External" /><Relationship Type="http://schemas.openxmlformats.org/officeDocument/2006/relationships/hyperlink" Id="rId99" Target="https://doi.org/10.1057/palgrave.jibs.8400003" TargetMode="External" /><Relationship Type="http://schemas.openxmlformats.org/officeDocument/2006/relationships/hyperlink" Id="rId117" Target="https://doi.org/10.1057/palgrave.jibs.8400377" TargetMode="External" /><Relationship Type="http://schemas.openxmlformats.org/officeDocument/2006/relationships/hyperlink" Id="rId100" Target="https://doi.org/10.1057/palgrave.jibs.8490065" TargetMode="External" /><Relationship Type="http://schemas.openxmlformats.org/officeDocument/2006/relationships/hyperlink" Id="rId104" Target="https://doi.org/10.1057/palgrave.jibs.8490676" TargetMode="External" /><Relationship Type="http://schemas.openxmlformats.org/officeDocument/2006/relationships/hyperlink" Id="rId91" Target="https://doi.org/10.1057/s41267-019-00243-7" TargetMode="External" /><Relationship Type="http://schemas.openxmlformats.org/officeDocument/2006/relationships/hyperlink" Id="rId110" Target="https://doi.org/10.1080/00031305.2000.10474549" TargetMode="External" /><Relationship Type="http://schemas.openxmlformats.org/officeDocument/2006/relationships/hyperlink" Id="rId109" Target="https://doi.org/10.1111/j.1468-0084.2009.00569.x" TargetMode="External" /><Relationship Type="http://schemas.openxmlformats.org/officeDocument/2006/relationships/hyperlink" Id="rId115" Target="https://doi.org/10.1111/j.1745-9125.1998.tb01268.x" TargetMode="External" /><Relationship Type="http://schemas.openxmlformats.org/officeDocument/2006/relationships/hyperlink" Id="rId112" Target="https://doi.org/10.1177/0149206316648proper" TargetMode="External" /><Relationship Type="http://schemas.openxmlformats.org/officeDocument/2006/relationships/hyperlink" Id="rId92" Target="https://doi.org/10.1177/014920639101700108" TargetMode="External" /><Relationship Type="http://schemas.openxmlformats.org/officeDocument/2006/relationships/hyperlink" Id="rId111" Target="https://doi.org/10.2307/20159604" TargetMode="External" /><Relationship Type="http://schemas.openxmlformats.org/officeDocument/2006/relationships/hyperlink" Id="rId97" Target="https://doi.org/10.2307/2393553" TargetMode="External" /><Relationship Type="http://schemas.openxmlformats.org/officeDocument/2006/relationships/hyperlink" Id="rId103" Target="https://doi.org/10.2307/256948" TargetMode="External" /><Relationship Type="http://schemas.openxmlformats.org/officeDocument/2006/relationships/hyperlink" Id="rId93" Target="https://doi.org/10.25300/MISQ/2013/37:2.3" TargetMode="External" /><Relationship Type="http://schemas.openxmlformats.org/officeDocument/2006/relationships/hyperlink" Id="rId118" Target="https://doi.org/10.3368/jhr.50.2.301" TargetMode="External" /><Relationship Type="http://schemas.openxmlformats.org/officeDocument/2006/relationships/hyperlink" Id="rId95" Target="https://doi.org/10.5465/amj.2008.33665310" TargetMode="External" /><Relationship Type="http://schemas.openxmlformats.org/officeDocument/2006/relationships/hyperlink" Id="rId107" Target="https://doi.org/10.5465/amj.2009.0703" TargetMode="External" /><Relationship Type="http://schemas.openxmlformats.org/officeDocument/2006/relationships/hyperlink" Id="rId102" Target="https://doi.org/10.5465/amr.1984.4277628" TargetMode="External" /><Relationship Type="http://schemas.openxmlformats.org/officeDocument/2006/relationships/hyperlink" Id="rId116" Target="https://doi.org/10.5465/amr.2003.9416341" TargetMode="External" /><Relationship Type="http://schemas.openxmlformats.org/officeDocument/2006/relationships/hyperlink" Id="rId101" Target="https://doi.org/10.5465/amr.2007.24345254" TargetMode="External" /></Relationships>
</file>

<file path=word/_rels/footnotes.xml.rels><?xml version="1.0" encoding="UTF-8"?><Relationships xmlns="http://schemas.openxmlformats.org/package/2006/relationships"><Relationship Type="http://schemas.openxmlformats.org/officeDocument/2006/relationships/hyperlink" Id="rId119" Target="https://doi.org/10.1002/gsj.1336" TargetMode="External" /><Relationship Type="http://schemas.openxmlformats.org/officeDocument/2006/relationships/hyperlink" Id="rId106" Target="https://doi.org/10.1002/gsj.1433" TargetMode="External" /><Relationship Type="http://schemas.openxmlformats.org/officeDocument/2006/relationships/hyperlink" Id="rId121" Target="https://doi.org/10.1002/smj.4250050207" TargetMode="External" /><Relationship Type="http://schemas.openxmlformats.org/officeDocument/2006/relationships/hyperlink" Id="rId122" Target="https://doi.org/10.1007/s11575-022-00462-x" TargetMode="External" /><Relationship Type="http://schemas.openxmlformats.org/officeDocument/2006/relationships/hyperlink" Id="rId108" Target="https://doi.org/10.1016/0305-750X(92)90097-F" TargetMode="External" /><Relationship Type="http://schemas.openxmlformats.org/officeDocument/2006/relationships/hyperlink" Id="rId94" Target="https://doi.org/10.1016/0305-750X(95)00065-K" TargetMode="External" /><Relationship Type="http://schemas.openxmlformats.org/officeDocument/2006/relationships/hyperlink" Id="rId123" Target="https://doi.org/10.1016/j.intman.2013.01.003" TargetMode="External" /><Relationship Type="http://schemas.openxmlformats.org/officeDocument/2006/relationships/hyperlink" Id="rId98" Target="https://doi.org/10.1016/j.jbusres.2008.01.013" TargetMode="External" /><Relationship Type="http://schemas.openxmlformats.org/officeDocument/2006/relationships/hyperlink" Id="rId120" Target="https://doi.org/10.1016/j.jbusres.2019.09.022" TargetMode="External" /><Relationship Type="http://schemas.openxmlformats.org/officeDocument/2006/relationships/hyperlink" Id="rId113" Target="https://doi.org/10.1016/j.jwb.2010.05.003" TargetMode="External" /><Relationship Type="http://schemas.openxmlformats.org/officeDocument/2006/relationships/hyperlink" Id="rId96" Target="https://doi.org/10.1016/j.jwb.2010.10.019" TargetMode="External" /><Relationship Type="http://schemas.openxmlformats.org/officeDocument/2006/relationships/hyperlink" Id="rId114" Target="https://doi.org/10.1017/CBO9780511808678" TargetMode="External" /><Relationship Type="http://schemas.openxmlformats.org/officeDocument/2006/relationships/hyperlink" Id="rId105" Target="https://doi.org/10.1057/jibs.2009.24" TargetMode="External" /><Relationship Type="http://schemas.openxmlformats.org/officeDocument/2006/relationships/hyperlink" Id="rId99" Target="https://doi.org/10.1057/palgrave.jibs.8400003" TargetMode="External" /><Relationship Type="http://schemas.openxmlformats.org/officeDocument/2006/relationships/hyperlink" Id="rId117" Target="https://doi.org/10.1057/palgrave.jibs.8400377" TargetMode="External" /><Relationship Type="http://schemas.openxmlformats.org/officeDocument/2006/relationships/hyperlink" Id="rId100" Target="https://doi.org/10.1057/palgrave.jibs.8490065" TargetMode="External" /><Relationship Type="http://schemas.openxmlformats.org/officeDocument/2006/relationships/hyperlink" Id="rId104" Target="https://doi.org/10.1057/palgrave.jibs.8490676" TargetMode="External" /><Relationship Type="http://schemas.openxmlformats.org/officeDocument/2006/relationships/hyperlink" Id="rId91" Target="https://doi.org/10.1057/s41267-019-00243-7" TargetMode="External" /><Relationship Type="http://schemas.openxmlformats.org/officeDocument/2006/relationships/hyperlink" Id="rId110" Target="https://doi.org/10.1080/00031305.2000.10474549" TargetMode="External" /><Relationship Type="http://schemas.openxmlformats.org/officeDocument/2006/relationships/hyperlink" Id="rId109" Target="https://doi.org/10.1111/j.1468-0084.2009.00569.x" TargetMode="External" /><Relationship Type="http://schemas.openxmlformats.org/officeDocument/2006/relationships/hyperlink" Id="rId115" Target="https://doi.org/10.1111/j.1745-9125.1998.tb01268.x" TargetMode="External" /><Relationship Type="http://schemas.openxmlformats.org/officeDocument/2006/relationships/hyperlink" Id="rId112" Target="https://doi.org/10.1177/0149206316648proper" TargetMode="External" /><Relationship Type="http://schemas.openxmlformats.org/officeDocument/2006/relationships/hyperlink" Id="rId92" Target="https://doi.org/10.1177/014920639101700108" TargetMode="External" /><Relationship Type="http://schemas.openxmlformats.org/officeDocument/2006/relationships/hyperlink" Id="rId111" Target="https://doi.org/10.2307/20159604" TargetMode="External" /><Relationship Type="http://schemas.openxmlformats.org/officeDocument/2006/relationships/hyperlink" Id="rId97" Target="https://doi.org/10.2307/2393553" TargetMode="External" /><Relationship Type="http://schemas.openxmlformats.org/officeDocument/2006/relationships/hyperlink" Id="rId103" Target="https://doi.org/10.2307/256948" TargetMode="External" /><Relationship Type="http://schemas.openxmlformats.org/officeDocument/2006/relationships/hyperlink" Id="rId93" Target="https://doi.org/10.25300/MISQ/2013/37:2.3" TargetMode="External" /><Relationship Type="http://schemas.openxmlformats.org/officeDocument/2006/relationships/hyperlink" Id="rId118" Target="https://doi.org/10.3368/jhr.50.2.301" TargetMode="External" /><Relationship Type="http://schemas.openxmlformats.org/officeDocument/2006/relationships/hyperlink" Id="rId95" Target="https://doi.org/10.5465/amj.2008.33665310" TargetMode="External" /><Relationship Type="http://schemas.openxmlformats.org/officeDocument/2006/relationships/hyperlink" Id="rId107" Target="https://doi.org/10.5465/amj.2009.0703" TargetMode="External" /><Relationship Type="http://schemas.openxmlformats.org/officeDocument/2006/relationships/hyperlink" Id="rId102" Target="https://doi.org/10.5465/amr.1984.4277628" TargetMode="External" /><Relationship Type="http://schemas.openxmlformats.org/officeDocument/2006/relationships/hyperlink" Id="rId116" Target="https://doi.org/10.5465/amr.2003.9416341" TargetMode="External" /><Relationship Type="http://schemas.openxmlformats.org/officeDocument/2006/relationships/hyperlink" Id="rId101" Target="https://doi.org/10.5465/amr.2007.243452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2026-05-21T02:12:11Z</dcterms:created>
  <dcterms:modified xsi:type="dcterms:W3CDTF">2026-05-21T02:12:11Z</dcterms:modified>
</cp:coreProperties>
</file>

<file path=docProps/custom.xml><?xml version="1.0" encoding="utf-8"?>
<Properties xmlns="http://schemas.openxmlformats.org/officeDocument/2006/custom-properties" xmlns:vt="http://schemas.openxmlformats.org/officeDocument/2006/docPropsVTypes"/>
</file>