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an emerging</w:t>
      </w:r>
      <w:r>
        <w:t xml:space="preserve"> </w:t>
      </w:r>
      <w:r>
        <w:t xml:space="preserve">market and examines how technological capability and foundational digital adoption are associated with firms' productivity under conditions of institutional and digital transition. Focusing</w:t>
      </w:r>
      <w:r>
        <w:t xml:space="preserve"> </w:t>
      </w:r>
      <w:r>
        <w:t xml:space="preserve">on Vietnam, it asks whether export intensity is nonlinearly associated with labour productivity</w:t>
      </w:r>
      <w:r>
        <w:t xml:space="preserve"> </w:t>
      </w:r>
      <w:r>
        <w:t xml:space="preserve">and whether technological capability and foundational digital adoption play distinct roles across</w:t>
      </w:r>
      <w:r>
        <w:t xml:space="preserve"> </w:t>
      </w:r>
      <w:r>
        <w:t xml:space="preserve">survey waves.</w:t>
      </w:r>
      <w:r>
        <w:t xml:space="preserve"> </w:t>
      </w:r>
      <w:r>
        <w:t xml:space="preserve">Design/methodology/approach. The study uses three waves of World Bank Enterprise Survey</w:t>
      </w:r>
      <w:r>
        <w:t xml:space="preserve"> </w:t>
      </w:r>
      <w:r>
        <w:t xml:space="preserve">data for Vietnam (2009, 2015 and 2023; pooled N = 2,958) and estimates wave-specific and</w:t>
      </w:r>
      <w:r>
        <w:t xml:space="preserve"> </w:t>
      </w:r>
      <w:r>
        <w:t xml:space="preserve">pooled OLS models with HC1 robust standard errors, quadratic export-intensity terms and interaction specifications. The analysis distinguishes a Technological Capability Index based on</w:t>
      </w:r>
      <w:r>
        <w:t xml:space="preserve"> </w:t>
      </w:r>
      <w:r>
        <w:t xml:space="preserve">internationally recognised quality certification and foreign-licensed technology from a foundational Digital Adoption Index based on website presence, with no shared items between the two</w:t>
      </w:r>
      <w:r>
        <w:t xml:space="preserve"> </w:t>
      </w:r>
      <w:r>
        <w:t xml:space="preserve">constructs. Supplementary checks assess the stability of the main findings.</w:t>
      </w:r>
      <w:r>
        <w:t xml:space="preserve"> </w:t>
      </w:r>
      <w:r>
        <w:t xml:space="preserve">Findings, The productivity benefits of internationalisation are concentrated primarily at the participation margin, the step from non-exporting to exporting, while within-exporter intensity yields diminishing to null marginal returns (Panel H). The full-sample inverted-U (turning points 39–46% FSTS) is identified mainly through this participation step rather than through dense curvature within the exporter subsample. Technological capability is positively associated with productivity in all three waves and in the pooled sample, and its moderating role is more stable than that of foundational digital adoption. Foundational digital adoption is positive in 2009 and 2023, null in 2015, and only shows within-sample detectable moderation in 2023. Instrumental-variable estimation (Panel K) yields a null instrumented DAI coefficient (β = 0.018, p = .942, first-stage F = 34.6), indicating that the OLS-estimated positive DAI association is likely selection-driven rather than causal.</w:t>
      </w:r>
    </w:p>
    <w:p>
      <w:pPr>
        <w:pStyle w:val="BodyText"/>
      </w:pPr>
      <w:r>
        <w:t xml:space="preserve">Originality/value. The study contributes to research on emerging markets by distinguishing</w:t>
      </w:r>
      <w:r>
        <w:t xml:space="preserve"> </w:t>
      </w:r>
      <w:r>
        <w:t xml:space="preserve">foreign-technology / standards capability from foundational digital adoption and by showing</w:t>
      </w:r>
      <w:r>
        <w:t xml:space="preserve"> </w:t>
      </w:r>
      <w:r>
        <w:t xml:space="preserve">that pooled digital effects can mask substantial temporal heterogeneity. The findings suggest</w:t>
      </w:r>
      <w:r>
        <w:t xml:space="preserve"> </w:t>
      </w:r>
      <w:r>
        <w:t xml:space="preserve">that the productivity relevance of basic digital adoption is context-sensitive and wave-specific</w:t>
      </w:r>
      <w:r>
        <w:t xml:space="preserve"> </w:t>
      </w:r>
      <w:r>
        <w:t xml:space="preserve">rather than uniformly stable across stages of internationalisation.</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is contextual: Vietnam's empirical pattern provides a participation-and-intensity decomposition showing that the robustly identified inverted-U (turning point 39–46 % FSTS) is driven primarily by the participation margin: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(centred-scale inflection,</w:t>
            </w:r>
            <w:r>
              <w:t xml:space="preserve"> </w:t>
            </w:r>
            <m:oMath>
              <m:sSup>
                <m:e>
                  <m:r>
                    <m:rPr>
                      <m:sty m:val="p"/>
                    </m:rPr>
                    <m:t>F</m:t>
                  </m:r>
                  <m:r>
                    <m:rPr>
                      <m:sty m:val="p"/>
                    </m:rPr>
                    <m:t>S</m:t>
                  </m:r>
                  <m:r>
                    <m:rPr>
                      <m:sty m:val="p"/>
                    </m:rPr>
                    <m:t>T</m:t>
                  </m:r>
                  <m:r>
                    <m:rPr>
                      <m:sty m:val="p"/>
                    </m:rPr>
                    <m:t>S</m:t>
                  </m:r>
                </m:e>
                <m:sup>
                  <m:r>
                    <m:t>c</m:t>
                  </m:r>
                </m:sup>
              </m:sSup>
            </m:oMath>
            <w:r>
              <w:t xml:space="preserve">)</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 The turning-point row reports the inflection on the wave-centred scale (</w:t>
      </w:r>
      <m:oMath>
        <m:sSup>
          <m:e>
            <m:r>
              <m:rPr>
                <m:sty m:val="p"/>
              </m:rPr>
              <m:t>F</m:t>
            </m:r>
            <m:r>
              <m:rPr>
                <m:sty m:val="p"/>
              </m:rPr>
              <m:t>S</m:t>
            </m:r>
            <m:r>
              <m:rPr>
                <m:sty m:val="p"/>
              </m:rPr>
              <m:t>T</m:t>
            </m:r>
            <m:r>
              <m:rPr>
                <m:sty m:val="p"/>
              </m:rPr>
              <m:t>S</m:t>
            </m:r>
          </m:e>
          <m:sup>
            <m:r>
              <m:t>c</m:t>
            </m:r>
          </m:sup>
        </m:sSup>
      </m:oMath>
      <w:r>
        <w:t xml:space="preserve">); the corresponding raw-FSTS turning points (46.2%, 39.3%, 41.6%, 39.7%; range 39–46%) with delta-method confidence intervals are reported in Table 4.</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 -2.115, p = .004 in M2) but the digital channel</w:t>
      </w:r>
    </w:p>
    <w:p>
      <w:pPr>
        <w:pStyle w:val="BodyText"/>
      </w:pPr>
      <w:r>
        <w:t xml:space="preserve">I–P curvature is unusually sharp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term is negative (β = -1.909, p &lt; .001); the Lind–Mehlum</w:t>
      </w:r>
    </w:p>
    <w:p>
      <w:pPr>
        <w:pStyle w:val="BodyText"/>
      </w:pPr>
      <w:r>
        <w:t xml:space="preserve">&lt; .001) and the quadratic</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Heckman, 1979; Certo et al., 2016; Wolfolds &amp; Siegel, 2019)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(p=.543)</w:t>
            </w:r>
          </w:p>
        </w:tc>
        <w:tc>
          <w:tcPr/>
          <w:p>
            <w:pPr>
              <w:pStyle w:val="Compact"/>
              <w:jc w:val="left"/>
            </w:pPr>
            <w:r>
              <w:t xml:space="preserve">z=0.96 (p=.337)</w:t>
            </w:r>
          </w:p>
        </w:tc>
        <w:tc>
          <w:tcPr/>
          <w:p>
            <w:pPr>
              <w:pStyle w:val="Compact"/>
              <w:jc w:val="left"/>
            </w:pPr>
            <w:r>
              <w:t xml:space="preserve">z=1.29 (p=.198)</w:t>
            </w:r>
          </w:p>
        </w:tc>
        <w:tc>
          <w:tcPr/>
          <w:p>
            <w:pPr>
              <w:pStyle w:val="Compact"/>
              <w:jc w:val="left"/>
            </w:pPr>
            <w:r>
              <w:t xml:space="preserve">z=3.35 (p=.001)</w:t>
            </w:r>
          </w:p>
        </w:tc>
      </w:tr>
      <w:tr>
        <w:tc>
          <w:tcPr/>
          <w:p>
            <w:pPr>
              <w:pStyle w:val="Compact"/>
              <w:jc w:val="left"/>
            </w:pPr>
            <w:r>
              <w:t xml:space="preserve">2009 vs. 2023</w:t>
            </w:r>
          </w:p>
        </w:tc>
        <w:tc>
          <w:tcPr/>
          <w:p>
            <w:pPr>
              <w:pStyle w:val="Compact"/>
              <w:jc w:val="left"/>
            </w:pPr>
            <w:r>
              <w:t xml:space="preserve">z=0.09 (p=.926)</w:t>
            </w:r>
          </w:p>
        </w:tc>
        <w:tc>
          <w:tcPr/>
          <w:p>
            <w:pPr>
              <w:pStyle w:val="Compact"/>
              <w:jc w:val="left"/>
            </w:pPr>
            <w:r>
              <w:t xml:space="preserve">z=0.14 (p=.888)</w:t>
            </w:r>
          </w:p>
        </w:tc>
        <w:tc>
          <w:tcPr/>
          <w:p>
            <w:pPr>
              <w:pStyle w:val="Compact"/>
              <w:jc w:val="left"/>
            </w:pPr>
            <w:r>
              <w:t xml:space="preserve">z=1.42 (p=.155)</w:t>
            </w:r>
          </w:p>
        </w:tc>
        <w:tc>
          <w:tcPr/>
          <w:p>
            <w:pPr>
              <w:pStyle w:val="Compact"/>
              <w:jc w:val="left"/>
            </w:pPr>
            <w:r>
              <w:t xml:space="preserve">z=1.28 (p=.201)</w:t>
            </w:r>
          </w:p>
        </w:tc>
      </w:tr>
      <w:tr>
        <w:tc>
          <w:tcPr/>
          <w:p>
            <w:pPr>
              <w:pStyle w:val="Compact"/>
              <w:jc w:val="left"/>
            </w:pPr>
            <w:r>
              <w:t xml:space="preserve">2015 vs. 2023</w:t>
            </w:r>
          </w:p>
        </w:tc>
        <w:tc>
          <w:tcPr/>
          <w:p>
            <w:pPr>
              <w:pStyle w:val="Compact"/>
              <w:jc w:val="left"/>
            </w:pPr>
            <w:r>
              <w:t xml:space="preserve">z=0.66 (p=.509)</w:t>
            </w:r>
          </w:p>
        </w:tc>
        <w:tc>
          <w:tcPr/>
          <w:p>
            <w:pPr>
              <w:pStyle w:val="Compact"/>
              <w:jc w:val="left"/>
            </w:pPr>
            <w:r>
              <w:t xml:space="preserve">z=-0.84 (p=.400)</w:t>
            </w:r>
          </w:p>
        </w:tc>
        <w:tc>
          <w:tcPr/>
          <w:p>
            <w:pPr>
              <w:pStyle w:val="Compact"/>
              <w:jc w:val="left"/>
            </w:pPr>
            <w:r>
              <w:t xml:space="preserve">z=0.07 (p=.947)</w:t>
            </w:r>
          </w:p>
        </w:tc>
        <w:tc>
          <w:tcPr/>
          <w:p>
            <w:pPr>
              <w:pStyle w:val="Compact"/>
              <w:jc w:val="left"/>
            </w:pPr>
            <w:r>
              <w:t xml:space="preserve">z=-2.05 (p=.040)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central implication of the findings is that foundational digital adoption in Vietnam should</w:t>
      </w:r>
      <w:r>
        <w:t xml:space="preserve"> </w:t>
      </w:r>
      <w:r>
        <w:t xml:space="preserve">not be interpreted as a universal and temporally stable productivity premium. Although both</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positive on average in pooled specifications, their empirical roles differ</w:t>
      </w:r>
      <w:r>
        <w:t xml:space="preserve"> </w:t>
      </w:r>
      <w:r>
        <w:t xml:space="preserve">materially across waves and across identification strategies (Vahlne, 2020; Stallkamp and Schotter, 2021). This means that website-based digital adoption is not simply a constant background</w:t>
      </w:r>
      <w:r>
        <w:t xml:space="preserve"> </w:t>
      </w:r>
      <w:r>
        <w:t xml:space="preserve">advantage; it is a context-sensitive and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separating foreign-technology / standards capability from foundational digital adoption.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pStyle w:val="BodyText"/>
      </w:pPr>
      <w:r>
        <w:t xml:space="preserve">(1998)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by distinguishing foreign-technology / standards capability from foundational digital adoption and by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should not be treated as interchangeable. Technological capability is comparatively stable and identification-robust across specifications, whereas foundational digital adoption is more wave-sensitive and only exhibits withinsample detectable moderation in 2023. The broader implication is that the productivity relevance</w:t>
      </w:r>
      <w:r>
        <w:t xml:space="preserve"> </w:t>
      </w:r>
      <w:r>
        <w:t xml:space="preserve">of basic digital adoption in a transitional economy is real but uneven, and that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Sample selection bias and Heckman models in strategic management research.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MacKinnon, J. G. and White, H. (1985). Some heteroskedasticity-consistent covariance matrix estimators with improved finite sample properties. Journal of Econometrics, 29(3):305–325.</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2026-06-15T04:43:36Z</dcterms:created>
  <dcterms:modified xsi:type="dcterms:W3CDTF">2026-06-15T04:43:36Z</dcterms:modified>
</cp:coreProperties>
</file>

<file path=docProps/custom.xml><?xml version="1.0" encoding="utf-8"?>
<Properties xmlns="http://schemas.openxmlformats.org/officeDocument/2006/custom-properties" xmlns:vt="http://schemas.openxmlformats.org/officeDocument/2006/docPropsVTypes"/>
</file>