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 một nền kinh tế nhỏ mở, dẫn đầu thế giới về năng lực đổi mới và kết nối toàn cầu — đến Việt Nam — một nền kinh tế chuyển đổi đang đẩy nhanh cải cách thể chế và hội nhập quốc tế —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w:t>
      </w:r>
      <w:r>
        <w:t xml:space="preserve">— tức sự thiếu hụt các thể chế trung gian hỗ trợ giao dịch thị trường — tạo ra chi phí bổ sung đáng kể cho doanh nghiệp quốc tế hóa (Peng, 2003). Sự đa dạng thể chế giữa các quốc gia châu Á — từ những nền kinh tế với quản trị nhà nước ổn định, pháp quyền mạnh như Singapore đến các nền kinh tế đang phát triển thể chế như Campuchia hay các quốc đảo Thái Bình Dương —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1"/>
    <w:bookmarkStart w:id="2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 hệ số tương quan tổng hợp r trong khoảng 0,07–0,13 —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 chiều sâu năng lực công nghệ nhập vào tổ chức — và digital adoption —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 ba tầng điều tiết mà, theo lập luận của luận án, cùng nhau tạo nên cấu trúc giải thích cần thiết cho heterogeneity cao trong quan hệ I–P.</w:t>
      </w:r>
    </w:p>
    <w:p>
      <w:r>
        <w:pict>
          <v:rect style="width:0;height:1.5pt" o:hralign="center" o:hrstd="t" o:hr="t"/>
        </w:pict>
      </w:r>
    </w:p>
    <w:bookmarkEnd w:id="22"/>
    <w:bookmarkStart w:id="2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49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 TCI và chỉ số chấp nhận số — digital adoption index — DAI), và đặc điểm nhà quản trị cấp cao (kinh nghiệm và giới tính).</w:t>
      </w:r>
    </w:p>
    <w:p>
      <w:r>
        <w:pict>
          <v:rect style="width:0;height:1.5pt" o:hralign="center" o:hrstd="t" o:hr="t"/>
        </w:pict>
      </w:r>
    </w:p>
    <w:bookmarkEnd w:id="23"/>
    <w:bookmarkStart w:id="2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 về thể chế, năng lực số và đặc điểm nhà quản trị —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49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 đo bằng sub-regime ICRV —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4"/>
    <w:bookmarkStart w:id="28" w:name="đối-tượng-và-phạm-vi-nghiên-cứu"/>
    <w:p>
      <w:pPr>
        <w:pStyle w:val="Heading2"/>
      </w:pPr>
      <w:r>
        <w:t xml:space="preserve">1.5 Đối tượng và phạm vi nghiên cứu</w:t>
      </w:r>
    </w:p>
    <w:bookmarkStart w:id="2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5"/>
    <w:bookmarkStart w:id="2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6"/>
    <w:bookmarkStart w:id="27"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91.982 doanh nghiệp với 102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7"/>
    <w:bookmarkEnd w:id="28"/>
    <w:bookmarkStart w:id="29"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 sự kết hợp giữa meta-analysis và phân tích thực nghiệm đa quốc gia —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9"/>
    <w:bookmarkStart w:id="30"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 cụ thể là dạng inverted-U —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 được hiểu là proxy foundational digital adoption —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 cụ thể là kinh nghiệm quốc tế và đa dạng giới tính —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 thị trường nội địa quá nhỏ, chi phí thương mại cực cao, và thiếu hỗ trợ thể chế —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 FIP). Chi tiết toàn bộ hệ giả thuyết H1–H6 và H1b được trình bày đầy đủ trong Chương 2 của luận án.</w:t>
      </w:r>
    </w:p>
    <w:p>
      <w:r>
        <w:pict>
          <v:rect style="width:0;height:1.5pt" o:hralign="center" o:hrstd="t" o:hr="t"/>
        </w:pict>
      </w:r>
    </w:p>
    <w:bookmarkEnd w:id="30"/>
    <w:bookmarkStart w:id="34" w:name="ý-nghĩa-khoa-học-và-thực-tiễn"/>
    <w:p>
      <w:pPr>
        <w:pStyle w:val="Heading2"/>
      </w:pPr>
      <w:r>
        <w:t xml:space="preserve">1.8 Ý nghĩa khoa học và thực tiễn</w:t>
      </w:r>
    </w:p>
    <w:bookmarkStart w:id="31" w:name="đóng-góp-lý-thuyết"/>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 Uppsala model, Resource-Based View, Institutional Theory và Upper Echelons Theory —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 FIP)</w:t>
      </w:r>
      <w:r>
        <w:t xml:space="preserve"> </w:t>
      </w:r>
      <w:r>
        <w:t xml:space="preserve">— một construct lý thuyết mới chưa được định danh trong literature kinh doanh quốc tế —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31"/>
    <w:bookmarkStart w:id="32"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literature kinh doanh quốc tế.</w:t>
      </w:r>
    </w:p>
    <w:bookmarkEnd w:id="32"/>
    <w:bookmarkStart w:id="33"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 được nghiên cứu về 17 nền kinh tế châu Á mới nổi đặt tên là</w:t>
      </w:r>
      <w:r>
        <w:t xml:space="preserve"> </w:t>
      </w:r>
      <w:r>
        <w:t xml:space="preserve">“</w:t>
      </w:r>
      <w:r>
        <w:t xml:space="preserve">digital shield effect</w:t>
      </w:r>
      <w:r>
        <w:t xml:space="preserve">”</w:t>
      </w:r>
      <w:r>
        <w:t xml:space="preserve"> </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bookmarkEnd w:id="33"/>
    <w:bookmarkEnd w:id="34"/>
    <w:bookmarkStart w:id="35"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49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91.982 doanh nghiệp từ 49 nền kinh tế châu Á và Thái Bình Dương, mở rộng đáng kể từ pool 17 nước (nghiên cứu thành phần P1)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 FIP)</w:t>
      </w:r>
      <w:r>
        <w:t xml:space="preserve"> </w:t>
      </w:r>
      <w:r>
        <w:t xml:space="preserve">tại bảy nền kinh tế Pacific SIDS —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5"/>
    <w:bookmarkStart w:id="36"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 Giới thiệu — đặt vấn đề nghiên cứu, xác định khoảng trống, trình bày mục tiêu, câu hỏi nghiên cứu, phạm vi, phương pháp luận, giả thuyết khoa học tóm tắt, ý nghĩa, tính mới và cấu trúc của luận án. Chương 2 — Cơ sở lý thuyết và tổng quan tài liệu — xây dựng khung lý thuyết tích hợp đa tầng, tổng quan bằng chứng thực nghiệm đã có, và phát triển hệ giả thuyết H1–H6 dựa trên khoảng trống và logic lý thuyết. Chương 3 — Phương pháp nghiên cứu — trình bày chi tiết thiết kế nghiên cứu, nguồn dữ liệu, cách đo lường biến, mô hình phân tích và chiến lược kiểm định độ vững. Chương 4 — Kết quả nghiên cứu — trình bày kết quả ở ba cấp độ phân tích: meta-analysis cập nhật 1982–2026, phân tích theo bối cảnh quốc gia cụ thể, và phân tích đa quốc gia capstone trên pool đầy đủ 49 nền kinh tế. Chương 5 — Thảo luận và kết luận —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 JABS, under review): kiểm định inverted-U tại Nhóm IV ICRV, turning point = 39,3–46,2% FSTS, TCI là level-shifter có ý nghĩa.</w:t>
      </w:r>
      <w:r>
        <w:t xml:space="preserve"> </w:t>
      </w:r>
      <w:r>
        <w:rPr>
          <w:bCs/>
          <w:b/>
        </w:rPr>
        <w:t xml:space="preserve">P4</w:t>
      </w:r>
      <w:r>
        <w:t xml:space="preserve"> </w:t>
      </w:r>
      <w:r>
        <w:t xml:space="preserve">(Singapore — MIR, under review): kiểm định tại Nhóm I ICRV, turning point ≈ 88,6% (khoảng tin cậy rất rộng và vượt ngưỡng khả thi của FSTS, nên không định vị tin cậy — xem §4.3), DAI Tier-1+2 khuếch đại đường cong I–P.</w:t>
      </w:r>
      <w:r>
        <w:t xml:space="preserve"> </w:t>
      </w:r>
      <w:r>
        <w:rPr>
          <w:bCs/>
          <w:b/>
        </w:rPr>
        <w:t xml:space="preserve">P5</w:t>
      </w:r>
      <w:r>
        <w:t xml:space="preserve"> </w:t>
      </w:r>
      <w:r>
        <w:t xml:space="preserve">(Trung Quốc —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 IBR, under review): k = 238 nghiên cứu, r̄ = 0,074, I² = 62,4%, gradient ICRV Q_M = 17,35 (df = 4, p = ,002).</w:t>
      </w:r>
      <w:r>
        <w:t xml:space="preserve"> </w:t>
      </w:r>
      <w:r>
        <w:rPr>
          <w:bCs/>
          <w:b/>
        </w:rPr>
        <w:t xml:space="preserve">P7</w:t>
      </w:r>
      <w:r>
        <w:t xml:space="preserve"> </w:t>
      </w:r>
      <w:r>
        <w:t xml:space="preserve">(49 nền kinh tế —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(SIDS —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 40,7% →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 được hiểu như proxy foundational digital adoption; ICRV là khung phân loại thể chế 6 nhóm được phát triển cho luận án này; WBES là World Bank Enterprise Surveys.</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2026-06-11T20:25:59Z</dcterms:created>
  <dcterms:modified xsi:type="dcterms:W3CDTF">2026-06-11T20:25:59Z</dcterms:modified>
</cp:coreProperties>
</file>

<file path=docProps/custom.xml><?xml version="1.0" encoding="utf-8"?>
<Properties xmlns="http://schemas.openxmlformats.org/officeDocument/2006/custom-properties" xmlns:vt="http://schemas.openxmlformats.org/officeDocument/2006/docPropsVTypes"/>
</file>