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8"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 đều chỉ đến cùng một kết luận: điểm uốn (turning point) của quan hệ I–P</w:t>
      </w:r>
      <w:r>
        <w:t xml:space="preserve"> </w:t>
      </w:r>
      <w:r>
        <w:rPr>
          <w:bCs/>
          <w:b/>
        </w:rPr>
        <w:t xml:space="preserve">giảm dần</w:t>
      </w:r>
      <w:r>
        <w:t xml:space="preserve"> </w:t>
      </w:r>
      <w:r>
        <w:t xml:space="preserve">từ SIDS/Emerging (~55% FSTS) xuống Lower-middle transition,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2"/>
    <w:bookmarkStart w:id="23" w:name="tci-là-năng-lực-nền-tảng-xác-nhận-h2"/>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w:t>
      </w:r>
      <w:r>
        <w:t xml:space="preserve"> </w:t>
      </w:r>
      <w:r>
        <w:t xml:space="preserve">“</w:t>
      </w:r>
      <w:r>
        <w:t xml:space="preserve">digital shield effect</w:t>
      </w:r>
      <w:r>
        <w:t xml:space="preserve">”</w:t>
      </w:r>
      <w:r>
        <w:t xml:space="preserve"> </w:t>
      </w:r>
      <w:r>
        <w:t xml:space="preserve">phát huy mạnh nhất khi nền tảng thể chế còn thiếu hụt, không phải khi thể chế đã hoàn thiện.</w:t>
      </w:r>
    </w:p>
    <w:bookmarkEnd w:id="24"/>
    <w:bookmarkStart w:id="25" w:name="X9c0cd9664cda47af8ea782aa1697b3fd1384e63"/>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country+year FE,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End w:id="28"/>
    <w:bookmarkStart w:id="32" w:name="so-sánh-với-nghiên-cứu-trước-đây"/>
    <w:p>
      <w:pPr>
        <w:pStyle w:val="Heading2"/>
      </w:pPr>
      <w:r>
        <w:t xml:space="preserve">5.2 So sánh với nghiên cứu trước đây</w:t>
      </w:r>
    </w:p>
    <w:bookmarkStart w:id="29"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29"/>
    <w:bookmarkStart w:id="30"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lưu ý điểm uốn này không định vị tin cậy do CI vượt ngưỡng khả thi, xem §4.3)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 bối cảnh underrepresented trong literature Lu và Beamish.</w:t>
      </w:r>
    </w:p>
    <w:bookmarkEnd w:id="30"/>
    <w:bookmarkStart w:id="31" w:name="X7d417abcca377c053c807a61872538ebbcf35bb"/>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31"/>
    <w:bookmarkEnd w:id="32"/>
    <w:bookmarkStart w:id="36" w:name="đóng-góp-lý-thuyết"/>
    <w:p>
      <w:pPr>
        <w:pStyle w:val="Heading2"/>
      </w:pPr>
      <w:r>
        <w:t xml:space="preserve">5.3 Đóng góp lý thuyết</w:t>
      </w:r>
    </w:p>
    <w:bookmarkStart w:id="33" w:name="cdcm-làm-rõ-dai-là-nguồn-lực-tình-huống"/>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(Emerging, SIDS) —</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3"/>
    <w:bookmarkStart w:id="34" w:name="X2d492fa0307aa4991837f2d5dc38e247101178c"/>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w:t>
      </w:r>
      <w:r>
        <w:t xml:space="preserve">— bẫy quốc tế hóa bắt buộc — mà không có turning point để thoát khỏi.</w:t>
      </w:r>
    </w:p>
    <w:bookmarkEnd w:id="34"/>
    <w:bookmarkStart w:id="35" w:name="Xc32e0c91761841c5d26867e9ff33e10da8db64c"/>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SIDS/Emerging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5"/>
    <w:bookmarkEnd w:id="36"/>
    <w:bookmarkStart w:id="40" w:name="đề-xuất-chính-sách-và-quản-trị"/>
    <w:p>
      <w:pPr>
        <w:pStyle w:val="Heading2"/>
      </w:pPr>
      <w:r>
        <w:t xml:space="preserve">5.4 Đề xuất chính sách và quản trị</w:t>
      </w:r>
    </w:p>
    <w:bookmarkStart w:id="37" w:name="Xbc6d621fc32e0aca77269dff0917fe138aa2fc5"/>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7"/>
    <w:bookmarkStart w:id="38" w:name="Xb72945ffcd7baeba99eebb1118ccccd8ec07fb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8"/>
    <w:bookmarkStart w:id="39" w:name="X3f7c356bbecb0845bc3ba35928bc46323a69176"/>
    <w:p>
      <w:pPr>
        <w:pStyle w:val="Heading3"/>
      </w:pPr>
      <w:r>
        <w:t xml:space="preserve">5.4.3 Đề xuất đặc biệt cho SIDS —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1"/>
    <w:bookmarkStart w:id="42"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2"/>
    <w:bookmarkStart w:id="43"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3"/>
    <w:bookmarkStart w:id="44"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Emerging và SIDS nơi tầng năng lực và thể chế yếu hơn — liệu đặc điểm nhà quản trị có thể bù đắp một phần cho những thiếu hụt đó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phân tích Việt Nam (Lower-mid Transition), xác nhận inverted-U với TP = 39,3–46,2%, TCI là moderator dương có ý nghĩa.</w:t>
      </w:r>
    </w:p>
    <w:p>
      <w:pPr>
        <w:numPr>
          <w:ilvl w:val="0"/>
          <w:numId w:val="1002"/>
        </w:numPr>
      </w:pPr>
      <w:r>
        <w:rPr>
          <w:bCs/>
          <w:b/>
        </w:rPr>
        <w:t xml:space="preserve">P4</w:t>
      </w:r>
      <w:r>
        <w:t xml:space="preserve">: phân tích Singapore (Advanced Innovation), xác nhận inverted-U với TP ≈ 88,6% (rộng CI), DAI khuếch đại tại mức FSTS cao.</w:t>
      </w:r>
    </w:p>
    <w:p>
      <w:pPr>
        <w:numPr>
          <w:ilvl w:val="0"/>
          <w:numId w:val="1002"/>
        </w:numPr>
      </w:pPr>
      <w:r>
        <w:rPr>
          <w:bCs/>
          <w:b/>
        </w:rPr>
        <w:t xml:space="preserve">P5</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 quan hệ âm đơn điệu không có turning point.</w:t>
      </w:r>
    </w:p>
    <w:p>
      <w:pPr>
        <w:numPr>
          <w:ilvl w:val="0"/>
          <w:numId w:val="1002"/>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 40,7% (2022) → mất ý nghĩa độ cong (2025: β₂ = −0,16, p = ,42), kèm tương tác DAI Tier-2 (UPI) âm — bằng chứng đầu tiên rằng chuyển đổi thể chế cực mạnh có thể hòa tan (chứ không chỉ dịch chuyển) ngưỡng. Đích MIR/IJOEM; kế thừa công trình tiền đề Do &amp; Phan (2025, IntechOpen).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2026-06-11T20:26:00Z</dcterms:created>
  <dcterms:modified xsi:type="dcterms:W3CDTF">2026-06-11T20:26:00Z</dcterms:modified>
</cp:coreProperties>
</file>

<file path=docProps/custom.xml><?xml version="1.0" encoding="utf-8"?>
<Properties xmlns="http://schemas.openxmlformats.org/officeDocument/2006/custom-properties" xmlns:vt="http://schemas.openxmlformats.org/officeDocument/2006/docPropsVTypes"/>
</file>