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Title"/>
      </w:pPr>
      <w:r>
        <w:t xml:space="preserve">MÃ SỐ NCS: P1323001</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NGƯỜI HƯỚNG DẪN KHOA HỌC</w:t>
      </w:r>
    </w:p>
    <w:p>
      <w:pPr>
        <w:pStyle w:val="Title"/>
      </w:pPr>
      <w:r>
        <w:t xml:space="preserve">PGS.TS. PHAN ANH TÚ</w:t>
      </w:r>
    </w:p>
    <w:p>
      <w:pPr>
        <w:pStyle w:val="BodyText"/>
      </w:pPr>
      <w:r>
        <w:t xml:space="preserve"> </w:t>
      </w:r>
    </w:p>
    <w:p>
      <w:pPr>
        <w:pStyle w:val="Title"/>
      </w:pPr>
      <w:r>
        <w:t xml:space="preserve">NĂM 2026</w:t>
      </w:r>
    </w:p>
    <w:p>
      <w:r>
        <w:br w:type="page"/>
      </w:r>
    </w:p>
    <w:bookmarkStart w:id="20" w:name="trang-xác-nhận-của-hội-đồng"/>
    <w:p>
      <w:pPr>
        <w:pStyle w:val="Heading1"/>
      </w:pPr>
      <w:r>
        <w:t xml:space="preserve">TRANG XÁC NHẬN CỦA HỘI ĐỒNG</w:t>
      </w:r>
    </w:p>
    <w:p>
      <w:pPr>
        <w:pStyle w:val="FirstParagraph"/>
      </w:pPr>
      <w:r>
        <w:t xml:space="preserve">Luận án tiến sĩ</w:t>
      </w:r>
      <w:r>
        <w:t xml:space="preserve"> </w:t>
      </w:r>
      <w:r>
        <w:t xml:space="preserve">“</w:t>
      </w:r>
      <w:r>
        <w:t xml:space="preserve">Quốc tế hóa và hiệu quả hoạt động kinh doanh của các doanh nghiệp ở Châu Á</w:t>
      </w:r>
      <w:r>
        <w:t xml:space="preserve">”</w:t>
      </w:r>
      <w:r>
        <w:t xml:space="preserve"> </w:t>
      </w:r>
      <w:r>
        <w:t xml:space="preserve">do nghiên cứu sinh Đỗ Thùy Hương thực hiện dưới sự hướng dẫn khoa học của PGS.TS. Phan Anh Tú,</w:t>
      </w:r>
      <w:r>
        <w:t xml:space="preserve"> </w:t>
      </w:r>
      <w:r>
        <w:t xml:space="preserve">đã được Hội đồng đánh giá luận án tiến sĩ cấp Trường thông qua.</w:t>
      </w:r>
    </w:p>
    <w:p>
      <w:pPr>
        <w:pStyle w:val="BodyText"/>
      </w:pPr>
      <w:r>
        <w:rPr>
          <w:iCs/>
          <w:i/>
        </w:rPr>
        <w:t xml:space="preserve">[Phần xác nhận và chữ ký của Chủ tịch Hội đồng cùng các thành viên được hoàn thiện sau buổi bảo</w:t>
      </w:r>
      <w:r>
        <w:rPr>
          <w:iCs/>
          <w:i/>
        </w:rPr>
        <w:t xml:space="preserve"> </w:t>
      </w:r>
      <w:r>
        <w:rPr>
          <w:iCs/>
          <w:i/>
        </w:rPr>
        <w:t xml:space="preserve">vệ, theo mẫu Phụ lục 3b của Quy định 1799/2021.]</w:t>
      </w:r>
    </w:p>
    <w:p>
      <w:pPr>
        <w:pStyle w:val="BodyText"/>
      </w:pPr>
      <w:r>
        <w:t xml:space="preserve"> </w:t>
      </w:r>
    </w:p>
    <w:p>
      <w:pPr>
        <w:pStyle w:val="Author"/>
      </w:pPr>
      <w:r>
        <w:t xml:space="preserve">Cần Thơ, ngày … tháng … năm ……</w:t>
      </w:r>
    </w:p>
    <w:p>
      <w:pPr>
        <w:pStyle w:val="Author"/>
      </w:pPr>
      <w:r>
        <w:t xml:space="preserve">Chủ tịch Hội đồng</w:t>
      </w:r>
    </w:p>
    <w:p>
      <w:r>
        <w:br w:type="page"/>
      </w:r>
    </w:p>
    <w:bookmarkEnd w:id="20"/>
    <w:bookmarkStart w:id="21" w:name="lời-cảm-ơn"/>
    <w:p>
      <w:pPr>
        <w:pStyle w:val="Heading1"/>
      </w:pPr>
      <w:r>
        <w:t xml:space="preserve">LỜI CẢM ƠN</w:t>
      </w:r>
    </w:p>
    <w:p>
      <w:pPr>
        <w:pStyle w:val="FirstParagraph"/>
      </w:pPr>
      <w:r>
        <w:t xml:space="preserve">Nghiên cứu sinh trân trọng cảm ơn PGS.TS. Phan Anh Tú đã tận tình hướng dẫn trong suốt</w:t>
      </w:r>
      <w:r>
        <w:t xml:space="preserve"> </w:t>
      </w:r>
      <w:r>
        <w:t xml:space="preserve">quá trình thực hiện luận án. Nghiên cứu sinh cảm ơn quý thầy cô Trường Kinh tế, Trường Đại</w:t>
      </w:r>
      <w:r>
        <w:t xml:space="preserve"> </w:t>
      </w:r>
      <w:r>
        <w:t xml:space="preserve">học Cần Thơ và Khoa Sau đại học đã hỗ trợ về chuyên môn và thủ tục đào tạo. Nghiên cứu sinh</w:t>
      </w:r>
      <w:r>
        <w:t xml:space="preserve"> </w:t>
      </w:r>
      <w:r>
        <w:t xml:space="preserve">cũng gửi lời cảm ơn đến gia đình, đồng nghiệp và bạn bè đã động viên, chia sẻ trong thời gian</w:t>
      </w:r>
      <w:r>
        <w:t xml:space="preserve"> </w:t>
      </w:r>
      <w:r>
        <w:t xml:space="preserve">học tập và nghiên cứu.</w:t>
      </w:r>
    </w:p>
    <w:p>
      <w:pPr>
        <w:pStyle w:val="BodyText"/>
      </w:pPr>
      <w:r>
        <w:rPr>
          <w:iCs/>
          <w:i/>
        </w:rPr>
        <w:t xml:space="preserve">[Nghiên cứu sinh hoàn thiện lời cảm ơn theo nguyện vọng cá nhân trước khi nộp.]</w:t>
      </w:r>
    </w:p>
    <w:p>
      <w:r>
        <w:br w:type="page"/>
      </w:r>
    </w:p>
    <w:bookmarkEnd w:id="21"/>
    <w:bookmarkStart w:id="22" w:name="tóm-tắt"/>
    <w:p>
      <w:pPr>
        <w:pStyle w:val="Heading1"/>
      </w:pPr>
      <w:r>
        <w:t xml:space="preserve">TÓM TẮT</w:t>
      </w:r>
    </w:p>
    <w:p>
      <w:pPr>
        <w:pStyle w:val="FirstParagraph"/>
      </w:pPr>
      <w:r>
        <w:t xml:space="preserve">Luận án phân tích ảnh hưởng của quốc tế hóa đến hiệu quả hoạt động kinh doanh của doanh</w:t>
      </w:r>
      <w:r>
        <w:t xml:space="preserve"> </w:t>
      </w:r>
      <w:r>
        <w:t xml:space="preserve">nghiệp ở châu Á và khu vực lân cận, dựa trên dữ liệu vi mô Khảo sát Doanh nghiệp của Ngân</w:t>
      </w:r>
      <w:r>
        <w:t xml:space="preserve"> </w:t>
      </w:r>
      <w:r>
        <w:t xml:space="preserve">hàng Thế giới (World Bank Enterprise Survey). Nghiên cứu sử dụng khung Biến thiên chế độ bối cảnh thể chế (Institutional Context Regime Variation — ICRV) để</w:t>
      </w:r>
      <w:r>
        <w:t xml:space="preserve"> </w:t>
      </w:r>
      <w:r>
        <w:t xml:space="preserve">giải thích vì sao mối quan hệ quốc tế hóa–hiệu quả thay đổi giữa các nền kinh tế. Hệ thống công</w:t>
      </w:r>
      <w:r>
        <w:t xml:space="preserve"> </w:t>
      </w:r>
      <w:r>
        <w:t xml:space="preserve">trình gồm một phân tích tổng hợp ba tầng, các nghiên cứu đơn quốc gia (Việt Nam, Singapore,</w:t>
      </w:r>
      <w:r>
        <w:t xml:space="preserve"> </w:t>
      </w:r>
      <w:r>
        <w:t xml:space="preserve">Trung Quốc), một nghiên cứu đa quốc gia trên 49 nền kinh tế, và một trường hợp biên là các</w:t>
      </w:r>
      <w:r>
        <w:t xml:space="preserve"> </w:t>
      </w:r>
      <w:r>
        <w:t xml:space="preserve">quốc đảo nhỏ đang phát triển Thái Bình Dương.</w:t>
      </w:r>
    </w:p>
    <w:p>
      <w:pPr>
        <w:pStyle w:val="BodyText"/>
      </w:pPr>
      <w:r>
        <w:t xml:space="preserve">Kết quả cho thấy quan hệ quốc tế hóa–hiệu quả có dạng chữ U ngược về hình thức, song điểm tối</w:t>
      </w:r>
      <w:r>
        <w:t xml:space="preserve"> </w:t>
      </w:r>
      <w:r>
        <w:t xml:space="preserve">ưu của nó được dịch chuyển bởi chế độ thể chế và năng lực số: điểm tối ưu xuất hiện sớm hơn ở</w:t>
      </w:r>
      <w:r>
        <w:t xml:space="preserve"> </w:t>
      </w:r>
      <w:r>
        <w:t xml:space="preserve">các nền kinh tế thể chế mạnh và muộn hơn ở các nền kinh tế cận biên và dễ tổn thương. Năng lực</w:t>
      </w:r>
      <w:r>
        <w:t xml:space="preserve"> </w:t>
      </w:r>
      <w:r>
        <w:t xml:space="preserve">số đóng vai trò thay thế một phần cho chất lượng thể chế, với hiệu lực rõ hơn ở những nơi thể chế</w:t>
      </w:r>
      <w:r>
        <w:t xml:space="preserve"> </w:t>
      </w:r>
      <w:r>
        <w:t xml:space="preserve">yếu. Luận án góp phần dung hòa các kết quả mâu thuẫn trong văn liệu và đề xuất hàm ý chính</w:t>
      </w:r>
      <w:r>
        <w:t xml:space="preserve"> </w:t>
      </w:r>
      <w:r>
        <w:t xml:space="preserve">sách theo từng nhóm chế độ thể chế.</w:t>
      </w:r>
    </w:p>
    <w:p>
      <w:pPr>
        <w:pStyle w:val="BodyText"/>
      </w:pPr>
      <w:r>
        <w:rPr>
          <w:bCs/>
          <w:b/>
        </w:rPr>
        <w:t xml:space="preserve">Từ khóa:</w:t>
      </w:r>
      <w:r>
        <w:t xml:space="preserve"> </w:t>
      </w:r>
      <w:r>
        <w:t xml:space="preserve">quốc tế hóa; hiệu quả hoạt động kinh doanh; chữ U ngược; chế độ thể chế; năng lực</w:t>
      </w:r>
      <w:r>
        <w:t xml:space="preserve"> </w:t>
      </w:r>
      <w:r>
        <w:t xml:space="preserve">số; châu Á; Khảo sát Doanh nghiệp Ngân hàng Thế giới.</w:t>
      </w:r>
    </w:p>
    <w:p>
      <w:pPr>
        <w:pStyle w:val="BodyText"/>
      </w:pPr>
      <w:r>
        <w:rPr>
          <w:iCs/>
          <w:i/>
        </w:rPr>
        <w:t xml:space="preserve">[Bản tóm tắt là bản nháp cấu trúc; nghiên cứu sinh rà soát số liệu tổng hợp cuối trước khi nộp.]</w:t>
      </w:r>
    </w:p>
    <w:p>
      <w:r>
        <w:br w:type="page"/>
      </w:r>
    </w:p>
    <w:bookmarkEnd w:id="22"/>
    <w:bookmarkStart w:id="23" w:name="abstract"/>
    <w:p>
      <w:pPr>
        <w:pStyle w:val="Heading1"/>
      </w:pPr>
      <w:r>
        <w:t xml:space="preserve">ABSTRACT</w:t>
      </w:r>
    </w:p>
    <w:p>
      <w:pPr>
        <w:pStyle w:val="FirstParagraph"/>
      </w:pPr>
      <w:r>
        <w:t xml:space="preserve">This dissertation examines how internationalization affects firm business performance across</w:t>
      </w:r>
      <w:r>
        <w:t xml:space="preserve"> </w:t>
      </w:r>
      <w:r>
        <w:t xml:space="preserve">Asian and neighbouring economies, drawing on firm-level microdata from the World Bank Enterprise</w:t>
      </w:r>
      <w:r>
        <w:t xml:space="preserve"> </w:t>
      </w:r>
      <w:r>
        <w:t xml:space="preserve">Survey. It applies the Institutional Context Regime Variation (ICRV) framework to</w:t>
      </w:r>
      <w:r>
        <w:t xml:space="preserve"> </w:t>
      </w:r>
      <w:r>
        <w:t xml:space="preserve">explain why the internationalization–performance relationship varies across economies. The body of</w:t>
      </w:r>
      <w:r>
        <w:t xml:space="preserve"> </w:t>
      </w:r>
      <w:r>
        <w:t xml:space="preserve">work comprises a three-level meta-analysis, single-economy studies (Vietnam, Singapore, China), a</w:t>
      </w:r>
      <w:r>
        <w:t xml:space="preserve"> </w:t>
      </w:r>
      <w:r>
        <w:t xml:space="preserve">multi-economy study spanning 49 economies, and a boundary case of Pacific Small Island Developing</w:t>
      </w:r>
      <w:r>
        <w:t xml:space="preserve"> </w:t>
      </w:r>
      <w:r>
        <w:t xml:space="preserve">States.</w:t>
      </w:r>
    </w:p>
    <w:p>
      <w:pPr>
        <w:pStyle w:val="BodyText"/>
      </w:pPr>
      <w:r>
        <w:t xml:space="preserve">The findings indicate that the internationalization–performance relationship is universal in its</w:t>
      </w:r>
      <w:r>
        <w:t xml:space="preserve"> </w:t>
      </w:r>
      <w:r>
        <w:t xml:space="preserve">inverted-U form, but its optimum is relocated by institutional regime and digital capability: the</w:t>
      </w:r>
      <w:r>
        <w:t xml:space="preserve"> </w:t>
      </w:r>
      <w:r>
        <w:t xml:space="preserve">optimum occurs earlier in stronger-institution economies and later in frontier and vulnerable ones.</w:t>
      </w:r>
      <w:r>
        <w:t xml:space="preserve"> </w:t>
      </w:r>
      <w:r>
        <w:t xml:space="preserve">Digital capability acts as a partial substitute for institutional quality, with stronger effects where</w:t>
      </w:r>
      <w:r>
        <w:t xml:space="preserve"> </w:t>
      </w:r>
      <w:r>
        <w:t xml:space="preserve">institutions are weaker. The dissertation reconciles conflicting prior evidence and offers</w:t>
      </w:r>
      <w:r>
        <w:t xml:space="preserve"> </w:t>
      </w:r>
      <w:r>
        <w:t xml:space="preserve">regime-specific policy implications.</w:t>
      </w:r>
    </w:p>
    <w:p>
      <w:pPr>
        <w:pStyle w:val="BodyText"/>
      </w:pPr>
      <w:r>
        <w:rPr>
          <w:bCs/>
          <w:b/>
        </w:rPr>
        <w:t xml:space="preserve">Keywords:</w:t>
      </w:r>
      <w:r>
        <w:t xml:space="preserve"> </w:t>
      </w:r>
      <w:r>
        <w:t xml:space="preserve">internationalization; firm performance; inverted-U; institutional regime; digital</w:t>
      </w:r>
      <w:r>
        <w:t xml:space="preserve"> </w:t>
      </w:r>
      <w:r>
        <w:t xml:space="preserve">capability; Asia; World Bank Enterprise Surveys.</w:t>
      </w:r>
    </w:p>
    <w:p>
      <w:r>
        <w:br w:type="page"/>
      </w:r>
    </w:p>
    <w:bookmarkEnd w:id="23"/>
    <w:bookmarkStart w:id="24" w:name="lời-cam-đoan"/>
    <w:p>
      <w:pPr>
        <w:pStyle w:val="Heading1"/>
      </w:pPr>
      <w:r>
        <w:t xml:space="preserve">LỜI CAM ĐOAN</w:t>
      </w:r>
    </w:p>
    <w:p>
      <w:pPr>
        <w:pStyle w:val="FirstParagraph"/>
      </w:pPr>
      <w:r>
        <w:t xml:space="preserve">Tôi xin cam đoan luận án</w:t>
      </w:r>
      <w:r>
        <w:t xml:space="preserve"> </w:t>
      </w:r>
      <w:r>
        <w:t xml:space="preserve">“</w:t>
      </w:r>
      <w:r>
        <w:t xml:space="preserve">Quốc tế hóa và hiệu quả hoạt động kinh doanh của các doanh nghiệp ở</w:t>
      </w:r>
      <w:r>
        <w:t xml:space="preserve"> </w:t>
      </w:r>
      <w:r>
        <w:t xml:space="preserve">Châu Á</w:t>
      </w:r>
      <w:r>
        <w:t xml:space="preserve">”</w:t>
      </w:r>
      <w:r>
        <w:t xml:space="preserve"> </w:t>
      </w:r>
      <w:r>
        <w:t xml:space="preserve">là công trình nghiên cứu của riêng tôi dưới sự hướng dẫn khoa học của PGS.TS. Phan Anh</w:t>
      </w:r>
      <w:r>
        <w:t xml:space="preserve"> </w:t>
      </w:r>
      <w:r>
        <w:t xml:space="preserve">Tú. Các số liệu, kết quả nêu trong luận án là trung thực và chưa từng được công bố trong bất kỳ</w:t>
      </w:r>
      <w:r>
        <w:t xml:space="preserve"> </w:t>
      </w:r>
      <w:r>
        <w:t xml:space="preserve">công trình nào khác, ngoại trừ các công bố của chính tác giả được trích dẫn đầy đủ. Mọi nguồn tài</w:t>
      </w:r>
      <w:r>
        <w:t xml:space="preserve"> </w:t>
      </w:r>
      <w:r>
        <w:t xml:space="preserve">liệu tham khảo đều được trích dẫn theo đúng quy định.</w:t>
      </w:r>
    </w:p>
    <w:p>
      <w:pPr>
        <w:pStyle w:val="BodyText"/>
      </w:pPr>
      <w:r>
        <w:t xml:space="preserve"> </w:t>
      </w:r>
    </w:p>
    <w:p>
      <w:pPr>
        <w:pStyle w:val="Author"/>
      </w:pPr>
      <w:r>
        <w:t xml:space="preserve">Cần Thơ, ngày … tháng … năm 2026</w:t>
      </w:r>
    </w:p>
    <w:p>
      <w:pPr>
        <w:pStyle w:val="Author"/>
      </w:pPr>
      <w:r>
        <w:t xml:space="preserve">Nghiên cứu sinh</w:t>
      </w:r>
    </w:p>
    <w:p>
      <w:pPr>
        <w:pStyle w:val="Author"/>
      </w:pPr>
      <w:r>
        <w:t xml:space="preserve">Đỗ Thùy Hương</w:t>
      </w:r>
    </w:p>
    <w:p>
      <w:r>
        <w:br w:type="page"/>
      </w:r>
    </w:p>
    <w:p>
      <w:pPr>
        <w:pStyle w:val="Title"/>
      </w:pPr>
      <w:r>
        <w:rPr>
          <w:bCs/>
          <w:b/>
        </w:rPr>
        <w:t xml:space="preserve">MỤC LỤC</w:t>
      </w:r>
    </w:p>
    <w:p>
      <w:fldSimple w:instr=" TOC \o &quot;1-3&quot; \h \z \u ">
        <w:r>
          <w:t xml:space="preserve">[Trong Word: bôi chọn dòng này rồi nhấn F9 (Update Field) để tạo mục lục tự động từ các đề mục chương/mục.]</w:t>
        </w:r>
      </w:fldSimple>
    </w:p>
    <w:p>
      <w:r>
        <w:br w:type="page"/>
      </w:r>
    </w:p>
    <w:p>
      <w:pPr>
        <w:pStyle w:val="Title"/>
      </w:pPr>
      <w:r>
        <w:rPr>
          <w:bCs/>
          <w:b/>
        </w:rPr>
        <w:t xml:space="preserve">DANH SÁCH BẢNG</w:t>
      </w:r>
    </w:p>
    <w:p>
      <w:fldSimple w:instr=" TOC \h \z \c &quot;Bảng&quot; ">
        <w:r>
          <w:t xml:space="preserve">[Trong Word: nhấn F9 để tạo danh sách bảng từ chú thích (caption) có nhãn "Bảng".]</w:t>
        </w:r>
      </w:fldSimple>
    </w:p>
    <w:p>
      <w:r>
        <w:br w:type="page"/>
      </w:r>
    </w:p>
    <w:p>
      <w:pPr>
        <w:pStyle w:val="Title"/>
      </w:pPr>
      <w:r>
        <w:rPr>
          <w:bCs/>
          <w:b/>
        </w:rPr>
        <w:t xml:space="preserve">DANH SÁCH HÌNH</w:t>
      </w:r>
    </w:p>
    <w:p>
      <w:fldSimple w:instr=" TOC \h \z \c &quot;Hình&quot; ">
        <w:r>
          <w:t xml:space="preserve">[Trong Word: nhấn F9 để tạo danh sách hình từ chú thích (caption) có nhãn "Hình".]</w:t>
        </w:r>
      </w:fldSimple>
    </w:p>
    <w:p>
      <w:r>
        <w:br w:type="page"/>
      </w:r>
    </w:p>
    <w:bookmarkEnd w:id="24"/>
    <w:bookmarkStart w:id="25" w:name="danh-mục-từ-viết-tắt"/>
    <w:p>
      <w:pPr>
        <w:pStyle w:val="Heading1"/>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WBES</w:t>
            </w:r>
          </w:p>
        </w:tc>
        <w:tc>
          <w:tcPr/>
          <w:p>
            <w:pPr>
              <w:pStyle w:val="Compact"/>
              <w:jc w:val="left"/>
            </w:pPr>
            <w:r>
              <w:t xml:space="preserve">World Bank Enterprise Survey</w:t>
            </w:r>
          </w:p>
        </w:tc>
        <w:tc>
          <w:tcPr/>
          <w:p>
            <w:pPr>
              <w:pStyle w:val="Compact"/>
              <w:jc w:val="left"/>
            </w:pPr>
            <w:r>
              <w:t xml:space="preserve">Khảo sát Doanh nghiệp Ngân hàng Thế giới</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Quốc tế hóa–Hiệu quả</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Cường độ xuất khẩu</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cDAI</w:t>
            </w:r>
          </w:p>
        </w:tc>
        <w:tc>
          <w:tcPr/>
          <w:p>
            <w:pPr>
              <w:pStyle w:val="Compact"/>
              <w:jc w:val="left"/>
            </w:pPr>
            <w:r>
              <w:t xml:space="preserve">Country-level Digital Adoption</w:t>
            </w:r>
          </w:p>
        </w:tc>
        <w:tc>
          <w:tcPr/>
          <w:p>
            <w:pPr>
              <w:pStyle w:val="Compact"/>
              <w:jc w:val="left"/>
            </w:pPr>
            <w:r>
              <w:t xml:space="preserve">Áp dụng số cấp quốc gia</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MARA</w:t>
            </w:r>
          </w:p>
        </w:tc>
        <w:tc>
          <w:tcPr/>
          <w:p>
            <w:pPr>
              <w:pStyle w:val="Compact"/>
              <w:jc w:val="left"/>
            </w:pPr>
            <w:r>
              <w:t xml:space="preserve">Meta-Analytic Regression Analysis</w:t>
            </w:r>
          </w:p>
        </w:tc>
        <w:tc>
          <w:tcPr/>
          <w:p>
            <w:pPr>
              <w:pStyle w:val="Compact"/>
              <w:jc w:val="left"/>
            </w:pPr>
            <w:r>
              <w:t xml:space="preserve">Phân tích hồi quy tổng hợp</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Chỉ số quản trị toàn cầu</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tối ưu (điểm uốn)</w:t>
            </w:r>
          </w:p>
        </w:tc>
      </w:tr>
    </w:tbl>
    <w:p>
      <w:pPr>
        <w:pStyle w:val="BodyText"/>
      </w:pPr>
      <w:r>
        <w:rPr>
          <w:iCs/>
          <w:i/>
        </w:rPr>
        <w:t xml:space="preserve">Danh mục đầy đủ 68 thuật ngữ: xem</w:t>
      </w:r>
      <w:r>
        <w:rPr>
          <w:iCs/>
          <w:i/>
        </w:rPr>
        <w:t xml:space="preserve"> </w:t>
      </w:r>
      <w:r>
        <w:rPr>
          <w:rStyle w:val="VerbatimChar"/>
          <w:iCs/>
          <w:i/>
        </w:rPr>
        <w:t xml:space="preserve">thesis/09b_vn_term_glossary.md</w:t>
      </w:r>
      <w:r>
        <w:rPr>
          <w:iCs/>
          <w:i/>
        </w:rPr>
        <w:t xml:space="preserve">.</w:t>
      </w:r>
    </w:p>
    <w:p>
      <w:r>
        <w:br w:type="page"/>
      </w:r>
    </w:p>
    <w:bookmarkEnd w:id="25"/>
    <w:bookmarkStart w:id="38"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6" w:name="tính-cấp-thiết-và-bối-cảnh-nghiên-cứu"/>
    <w:p>
      <w:pPr>
        <w:pStyle w:val="Heading2"/>
      </w:pPr>
      <w:r>
        <w:t xml:space="preserve">1.1 Tính cấp thiết và bối cảnh nghiên cứu</w:t>
      </w:r>
    </w:p>
    <w:p>
      <w:pPr>
        <w:pStyle w:val="FirstParagraph"/>
      </w:pPr>
      <w:r>
        <w:t xml:space="preserve">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(Do &amp; Phan, 2026c).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 ICRV).</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6"/>
    <w:bookmarkStart w:id="27"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47-49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 Technological Capability Index — TCI với Chỉ số chấp nhận số — Digital Adoption Index — DAI), và đặc điểm nhà quản trị cấp cao (kinh nghiệm và giới tính).</w:t>
      </w:r>
    </w:p>
    <w:p>
      <w:r>
        <w:pict>
          <v:rect style="width:0;height:1.5pt" o:hralign="center" o:hrstd="t" o:hr="t"/>
        </w:pict>
      </w:r>
    </w:p>
    <w:bookmarkEnd w:id="27"/>
    <w:bookmarkStart w:id="28"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47-49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8"/>
    <w:bookmarkStart w:id="32" w:name="đối-tượng-và-phạm-vi-nghiên-cứu"/>
    <w:p>
      <w:pPr>
        <w:pStyle w:val="Heading2"/>
      </w:pPr>
      <w:r>
        <w:t xml:space="preserve">1.4 Đối tượng và phạm vi nghiên cứu</w:t>
      </w:r>
    </w:p>
    <w:bookmarkStart w:id="29"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9"/>
    <w:bookmarkStart w:id="30" w:name="phạm-vi-không-gian"/>
    <w:p>
      <w:pPr>
        <w:pStyle w:val="Heading3"/>
      </w:pPr>
      <w:r>
        <w:t xml:space="preserve">1.4.2 Phạm vi không gian</w:t>
      </w:r>
    </w:p>
    <w:p>
      <w:pPr>
        <w:pStyle w:val="FirstParagraph"/>
      </w:pPr>
      <w:r>
        <w:t xml:space="preserve">Phạm vi không gian chính của nghiên cứu gồm 47-49 nền kinh tế châu Á và Thái Bình Dương có dữ liệu trong Khảo sát Doanh nghiệp của Ngân hàng Thế giới (World Bank Enterprise Surveys —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47-49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49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30"/>
    <w:bookmarkStart w:id="31"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31"/>
    <w:bookmarkEnd w:id="32"/>
    <w:bookmarkStart w:id="33"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như một hệ thống công bố gồm tám nghiên cứu thành phần P1-P8, được bổ sung bởi một phân tích tổng hợp công bố năm 2024 và một chương sách xuất bản trong tuyển tập IntechOpen năm 2025, hợp thành mười công trình gắn kết với nhau. Trong số này, hai bài đã công bố trên tạp chí, một bài đã có trong kỷ yếu hội thảo, và các bản thảo còn lại đang ở các giai đoạn phản biện và chỉnh sửa khác nhau tại các tạp chí thuộc danh mục ISI/Scopus. Mỗi nghiên cứu thành phần kiểm định một phần của khung giải thích đa tầng trên một bối cảnh hoặc một phạm vi cụ thể, và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33"/>
    <w:bookmarkStart w:id="36" w:name="những-đóng-góp-mới-của-luận-án"/>
    <w:p>
      <w:pPr>
        <w:pStyle w:val="Heading2"/>
      </w:pPr>
      <w:r>
        <w:t xml:space="preserve">1.6 Những đóng góp mới của luận án</w:t>
      </w:r>
    </w:p>
    <w:bookmarkStart w:id="34"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34"/>
    <w:bookmarkStart w:id="35"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47-49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35"/>
    <w:bookmarkEnd w:id="36"/>
    <w:bookmarkStart w:id="37"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47-49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7"/>
    <w:bookmarkEnd w:id="38"/>
    <w:bookmarkStart w:id="66"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44"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(Do &amp; Phan, 2026d).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9"/>
    <w:bookmarkStart w:id="40"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40"/>
    <w:bookmarkStart w:id="41"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41"/>
    <w:bookmarkStart w:id="42"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42"/>
    <w:bookmarkStart w:id="43"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43"/>
    <w:bookmarkEnd w:id="44"/>
    <w:bookmarkStart w:id="50"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4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45"/>
    <w:bookmarkStart w:id="46"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46"/>
    <w:bookmarkStart w:id="47"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dịch chuyển điểm uốn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7"/>
    <w:bookmarkStart w:id="48"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giả thuyết H4 về vai trò của đặc điểm nhà quản trị cấp cao.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(Do &amp; Phan, 2026d).</w:t>
      </w:r>
    </w:p>
    <w:bookmarkEnd w:id="48"/>
    <w:bookmarkStart w:id="49"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w:t>
            </w:r>
          </w:p>
        </w:tc>
        <w:tc>
          <w:tcPr/>
          <w:p>
            <w:pPr>
              <w:pStyle w:val="Compact"/>
              <w:jc w:val="left"/>
            </w:pPr>
            <w:r>
              <w:t xml:space="preserve">Học hỏi tích lũy; gánh nặng người nước ngoài và người ngoài mạng lưới</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dịch chuyển vị trí điểm uốn</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w:t>
            </w:r>
          </w:p>
        </w:tc>
        <w:tc>
          <w:tcPr/>
          <w:p>
            <w:pPr>
              <w:pStyle w:val="Compact"/>
              <w:jc w:val="left"/>
            </w:pPr>
            <w:r>
              <w:t xml:space="preserve">H4</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9"/>
    <w:bookmarkEnd w:id="50"/>
    <w:bookmarkStart w:id="54"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51"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51"/>
    <w:bookmarkStart w:id="52"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52"/>
    <w:bookmarkStart w:id="53" w:name="X4e2b003f8c1d47027cacfb453a77b6968ac0348"/>
    <w:p>
      <w:pPr>
        <w:pStyle w:val="Heading3"/>
      </w:pPr>
      <w:r>
        <w:t xml:space="preserve">2.3.3 Vai trò điều tiết của ICRV trong quan hệ I-P</w:t>
      </w:r>
    </w:p>
    <w:p>
      <w:pPr>
        <w:pStyle w:val="FirstParagraph"/>
      </w:pPr>
      <w:r>
        <w:t xml:space="preserve">ICRV không chỉ là một biến phân loại.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dịch chuyển điểm uốn: ở môi trường thể chế chất lượng cao, doanh nghiệp cần một tỷ trọng xuất khẩu thấp hơn để bù đắp chi phí quốc tế hóa, nên điểm uốn tối ưu xuất hiện sớm hơn; ngược lại, ở môi trường thể chế yếu, chi phí giao dịch xuyên biên giới cao đẩy điểm uốn ra muộn hơn (Do &amp; Phan, 2026d).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(Do &amp; Phan, 2026d).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53"/>
    <w:bookmarkEnd w:id="54"/>
    <w:bookmarkStart w:id="59"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55"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55"/>
    <w:bookmarkStart w:id="56"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có thể dịch chuyển điểm uốn tới khoảng $</w:t>
      </w:r>
      <w:r>
        <w:t xml:space="preserve">$15% FSTS;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P6, một phân tích tổng hợp ba tầng theo giao thức PRISMA 2020 với k = 238 nghiên cứu và K = 288 mức độ ảnh hưởng từ châu Á và Thái Bình Dương. P6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P6 cũng phát hiện thiên lệch xuất bản đáng kể: phương pháp trim-and-fill bổ khuyết 58 nghiên cứu còn thiếu, kéo tác động tổng hợp điều chỉnh xuống r = 0,035, vẫn dương nhưng bị suy giảm (Do &amp; Phan, 2026c).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56"/>
    <w:bookmarkStart w:id="57"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(Do &amp; Phan, 2026d). Phản ứng quen thuộc của tài liệu là viện đến bối cảnh như một biến điều tiết, nhưng cách làm đó để ngỏ câu hỏi sâu hơn: nếu quan hệ I-P là phi tuyến, thì điều gì quyết định vị trí điểm uốn, và vì sao vị trí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(P3),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(Do &amp; Phan, 2026e). Trên dữ liệu Trung Quốc (P5), quan hệ chữ U ngược bền vững về cấu trúc, với điểm uốn 49,4% năm 2012 và 47,2% năm 2024, và kiểm định Paternoster không bác bỏ giả thuyết hai điểm uốn bằng nhau. Trên dữ liệu Singapore (P4), quan hệ chủ yếu dương với điểm uốn hàm ý rất muộn ở khoảng 88,6% FSTS, nhất quán với lợi ích gần như đơn điệu trong một nền kinh tế thể chế mạnh và bão hòa số (Mar et al., 2026).</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7"/>
    <w:bookmarkStart w:id="58"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(P3),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(Do &amp; Phan, 2026e). Ở Singapore (P4),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(Mar et al., 2026).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8"/>
    <w:bookmarkEnd w:id="59"/>
    <w:bookmarkStart w:id="64" w:name="X571aebe6b94c63b04e26a653f6b78348d98b3f9"/>
    <w:p>
      <w:pPr>
        <w:pStyle w:val="Heading2"/>
      </w:pPr>
      <w:r>
        <w:t xml:space="preserve">2.5 Khoảng trống nghiên cứu và khung khái niệm, giả thuyết của luận án</w:t>
      </w:r>
    </w:p>
    <w:bookmarkStart w:id="60"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và lớp mở rộng năng lực số. Trong khung này, FSTS là biến độc lập chính và năng suất lao động là biến phụ thuộc.</w:t>
      </w:r>
    </w:p>
    <w:bookmarkEnd w:id="60"/>
    <w:bookmarkStart w:id="61"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đồng thời bởi ba tầng can thiệp, cùng với lớp mở rộng năng lực số xuyên suốt.</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vị trí điểm uốn.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quản trị và giới tính nhà quản trị, đóng vai trò các yếu tố nâng mặt bằng hiệu quả. Kinh nghiệm quốc tế của nhà quản trị giảm chi phí nhận thức của gánh nặng người nước ngoài; sự hiện diện của quản trị viên nữ làm tăng tính đa dạng nhận thức và sự thận trọng trong quản trị rủi ro quốc tế.</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61"/>
    <w:bookmarkStart w:id="62"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36% FSTS (Do &amp; Phan, 2026d).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chi phí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(Do &amp; Phan, 2026d).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(điều tiết bởi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Từ đó:</w:t>
      </w:r>
      <w:r>
        <w:t xml:space="preserve"> </w:t>
      </w:r>
      <w:r>
        <w:rPr>
          <w:iCs/>
          <w:i/>
        </w:rPr>
        <w:t xml:space="preserve">Kinh nghiệm quản trị và sự hiện diện của nhà quản trị nữ ở cấp cao làm mạnh thêm tác động tích cực của quốc tế hóa lên hiệu quả hoạt động, chủ yếu thông qua việc nâng mặt bằng hiệu quả, nhờ nâng cao nhận thức chiến lược quốc tế và quản trị rủi ro thận trọng hơn.</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vị trí điểm uốn. Marano et al. (2016) xác nhận thể chế quốc gia nguồn là biến điều tiết quan trọng nhất, có thể dịch chuyển điểm uốn đáng kể.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Mar et al. (2026)</w:t>
            </w:r>
          </w:p>
        </w:tc>
      </w:tr>
      <w:tr>
        <w:tc>
          <w:tcPr/>
          <w:p>
            <w:pPr>
              <w:pStyle w:val="Compact"/>
              <w:jc w:val="left"/>
            </w:pPr>
            <w:r>
              <w:t xml:space="preserve">H4</w:t>
            </w:r>
          </w:p>
        </w:tc>
        <w:tc>
          <w:tcPr/>
          <w:p>
            <w:pPr>
              <w:pStyle w:val="Compact"/>
              <w:jc w:val="left"/>
            </w:pPr>
            <w:r>
              <w:t xml:space="preserve">Đặc điểm nhà quản trị nâng mặt bằng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dịch chuyển điểm uốn</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62"/>
    <w:bookmarkStart w:id="63"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P7 lấp khoảng trống này bằng dữ liệu WBES từ 49 nền kinh tế (N = 84.910-91.982 doanh nghiệp, 102 đợt quốc gia-năm), bao phủ toàn bộ dải biến thiên ICRV, kiểm định đồng thời H1-H6 với hiệu ứng cố định quốc gia-năm; điểm uốn trung bình khoảng 36% FSTS tại P7 thấp hơn so với Việt Nam (39-46%) và Trung Quốc (47-49%), qua đó xác nhận ICRV điều tiết vị trí điểm uốn đúng theo dải biến thiên mà lý thuyết dự đoán (Do &amp; Phan, 2026d). Khoảng trống thứ ba còn đòi hỏi kiểm định một điều kiện biên cực trị, đó là liệu có tồn tại bối cảnh nơi chữ U ngược sụp đổ hoàn toàn thành quan hệ âm đơn điệu hay không; Nghiên cứu P8 kiểm định H1b bằng dữ liệu WBES từ các nền kinh tế đảo nhỏ Thái Bình Dương, nơi ba điều kiện cấu trúc cơ bản của chữ U ngược cùng bị vi phạm (Do &amp; Phan, 2026b). Cùng với phân tích tổng hợp P6,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63"/>
    <w:bookmarkEnd w:id="64"/>
    <w:bookmarkStart w:id="6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dịch chuyển điểm uốn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5"/>
    <w:bookmarkEnd w:id="66"/>
    <w:bookmarkStart w:id="67" w:name="chương-3-phương-pháp-nghiên-cứu"/>
    <w:p>
      <w:pPr>
        <w:pStyle w:val="Heading1"/>
      </w:pPr>
      <w:r>
        <w:t xml:space="preserve">CHƯƠNG 3: PHƯƠNG PHÁP NGHIÊN CỨU</w:t>
      </w:r>
    </w:p>
    <w:bookmarkEnd w:id="67"/>
    <w:p>
      <w:r>
        <w:pict>
          <v:rect style="width:0;height:1.5pt" o:hralign="center" o:hrstd="t" o:hr="t"/>
        </w:pict>
      </w:r>
    </w:p>
    <w:bookmarkStart w:id="70" w:name="thiết-kế-nghiên-cứu-tổng-thể"/>
    <w:p>
      <w:pPr>
        <w:pStyle w:val="Heading2"/>
      </w:pPr>
      <w:r>
        <w:t xml:space="preserve">3.1 Thiết kế nghiên cứu tổng thể</w:t>
      </w:r>
    </w:p>
    <w:bookmarkStart w:id="68"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68"/>
    <w:bookmarkStart w:id="69"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69"/>
    <w:bookmarkEnd w:id="70"/>
    <w:bookmarkStart w:id="74" w:name="phase-1-meta-analysis-1982-2026"/>
    <w:p>
      <w:pPr>
        <w:pStyle w:val="Heading2"/>
      </w:pPr>
      <w:r>
        <w:t xml:space="preserve">3.2 Phase 1, Meta-analysis 1982-2026</w:t>
      </w:r>
    </w:p>
    <w:bookmarkStart w:id="71"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71"/>
    <w:bookmarkStart w:id="72"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w:t>
      </w:r>
      <w:r>
        <w:t xml:space="preserve">$250,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72"/>
    <w:bookmarkStart w:id="73"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73"/>
    <w:bookmarkEnd w:id="74"/>
    <w:bookmarkStart w:id="83" w:name="X8de0b19c054d402e314fef9726425749df3fc18"/>
    <w:p>
      <w:pPr>
        <w:pStyle w:val="Heading2"/>
      </w:pPr>
      <w:r>
        <w:t xml:space="preserve">3.3 Phase 2, Phân tích thực nghiệm đa quốc gia</w:t>
      </w:r>
    </w:p>
    <w:bookmarkStart w:id="75"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các nghiên cứu về quan hệ I-P,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các nghiên cứu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75"/>
    <w:bookmarkStart w:id="76"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các nghiên cứu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6"/>
    <w:bookmarkStart w:id="77"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77"/>
    <w:bookmarkStart w:id="81" w:name="đo-lường-biến-điều-tiết"/>
    <w:p>
      <w:pPr>
        <w:pStyle w:val="Heading3"/>
      </w:pPr>
      <w:r>
        <w:t xml:space="preserve">3.3.4 Đo lường biến điều tiết</w:t>
      </w:r>
    </w:p>
    <w:bookmarkStart w:id="78"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78"/>
    <w:bookmarkStart w:id="79"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79"/>
    <w:bookmarkStart w:id="80"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80"/>
    <w:bookmarkEnd w:id="81"/>
    <w:bookmarkStart w:id="82"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82"/>
    <w:bookmarkEnd w:id="83"/>
    <w:bookmarkStart w:id="97" w:name="mô-hình-phân-tích"/>
    <w:p>
      <w:pPr>
        <w:pStyle w:val="Heading2"/>
      </w:pPr>
      <w:r>
        <w:t xml:space="preserve">3.4 Mô hình phân tích</w:t>
      </w:r>
    </w:p>
    <w:bookmarkStart w:id="84"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84"/>
    <w:bookmarkStart w:id="85"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85"/>
    <w:bookmarkStart w:id="8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86"/>
    <w:bookmarkStart w:id="89" w:name="mô-hình-moderation-h2-h6"/>
    <w:p>
      <w:pPr>
        <w:pStyle w:val="Heading3"/>
      </w:pPr>
      <w:r>
        <w:t xml:space="preserve">3.4.4 Mô hình moderation (H2-H6)</w:t>
      </w:r>
    </w:p>
    <w:bookmarkStart w:id="87"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87"/>
    <w:bookmarkStart w:id="88"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88"/>
    <w:bookmarkEnd w:id="89"/>
    <w:bookmarkStart w:id="90"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90"/>
    <w:bookmarkStart w:id="91"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91"/>
    <w:bookmarkStart w:id="92"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w:t>
      </w:r>
      <w:r>
        <w:t xml:space="preserve"> </w:t>
      </w:r>
      <m:oMath>
        <m:r>
          <m:rPr>
            <m:sty m:val="p"/>
          </m:rPr>
          <m:t>≈</m:t>
        </m:r>
      </m:oMath>
      <w:r>
        <w:t xml:space="preserve"> </w:t>
      </w:r>
      <w:r>
        <w:t xml:space="preserve">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(coordination platform mechanism;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92"/>
    <w:bookmarkStart w:id="93"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(pooled)</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93"/>
    <w:bookmarkStart w:id="94"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38.342 (M3, thêm kiểm soát),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End w:id="94"/>
    <w:bookmarkStart w:id="95" w:name="X643505249b2e6f03115a2b099a8243c676fb8cd"/>
    <w:p>
      <w:pPr>
        <w:pStyle w:val="Heading3"/>
      </w:pPr>
      <w:r>
        <w:t xml:space="preserve">3.4.5.5 Mô hình cụ thể,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Nghiên cứu 8 (Pacific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5"/>
    <w:bookmarkStart w:id="96"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96"/>
    <w:bookmarkEnd w:id="97"/>
    <w:bookmarkStart w:id="103" w:name="kiểm-định-độ-vững"/>
    <w:p>
      <w:pPr>
        <w:pStyle w:val="Heading2"/>
      </w:pPr>
      <w:r>
        <w:t xml:space="preserve">3.5 Kiểm định độ vững</w:t>
      </w:r>
    </w:p>
    <w:bookmarkStart w:id="98"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98"/>
    <w:bookmarkStart w:id="99"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99"/>
    <w:bookmarkStart w:id="100"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00"/>
    <w:bookmarkStart w:id="101"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101"/>
    <w:bookmarkStart w:id="102"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102"/>
    <w:bookmarkEnd w:id="103"/>
    <w:bookmarkStart w:id="104"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04"/>
    <w:bookmarkStart w:id="105"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105"/>
    <w:bookmarkStart w:id="136" w:name="chương-4-kết-quả-nghiên-cứu"/>
    <w:p>
      <w:pPr>
        <w:pStyle w:val="Heading1"/>
      </w:pPr>
      <w:r>
        <w:t xml:space="preserve">CHƯƠNG 4: KẾT QUẢ NGHIÊN CỨU</w:t>
      </w:r>
    </w:p>
    <w:p>
      <w:r>
        <w:pict>
          <v:rect style="width:0;height:1.5pt" o:hralign="center" o:hrstd="t" o:hr="t"/>
        </w:pict>
      </w:r>
    </w:p>
    <w:bookmarkStart w:id="106"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P3 đến P8)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 ICRV). Mục 4.2 trình bày kết quả phân tích tổng hợp ba tầng (P6), gồm hiệu ứng gộp, cấu trúc dị biệt, điều tiết theo chế độ thể chế và sai lệch xuất bản. Mục 4.3 trình bày kiểm định đa quốc gia trên 49 nền kinh tế (P7), gồm đường cong U ngược, điểm uốn tối ưu, dải biến thiên theo ICRV và tương tác giữa năng lực số với thể chế. Mục 4.4 trình bày ba nghiên cứu đơn quốc gia tại Việt Nam (P3), Singapore (P4) và Trung Quốc (P5). Mục 4.5 trình bày trường hợp biên là các nền kinh tế đảo nhỏ đang phát triển ở Thái Bình Dương (P8). Mục 4.6 tổng hợp và thảo luận các phát hiện liên thông giữa các nghiên cứu thành phần. Mục 4.7 trình bày các kiểm định độ vững.</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06"/>
    <w:bookmarkStart w:id="111" w:name="thống-kê-mô-tả-và-bức-tranh-tổng-thể"/>
    <w:p>
      <w:pPr>
        <w:pStyle w:val="Heading2"/>
      </w:pPr>
      <w:r>
        <w:t xml:space="preserve">4.1 Thống kê mô tả và bức tranh tổng thể</w:t>
      </w:r>
    </w:p>
    <w:bookmarkStart w:id="107"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07"/>
    <w:bookmarkStart w:id="108"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 GVC) với biên lợi nhuận khác nhau.</w:t>
      </w:r>
    </w:p>
    <w:bookmarkEnd w:id="108"/>
    <w:bookmarkStart w:id="109"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 DAI), tức chấp nhận số bề mặt, và Chỉ số năng lực công nghệ (Technological Capability Index —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09"/>
    <w:bookmarkStart w:id="110"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10"/>
    <w:bookmarkEnd w:id="111"/>
    <w:bookmarkStart w:id="116" w:name="kết-quả-phân-tích-tổng-hợp-ba-tầng-p6"/>
    <w:p>
      <w:pPr>
        <w:pStyle w:val="Heading2"/>
      </w:pPr>
      <w:r>
        <w:t xml:space="preserve">4.2 Kết quả phân tích tổng hợp ba tầng (P6)</w:t>
      </w:r>
    </w:p>
    <w:bookmarkStart w:id="112"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P6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12"/>
    <w:bookmarkStart w:id="113"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P6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3"/>
    <w:bookmarkStart w:id="114"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P6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P6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P7 (Mục 4.3).</w:t>
      </w:r>
    </w:p>
    <w:p>
      <w:pPr>
        <w:pStyle w:val="BodyText"/>
      </w:pPr>
      <w:r>
        <w:t xml:space="preserve">Bên cạnh ICRV, P6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P7.</w:t>
      </w:r>
    </w:p>
    <w:bookmarkEnd w:id="114"/>
    <w:bookmarkStart w:id="115"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5"/>
    <w:bookmarkEnd w:id="116"/>
    <w:bookmarkStart w:id="121" w:name="X23ec8dfeaa8eb4ba0a17f94e01cc624d956892c"/>
    <w:p>
      <w:pPr>
        <w:pStyle w:val="Heading2"/>
      </w:pPr>
      <w:r>
        <w:t xml:space="preserve">4.3 Kết quả đa quốc gia trên 49 nền kinh tế (P7)</w:t>
      </w:r>
    </w:p>
    <w:bookmarkStart w:id="117" w:name="mẫu-và-đường-cong-u-ngược"/>
    <w:p>
      <w:pPr>
        <w:pStyle w:val="Heading3"/>
      </w:pPr>
      <w:r>
        <w:t xml:space="preserve">4.3.1 Mẫu và đường cong U ngược</w:t>
      </w:r>
    </w:p>
    <w:p>
      <w:pPr>
        <w:pStyle w:val="FirstParagraph"/>
      </w:pPr>
      <w:r>
        <w:t xml:space="preserve">Phân tích P7 là kiểm định quy mô lớn nhất của luận án, kết hợp toàn bộ các bối cảnh ICRV trong khu vực châu Á và Thái Bình Dương, trải dài 49 nền kinh tế và 102 đợt khảo sát quốc gia–năm. FSTS trung bình trên toàn mẫu xấp xỉ 12%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84.910</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316</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810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38.342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677</m:t>
        </m:r>
      </m:oMath>
      <w:r>
        <w:t xml:space="preserve">), ước lượng:</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33,8–40,0% FSTS qua mọi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Điểm uốn tổng thể của toàn mẫu nằm vào khoảng 36% FSTS. Tính nhất quán này bác bỏ giả thuyết cho rằng đường cong U ngược chỉ là sản phẩm phụ của mẫu nhỏ hay thiếu biến kiểm soát.</w:t>
      </w:r>
    </w:p>
    <w:bookmarkEnd w:id="117"/>
    <w:bookmarkStart w:id="118" w:name="dải-biến-thiên-icrv-và-điểm-uốn-tối-ưu"/>
    <w:p>
      <w:pPr>
        <w:pStyle w:val="Heading3"/>
      </w:pPr>
      <w:r>
        <w:t xml:space="preserve">4.3.2 Dải biến thiên ICRV và điểm uốn tối ưu</w:t>
      </w:r>
    </w:p>
    <w:p>
      <w:pPr>
        <w:pStyle w:val="FirstParagraph"/>
      </w:pPr>
      <w:r>
        <w:t xml:space="preserve">Kết quả quan trọng nhất của P7 là xác nhận dải biến thiên theo ICRV. Mô hình M10 cho hiệu ứng chính của nhóm ICRV (</w:t>
      </w:r>
      <m:oMath>
        <m:r>
          <m:t>β</m:t>
        </m:r>
        <m:r>
          <m:rPr>
            <m:sty m:val="p"/>
          </m:rPr>
          <m:t>=</m:t>
        </m:r>
        <m:r>
          <m:rPr>
            <m:sty m:val="p"/>
          </m:rPr>
          <m:t>+</m:t>
        </m:r>
        <m:r>
          <m:t>0</m:t>
        </m:r>
        <m:r>
          <m:rPr>
            <m:sty m:val="p"/>
          </m:rPr>
          <m:t>,</m:t>
        </m:r>
        <m:r>
          <m:t>763</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cho dải biến thiên là hai số hạng tương tác: FSTS×ICRV (</w:t>
      </w:r>
      <m:oMath>
        <m:r>
          <m:t>β</m:t>
        </m:r>
        <m:r>
          <m:rPr>
            <m:sty m:val="p"/>
          </m:rPr>
          <m:t>=</m:t>
        </m:r>
        <m:r>
          <m:rPr>
            <m:sty m:val="p"/>
          </m:rPr>
          <m:t>+</m:t>
        </m:r>
        <m:r>
          <m:t>1</m:t>
        </m:r>
        <m:r>
          <m:rPr>
            <m:sty m:val="p"/>
          </m:rPr>
          <m:t>,</m:t>
        </m:r>
        <m:r>
          <m:t>762</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746</m:t>
        </m:r>
      </m:oMath>
      <w:r>
        <w:t xml:space="preserve">,</w:t>
      </w:r>
      <w:r>
        <w:t xml:space="preserve"> </w:t>
      </w:r>
      <m:oMath>
        <m:r>
          <m:t>p</m:t>
        </m:r>
        <m:r>
          <m:rPr>
            <m:sty m:val="p"/>
          </m:rPr>
          <m:t>&lt;</m:t>
        </m:r>
        <m:r>
          <m:rPr>
            <m:sty m:val="p"/>
          </m:rPr>
          <m:t>,</m:t>
        </m:r>
        <m:r>
          <m:t>001</m:t>
        </m:r>
      </m:oMath>
      <w:r>
        <w:t xml:space="preserve">). Hai hệ số này cho thấy điểm uốn tăng dần khi chuyển từ nhóm thể chế mạnh sang nhóm thể chế yếu:</w:t>
      </w:r>
    </w:p>
    <w:p>
      <w:pPr>
        <w:pStyle w:val="BodyText"/>
      </w:pPr>
      <m:oMathPara>
        <m:oMathParaPr>
          <m:jc m:val="center"/>
        </m:oMathParaPr>
        <m:oMath>
          <m:r>
            <m:rPr>
              <m:nor/>
              <m:sty m:val="p"/>
            </m:rPr>
            <m:t>TP(Advanced đổi mới)</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Dải biến thiên này nhất quán với dự đoán của lý thuyết thể chế. Ở môi trường thể chế mạnh (Nhóm I), doanh nghiệp hoàn vốn chi phí quốc tế hóa ở mức FSTS thấp hơn, tức đạt đỉnh hiệu quả sớm hơn. Tại các nền kinh tế thể chế yếu (Nhóm V–VI), doanh nghiệp cần quốc tế hóa sâu hơn để bù đắp chi phí giao dịch và bất định thể chế, nên điểm uốn xuất hiện muộn hơn, ở mức FSTS cao hơn.</w:t>
      </w:r>
    </w:p>
    <w:p>
      <w:pPr>
        <w:pStyle w:val="BodyText"/>
      </w:pPr>
      <w:r>
        <w:t xml:space="preserve">Kiểm định điều tiết tổng thể về ICRV trong P7 nhất quán với kết quả phân tích tổng hợp ở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49 nền kinh tế, cùng chỉ ra dải biến thiên ICRV, tạo nên một sự xác nhận chéo độc lập có giá trị.</w:t>
      </w:r>
    </w:p>
    <w:bookmarkEnd w:id="118"/>
    <w:bookmarkStart w:id="119"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344</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344</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144</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137</m:t>
        </m:r>
      </m:oMath>
      <w:r>
        <w:t xml:space="preserve">, không có ý nghĩa, vẫn không có ý nghĩa trong M8 với</w:t>
      </w:r>
      <w:r>
        <w:t xml:space="preserve"> </w:t>
      </w:r>
      <m:oMath>
        <m:r>
          <m:t>p</m:t>
        </m:r>
        <m:r>
          <m:rPr>
            <m:sty m:val="p"/>
          </m:rPr>
          <m:t>=</m:t>
        </m:r>
        <m:r>
          <m:rPr>
            <m:sty m:val="p"/>
          </m:rPr>
          <m:t>,</m:t>
        </m:r>
        <m:r>
          <m:t>129</m:t>
        </m:r>
      </m:oMath>
      <w:r>
        <w:t xml:space="preserve">) không đạt ý nghĩa trong mẫu 49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(P3),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w:t>
      </w:r>
      <m:oMath>
        <m:r>
          <m:rPr>
            <m:sty m:val="p"/>
          </m:rPr>
          <m:t>exp</m:t>
        </m:r>
        <m:d>
          <m:dPr>
            <m:begChr m:val="("/>
            <m:endChr m:val=")"/>
            <m:sepChr m:val=""/>
            <m:grow/>
          </m:dPr>
          <m:e>
            <m:r>
              <m:t>0</m:t>
            </m:r>
            <m:r>
              <m:rPr>
                <m:sty m:val="p"/>
              </m:rPr>
              <m:t>,</m:t>
            </m:r>
            <m:r>
              <m:t>155</m:t>
            </m:r>
          </m:e>
        </m:d>
        <m:r>
          <m:rPr>
            <m:sty m:val="p"/>
          </m:rPr>
          <m:t>−</m:t>
        </m:r>
        <m:r>
          <m:t>1</m:t>
        </m:r>
        <m:r>
          <m:rPr>
            <m:sty m:val="p"/>
          </m:rPr>
          <m:t>≈</m:t>
        </m:r>
        <m:r>
          <m:t>0</m:t>
        </m:r>
        <m:r>
          <m:rPr>
            <m:sty m:val="p"/>
          </m:rPr>
          <m:t>,</m:t>
        </m:r>
        <m:r>
          <m:t>17</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r>
            <m:t> </m:t>
          </m:r>
          <m:d>
            <m:dPr>
              <m:begChr m:val="("/>
              <m:endChr m:val=")"/>
              <m:sepChr m:val=""/>
              <m:grow/>
            </m:dPr>
            <m:e>
              <m:r>
                <m:t>p</m:t>
              </m:r>
              <m:r>
                <m:rPr>
                  <m:sty m:val="p"/>
                </m:rPr>
                <m:t>=</m:t>
              </m:r>
              <m:r>
                <m:rPr>
                  <m:sty m:val="p"/>
                </m:rPr>
                <m:t>,</m:t>
              </m:r>
              <m:r>
                <m:t>001</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780</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994</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060</m:t>
        </m:r>
      </m:oMath>
      <w:r>
        <w:t xml:space="preserve">,</w:t>
      </w:r>
      <w:r>
        <w:t xml:space="preserve"> </w:t>
      </w:r>
      <m:oMath>
        <m:r>
          <m:t>p</m:t>
        </m:r>
        <m:r>
          <m:rPr>
            <m:sty m:val="p"/>
          </m:rPr>
          <m:t>=</m:t>
        </m:r>
        <m:r>
          <m:rPr>
            <m:sty m:val="p"/>
          </m:rPr>
          <m:t>,</m:t>
        </m:r>
        <m:r>
          <m:t>012</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001</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19"/>
    <w:bookmarkStart w:id="120"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026</m:t>
        </m:r>
      </m:oMath>
      <w:r>
        <w:t xml:space="preserve">) và nhà quản trị cấp cao là nữ (</w:t>
      </w:r>
      <m:oMath>
        <m:r>
          <m:t>β</m:t>
        </m:r>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đều nâng hiệu quả doanh nghiệp độc lập với FSTS. Hiệu ứng kinh nghiệm hàm ý năng suất cao hơn khoảng 0,7% trên mỗi năm kinh nghiệm trong ngành; hiệu ứng nhà quản trị nữ hàm ý lợi thế năng suất khoảng 20% (</w:t>
      </w:r>
      <m:oMath>
        <m:r>
          <m:rPr>
            <m:sty m:val="p"/>
          </m:rPr>
          <m:t>exp</m:t>
        </m:r>
        <m:d>
          <m:dPr>
            <m:begChr m:val="("/>
            <m:endChr m:val=")"/>
            <m:sepChr m:val=""/>
            <m:grow/>
          </m:dPr>
          <m:e>
            <m:r>
              <m:t>0</m:t>
            </m:r>
            <m:r>
              <m:rPr>
                <m:sty m:val="p"/>
              </m:rPr>
              <m:t>,</m:t>
            </m:r>
            <m:r>
              <m:t>185</m:t>
            </m:r>
          </m:e>
        </m:d>
        <m:r>
          <m:rPr>
            <m:sty m:val="p"/>
          </m:rPr>
          <m:t>−</m:t>
        </m:r>
        <m:r>
          <m:t>1</m:t>
        </m:r>
        <m:r>
          <m:rPr>
            <m:sty m:val="p"/>
          </m:rPr>
          <m:t>≈</m:t>
        </m:r>
        <m:r>
          <m:t>0</m:t>
        </m:r>
        <m:r>
          <m:rPr>
            <m:sty m:val="p"/>
          </m:rPr>
          <m:t>,</m:t>
        </m:r>
        <m:r>
          <m:t>20</m:t>
        </m:r>
      </m:oMath>
      <w:r>
        <w:t xml:space="preserve">). Tương tác FSTS×kinh nghiệm không có ý nghĩa trong M9 (</w:t>
      </w:r>
      <m:oMath>
        <m:r>
          <m:t>β</m:t>
        </m:r>
        <m:r>
          <m:rPr>
            <m:sty m:val="p"/>
          </m:rPr>
          <m:t>=</m:t>
        </m:r>
        <m:r>
          <m:rPr>
            <m:sty m:val="p"/>
          </m:rPr>
          <m:t>−</m:t>
        </m:r>
        <m:r>
          <m:t>0</m:t>
        </m:r>
        <m:r>
          <m:rPr>
            <m:sty m:val="p"/>
          </m:rPr>
          <m:t>,</m:t>
        </m:r>
        <m:r>
          <m:t>012</m:t>
        </m:r>
      </m:oMath>
      <w:r>
        <w:t xml:space="preserve">,</w:t>
      </w:r>
      <w:r>
        <w:t xml:space="preserve"> </w:t>
      </w:r>
      <m:oMath>
        <m:r>
          <m:t>p</m:t>
        </m:r>
        <m:r>
          <m:rPr>
            <m:sty m:val="p"/>
          </m:rPr>
          <m:t>=</m:t>
        </m:r>
        <m:r>
          <m:rPr>
            <m:sty m:val="p"/>
          </m:rPr>
          <m:t>,</m:t>
        </m:r>
        <m:r>
          <m:t>133</m:t>
        </m:r>
      </m:oMath>
      <w:r>
        <w:t xml:space="preserve">) nhưng đạt</w:t>
      </w:r>
      <w:r>
        <w:t xml:space="preserve"> </w:t>
      </w:r>
      <m:oMath>
        <m:r>
          <m:t>p</m:t>
        </m:r>
        <m:r>
          <m:rPr>
            <m:sty m:val="p"/>
          </m:rPr>
          <m:t>=</m:t>
        </m:r>
        <m:r>
          <m:rPr>
            <m:sty m:val="p"/>
          </m:rPr>
          <m:t>,</m:t>
        </m:r>
        <m:r>
          <m:t>053</m:t>
        </m:r>
      </m:oMath>
      <w:r>
        <w:t xml:space="preserve"> </w:t>
      </w:r>
      <w:r>
        <w:t xml:space="preserve">trong M11 (</w:t>
      </w:r>
      <m:oMath>
        <m:r>
          <m:t>β</m:t>
        </m:r>
        <m:r>
          <m:rPr>
            <m:sty m:val="p"/>
          </m:rPr>
          <m:t>=</m:t>
        </m:r>
        <m:r>
          <m:rPr>
            <m:sty m:val="p"/>
          </m:rPr>
          <m:t>−</m:t>
        </m:r>
        <m:r>
          <m:t>0</m:t>
        </m:r>
        <m:r>
          <m:rPr>
            <m:sty m:val="p"/>
          </m:rPr>
          <m:t>,</m:t>
        </m:r>
        <m:r>
          <m:t>019</m:t>
        </m:r>
      </m:oMath>
      <w:r>
        <w:t xml:space="preserve">), gợi ý rằng trong đặc tả đầy đủ, nhà quản trị nhiều kinh nghiệm xử lý thách thức phối hợp ở mức FSTS cao tốt hơn. H4 do đó được xác nhận một phần ở dạng hiệu ứng nâng mặt bằng, còn vai trò uốn đường cong chỉ xuất hiện cận biên và cần tái kiểm chứng.</w:t>
      </w:r>
    </w:p>
    <w:p>
      <w:r>
        <w:pict>
          <v:rect style="width:0;height:1.5pt" o:hralign="center" o:hrstd="t" o:hr="t"/>
        </w:pict>
      </w:r>
    </w:p>
    <w:bookmarkEnd w:id="120"/>
    <w:bookmarkEnd w:id="121"/>
    <w:bookmarkStart w:id="125"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22" w:name="X99204bd26b33b3635a1582f0b1baf6491f854d8"/>
    <w:p>
      <w:pPr>
        <w:pStyle w:val="Heading3"/>
      </w:pPr>
      <w:r>
        <w:t xml:space="preserve">4.4.1 Việt Nam, chế độ chuyển đổi thu nhập trung bình thấp (P3)</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(P3).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P3 (Đỗ &amp; Phan, 2026, bản thảo đang chuẩn bị).</w:t>
      </w:r>
    </w:p>
    <w:p>
      <w:pPr>
        <w:pStyle w:val="BodyText"/>
      </w:pPr>
      <w:r>
        <w:t xml:space="preserve">Điểm uốn trong khoảng 39–46% FSTS đặt Việt Nam thấp hơn đáng kể so với Singapore (khoảng 88,6%)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22"/>
    <w:bookmarkStart w:id="123" w:name="X77fe79f54a815e9fe228f8199088b8b8da9a0fd"/>
    <w:p>
      <w:pPr>
        <w:pStyle w:val="Heading3"/>
      </w:pPr>
      <w:r>
        <w:t xml:space="preserve">4.4.2 Singapore, chế độ tiên tiến dẫn dắt bằng đổi mới (P4)</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khoảng FSTS = 82% trên thang gốc; cộng thêm giá trị trung bình mẫu thì điểm uốn xấp xỉ 88,6% FSTS,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3"/>
    <w:bookmarkStart w:id="124" w:name="X094867e60102c653977cadad8305ff5eec43eb7"/>
    <w:p>
      <w:pPr>
        <w:pStyle w:val="Heading3"/>
      </w:pPr>
      <w:r>
        <w:t xml:space="preserve">4.4.3 Trung Quốc, chế độ thu nhập trung bình cao (P5)</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4"/>
    <w:bookmarkEnd w:id="125"/>
    <w:bookmarkStart w:id="129" w:name="X681a101b47d297343834fb947976dcfbb5a96b7"/>
    <w:p>
      <w:pPr>
        <w:pStyle w:val="Heading2"/>
      </w:pPr>
      <w:r>
        <w:t xml:space="preserve">4.5 Trường hợp biên: quốc đảo nhỏ đang phát triển Thái Bình Dương (P8)</w:t>
      </w:r>
    </w:p>
    <w:bookmarkStart w:id="126" w:name="đặc-điểm-mẫu-sids"/>
    <w:p>
      <w:pPr>
        <w:pStyle w:val="Heading3"/>
      </w:pPr>
      <w:r>
        <w:t xml:space="preserve">4.5.1 Đặc điểm mẫu SIDS</w:t>
      </w:r>
    </w:p>
    <w:p>
      <w:pPr>
        <w:pStyle w:val="FirstParagraph"/>
      </w:pPr>
      <w:r>
        <w:t xml:space="preserve">Phân tích P8 tập trung vào chín nền kinh tế Quốc đảo nhỏ đang phát triển (Small Islands Developing States —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26"/>
    <w:bookmarkStart w:id="127" w:name="X18fb67f5a1141ad5074e0ecb7348da069e85bde"/>
    <w:p>
      <w:pPr>
        <w:pStyle w:val="Heading3"/>
      </w:pPr>
      <w:r>
        <w:t xml:space="preserve">4.5.2 Hiệu ứng âm đơn điệu và chi phí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27"/>
    <w:bookmarkStart w:id="128" w:name="cơ-chế-chi-phí-quốc-tế-hóa-bắt-buộc"/>
    <w:p>
      <w:pPr>
        <w:pStyle w:val="Heading3"/>
      </w:pPr>
      <w:r>
        <w:t xml:space="preserve">4.5.3 Cơ chế chi phí quốc tế hóa bắt buộc</w:t>
      </w:r>
    </w:p>
    <w:p>
      <w:pPr>
        <w:pStyle w:val="FirstParagraph"/>
      </w:pPr>
      <w:r>
        <w:t xml:space="preserve">Luận án đặt tên cho hiện tượng này là chi phí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chi phí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28"/>
    <w:bookmarkEnd w:id="129"/>
    <w:bookmarkStart w:id="134" w:name="thảo-luận-tổng-hợp"/>
    <w:p>
      <w:pPr>
        <w:pStyle w:val="Heading2"/>
      </w:pPr>
      <w:r>
        <w:t xml:space="preserve">4.6 Thảo luận tổng hợp</w:t>
      </w:r>
    </w:p>
    <w:bookmarkStart w:id="130" w:name="điểm-tối-ưu-được-dịch-chuyển"/>
    <w:p>
      <w:pPr>
        <w:pStyle w:val="Heading3"/>
      </w:pPr>
      <w:r>
        <w:t xml:space="preserve">4.6.1 Điểm tối ưu được dịch chuyển</w:t>
      </w:r>
    </w:p>
    <w:p>
      <w:pPr>
        <w:pStyle w:val="FirstParagraph"/>
      </w:pPr>
      <w:r>
        <w:t xml:space="preserve">Tổng hợp bằng chứng từ phân tích tổng hợp (P6) và toàn mẫu sơ cấp (P7), cùng ba nghiên cứu đơn quốc gia, dẫn đến luận điểm trung tâm: hình dạng của quan hệ I-P mang tính phổ quát, nhưng điểm tối ưu của nó được dịch chuyển theo bối cảnh thể chế. Đường cong U ngược tồn tại nhất quán qua các bối cảnh có thể chế đủ mạnh, nhưng điểm uốn không phải là một tham số cấu trúc cố định. Nó di chuyển theo chất lượng thể chế: từ đỉnh sớm ở chế độ tiên tiến đến đỉnh muộn ở chế độ cận biên và dễ tổn thương.</w:t>
      </w:r>
    </w:p>
    <w:p>
      <w:pPr>
        <w:pStyle w:val="BodyText"/>
      </w:pPr>
      <w:r>
        <w:t xml:space="preserve">Bằng chứng định lượng về dải dịch chuyển này khá rõ ràng. Điểm uốn đi từ khoảng 88,6% FSTS tại Singapore (Nhóm I, tiên tiến đổi mới) xuống khoảng 48,78% tại Trung Quốc (Nhóm III, thu nhập trung bình cao) rồi xuống 39,7% tại Việt Nam (Nhóm IV, chuyển đổi thu nhập trung bình thấp), và toàn mẫu P7 xác nhận dải biến thiên Advanced (</w:t>
      </w:r>
      <m:oMath>
        <m:r>
          <m:rPr>
            <m:sty m:val="p"/>
          </m:rPr>
          <m:t>≈</m:t>
        </m:r>
      </m:oMath>
      <w:r>
        <w:t xml:space="preserve"> </w:t>
      </w:r>
      <w:r>
        <w:t xml:space="preserve">28%) thấp hơn Frontier/SIDS (</w:t>
      </w:r>
      <m:oMath>
        <m:r>
          <m:rPr>
            <m:sty m:val="p"/>
          </m:rPr>
          <m:t>≈</m:t>
        </m:r>
      </m:oMath>
      <w:r>
        <w:t xml:space="preserve"> </w:t>
      </w:r>
      <w:r>
        <w:t xml:space="preserve">55%). Như vậy, sự dịch chuyển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30"/>
    <w:bookmarkStart w:id="131"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P7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P7, DAI có hiệu ứng nâng mặt bằng phổ quát (</w:t>
      </w:r>
      <m:oMath>
        <m:r>
          <m:t>β</m:t>
        </m:r>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012</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31"/>
    <w:bookmarkStart w:id="132"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32"/>
    <w:bookmarkStart w:id="133"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P7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P7); uốn đường cong xác nhận tại Việt Nam nhưng không có ý nghĩa tại toàn mẫu P7</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155</m:t>
              </m:r>
            </m:oMath>
            <w:r>
              <w:t xml:space="preserve">) và cả hai tương tác đường cong có ý nghĩa trong P7; DAI×ICRV</w:t>
            </w:r>
            <w:r>
              <w:t xml:space="preserve"> </w:t>
            </w:r>
            <m:oMath>
              <m:r>
                <m:t>p</m:t>
              </m:r>
              <m:r>
                <m:rPr>
                  <m:sty m:val="p"/>
                </m:rPr>
                <m:t>=</m:t>
              </m:r>
              <m:r>
                <m:rPr>
                  <m:sty m:val="p"/>
                </m:rPr>
                <m:t>,</m:t>
              </m:r>
              <m:r>
                <m:t>012</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(Nhà quản trị điều tiết)</w:t>
            </w:r>
          </w:p>
        </w:tc>
        <w:tc>
          <w:tcPr/>
          <w:p>
            <w:pPr>
              <w:pStyle w:val="Compact"/>
              <w:jc w:val="left"/>
            </w:pPr>
            <w:r>
              <w:t xml:space="preserve">Kinh nghiệm và giới tính nhà quản trị</w:t>
            </w:r>
          </w:p>
        </w:tc>
        <w:tc>
          <w:tcPr/>
          <w:p>
            <w:pPr>
              <w:pStyle w:val="Compact"/>
              <w:jc w:val="left"/>
            </w:pPr>
            <w:r>
              <w:t xml:space="preserve">Hỗn hợp: trong P7, nhà quản trị nữ</w:t>
            </w:r>
            <w:r>
              <w:t xml:space="preserve"> </w:t>
            </w:r>
            <m:oMath>
              <m:r>
                <m:t>β</m:t>
              </m:r>
              <m:r>
                <m:rPr>
                  <m:sty m:val="p"/>
                </m:rPr>
                <m:t>=</m:t>
              </m:r>
              <m:r>
                <m:rPr>
                  <m:sty m:val="p"/>
                </m:rPr>
                <m:t>+</m:t>
              </m:r>
              <m:r>
                <m:t>0</m:t>
              </m:r>
              <m:r>
                <m:rPr>
                  <m:sty m:val="p"/>
                </m:rPr>
                <m:t>,</m:t>
              </m:r>
              <m:r>
                <m:t>185</m:t>
              </m:r>
            </m:oMath>
            <w:r>
              <w:t xml:space="preserve">; tương tác kinh nghiệm cận ngưỡng (</w:t>
            </w:r>
            <m:oMath>
              <m:r>
                <m:t>p</m:t>
              </m:r>
              <m:r>
                <m:rPr>
                  <m:sty m:val="p"/>
                </m:rPr>
                <m:t>=</m:t>
              </m:r>
              <m:r>
                <m:rPr>
                  <m:sty m:val="p"/>
                </m:rPr>
                <m:t>,</m:t>
              </m:r>
              <m:r>
                <m:t>053</m:t>
              </m:r>
            </m:oMath>
            <w:r>
              <w:t xml:space="preserve"> </w:t>
            </w:r>
            <w:r>
              <w:t xml:space="preserve">tại M11)</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và dải biến thiên điểm uốn từ P7 (Advanced</w:t>
            </w:r>
            <w:r>
              <w:t xml:space="preserve"> </w:t>
            </w:r>
            <m:oMath>
              <m:r>
                <m:rPr>
                  <m:sty m:val="p"/>
                </m:rPr>
                <m:t>≈</m:t>
              </m:r>
            </m:oMath>
            <w:r>
              <w:t xml:space="preserve"> </w:t>
            </w:r>
            <w:r>
              <w:t xml:space="preserve">28% &lt; Frontier/SIDS</w:t>
            </w:r>
            <w:r>
              <w:t xml:space="preserve"> </w:t>
            </w:r>
            <m:oMath>
              <m:r>
                <m:rPr>
                  <m:sty m:val="p"/>
                </m:rPr>
                <m:t>≈</m:t>
              </m:r>
            </m:oMath>
            <w:r>
              <w:t xml:space="preserve"> </w:t>
            </w:r>
            <w:r>
              <w:t xml:space="preserve">55%)</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3"/>
    <w:bookmarkEnd w:id="134"/>
    <w:bookmarkStart w:id="135"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P6,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P7, điểm uốn dao động nhất quán trong dải hẹp 33,8–40,0% qua mọi đặc tả M2–M9 và được xác nhận lại trong mô hình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P5, đường cong U ngược được bảo toàn khi giới hạn mẫu sản xuất (điểm uốn 48,1% năm 2012 và 46,4% năm 2024), khi dùng năng suất nhân tố tổng hợp (Total Factor Productivity —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P4,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P3,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P8,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điểm uốn dịch chuyển theo dải biến thiên ICRV ở cấp đa quốc gia và đơn quốc gia, và quan hệ âm đơn điệu như một điều kiện biên cực đoan ở SIDS.</w:t>
      </w:r>
    </w:p>
    <w:p>
      <w:r>
        <w:pict>
          <v:rect style="width:0;height:1.5pt" o:hralign="center" o:hrstd="t" o:hr="t"/>
        </w:pict>
      </w:r>
    </w:p>
    <w:bookmarkEnd w:id="135"/>
    <w:bookmarkEnd w:id="136"/>
    <w:bookmarkStart w:id="137" w:name="chương-5-kết-luận-và-đề-xuất"/>
    <w:p>
      <w:pPr>
        <w:pStyle w:val="Heading1"/>
      </w:pPr>
      <w:r>
        <w:t xml:space="preserve">CHƯƠNG 5: KẾT LUẬN VÀ ĐỀ XUẤT</w:t>
      </w:r>
    </w:p>
    <w:bookmarkEnd w:id="137"/>
    <w:p>
      <w:r>
        <w:pict>
          <v:rect style="width:0;height:1.5pt" o:hralign="center" o:hrstd="t" o:hr="t"/>
        </w:pict>
      </w:r>
    </w:p>
    <w:bookmarkStart w:id="138"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38"/>
    <w:bookmarkStart w:id="144" w:name="Xff8cef3ed320f9cf6f3fba4ff558bfed3af19c6"/>
    <w:p>
      <w:pPr>
        <w:pStyle w:val="Heading2"/>
      </w:pPr>
      <w:r>
        <w:t xml:space="preserve">5.1 Bàn luận kết quả theo khung lý thuyết CDCM</w:t>
      </w:r>
    </w:p>
    <w:bookmarkStart w:id="139"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điểm uốn của quan hệ I-P</w:t>
      </w:r>
      <w:r>
        <w:t xml:space="preserve"> </w:t>
      </w:r>
      <w:r>
        <w:rPr>
          <w:bCs/>
          <w:b/>
        </w:rPr>
        <w:t xml:space="preserve">giảm dần</w:t>
      </w:r>
      <w:r>
        <w:t xml:space="preserve"> </w:t>
      </w:r>
      <w:r>
        <w:t xml:space="preserve">từ nhóm đảo nhỏ và cận biên (~55% FSTS) xuống nhóm mới nổi, thu nhập trung bình cao, tiên tiến dẫn dắt bằng tài nguyên, rồi tiên tiến dẫn dắt bằng đổi mới (~28% FSTS). Nói cách khác, nền kinh tế thể chế mạnh hơn đạt đỉnh hiệu quả xuất khẩu ở mức FSTS thấp hơn: khi thể chế hỗ trợ đã vận hành tốt, doanh nghiệp không cần quốc tế hóa sâu mới khai thác được lợi thế cạnh tranh.</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Lý thuyết thể chế của North (1990) cùng Khanna và Palepu (2010) dự đoán rằng thể chế định hình chi phí giao dịch và cấu trúc khuyến khích; dải biến thiên ICRV chính là biểu hiện thực nghiệm của cơ chế đó, ở quy mô 49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39"/>
    <w:bookmarkStart w:id="140"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49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40"/>
    <w:bookmarkStart w:id="141"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P7 gồm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012</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0,012)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141"/>
    <w:bookmarkStart w:id="142" w:name="Xbce3792f42f8794cec523698a3d6f54cb810e39"/>
    <w:p>
      <w:pPr>
        <w:pStyle w:val="Heading3"/>
      </w:pPr>
      <w:r>
        <w:t xml:space="preserve">5.1.4 Đặc điểm nhà quản trị là yếu tố điều tiết cá nhân, hỗ trợ có điều kiện H4</w:t>
      </w:r>
    </w:p>
    <w:p>
      <w:pPr>
        <w:pStyle w:val="FirstParagraph"/>
      </w:pPr>
      <w:r>
        <w:t xml:space="preserve">Kết quả về H4 từ P7 cho thấy đặc điểm nhà quản trị cấp cao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mang hiệu ứng tích cực lên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w:t>
      </w:r>
    </w:p>
    <w:p>
      <w:pPr>
        <w:pStyle w:val="BodyText"/>
      </w:pPr>
      <w:r>
        <w:t xml:space="preserve">Dù vậy, cần lưu ý rằng tác động này được phát hiện ở cấp gộp toàn mẫu (P7), nên còn phải kiểm định riêng theo từng bối cảnh ICRV mới hiểu đầy đủ điều kiện biên của yếu tố điều tiết cấp quản trị.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42"/>
    <w:bookmarkStart w:id="143"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43"/>
    <w:bookmarkEnd w:id="144"/>
    <w:bookmarkStart w:id="148" w:name="so-sánh-với-nghiên-cứu-trước-đây"/>
    <w:p>
      <w:pPr>
        <w:pStyle w:val="Heading2"/>
      </w:pPr>
      <w:r>
        <w:t xml:space="preserve">5.2 So sánh với nghiên cứu trước đây</w:t>
      </w:r>
    </w:p>
    <w:bookmarkStart w:id="145"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w:t>
      </w:r>
    </w:p>
    <w:bookmarkEnd w:id="145"/>
    <w:bookmarkStart w:id="14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88,6%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47-49 nền kinh tế châu Á và Thái Bình Dương, một bối cảnh còn ít được đại diện trong các nghiên cứu của Lu và Beamish.</w:t>
      </w:r>
    </w:p>
    <w:bookmarkEnd w:id="146"/>
    <w:bookmarkStart w:id="147"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47"/>
    <w:bookmarkEnd w:id="148"/>
    <w:bookmarkStart w:id="152" w:name="đóng-góp-lý-thuyết-1"/>
    <w:p>
      <w:pPr>
        <w:pStyle w:val="Heading2"/>
      </w:pPr>
      <w:r>
        <w:t xml:space="preserve">5.3 Đóng góp lý thuyết</w:t>
      </w:r>
    </w:p>
    <w:bookmarkStart w:id="149"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+0,155, p &lt; 0,001, mẫu gộp N=84.910 từ 49 nền kinh tế), nhưng vai trò uốn đường cong I-P lại</w:t>
      </w:r>
      <w:r>
        <w:t xml:space="preserve"> </w:t>
      </w:r>
      <w:r>
        <w:rPr>
          <w:bCs/>
          <w:b/>
        </w:rPr>
        <w:t xml:space="preserve">phụ thuộc bối cảnh</w:t>
      </w:r>
      <w:r>
        <w:t xml:space="preserve"> </w:t>
      </w:r>
      <w:r>
        <w:t xml:space="preserve">(DAI×ICRV: p = 0,012).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0,012)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49"/>
    <w:bookmarkStart w:id="15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50"/>
    <w:bookmarkStart w:id="151"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điểm uốn của quan hệ I-P giảm đơn điệu theo chiều từ đảo nhỏ và cận biên (~55%) xuống tiên tiến dẫn dắt bằng đổi mới (~28%). Thể chế càng mạnh, doanh nghiệp càng đạt đỉnh hiệu quả ở mức quốc tế hóa thấp hơn, đúng như giá trị dự đoán của phân loại.</w:t>
      </w:r>
    </w:p>
    <w:p>
      <w:r>
        <w:pict>
          <v:rect style="width:0;height:1.5pt" o:hralign="center" o:hrstd="t" o:hr="t"/>
        </w:pict>
      </w:r>
    </w:p>
    <w:bookmarkEnd w:id="151"/>
    <w:bookmarkEnd w:id="152"/>
    <w:bookmarkStart w:id="157" w:name="đề-xuất-chính-sách-và-quản-trị"/>
    <w:p>
      <w:pPr>
        <w:pStyle w:val="Heading2"/>
      </w:pPr>
      <w:r>
        <w:t xml:space="preserve">5.4 Đề xuất chính sách và quản trị</w:t>
      </w:r>
    </w:p>
    <w:bookmarkStart w:id="15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53"/>
    <w:bookmarkStart w:id="15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88,6%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54"/>
    <w:bookmarkStart w:id="155"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5"/>
    <w:bookmarkStart w:id="156"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56"/>
    <w:bookmarkEnd w:id="157"/>
    <w:bookmarkStart w:id="162" w:name="hạn-chế-và-hướng-nghiên-cứu-tương-lai"/>
    <w:p>
      <w:pPr>
        <w:pStyle w:val="Heading2"/>
      </w:pPr>
      <w:r>
        <w:t xml:space="preserve">5.5 Hạn chế và hướng nghiên cứu tương lai</w:t>
      </w:r>
    </w:p>
    <w:bookmarkStart w:id="158"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58"/>
    <w:bookmarkStart w:id="159"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59"/>
    <w:bookmarkStart w:id="160"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60"/>
    <w:bookmarkStart w:id="161"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cần kiểm định vai trò của đặc điểm nhà quản trị cấp cao (H4, gồm kinh nghiệm và giới tính) trong từng bối cảnh ICRV riêng, nhất là ở nhóm cận biên và đảo nhỏ, nơi tầng năng lực và thể chế đều yếu hơn, để xem liệu đặc điểm nhà quản trị có bù đắp được phần nào cho những thiếu hụt ấy hay không.</w:t>
      </w:r>
    </w:p>
    <w:p>
      <w:r>
        <w:pict>
          <v:rect style="width:0;height:1.5pt" o:hralign="center" o:hrstd="t" o:hr="t"/>
        </w:pict>
      </w:r>
    </w:p>
    <w:bookmarkEnd w:id="161"/>
    <w:bookmarkEnd w:id="162"/>
    <w:bookmarkStart w:id="167" w:name="kết-luận"/>
    <w:p>
      <w:pPr>
        <w:pStyle w:val="Heading2"/>
      </w:pPr>
      <w:r>
        <w:t xml:space="preserve">5.6 Kết luận</w:t>
      </w:r>
    </w:p>
    <w:bookmarkStart w:id="163"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P4</w:t>
      </w:r>
      <w:r>
        <w:t xml:space="preserve"> </w:t>
      </w:r>
      <w:r>
        <w:t xml:space="preserve">(Mar et al., 2026): phân tích Singapore (tiên tiến dẫn dắt bằng đổi mới), xác nhận chữ U ngược với điểm uốn khoảng 88,6% (khoảng tin cậy rộng), DAI khuếch đại ở mức FSTS cao.</w:t>
      </w:r>
    </w:p>
    <w:p>
      <w:pPr>
        <w:numPr>
          <w:ilvl w:val="0"/>
          <w:numId w:val="1011"/>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84.910</m:t>
        </m:r>
      </m:oMath>
      <w:r>
        <w:t xml:space="preserve"> </w:t>
      </w:r>
      <w:r>
        <w:t xml:space="preserve">(M2) và</w:t>
      </w:r>
      <w:r>
        <w:t xml:space="preserve"> </w:t>
      </w:r>
      <m:oMath>
        <m:r>
          <m:t>N</m:t>
        </m:r>
        <m:r>
          <m:rPr>
            <m:sty m:val="p"/>
          </m:rPr>
          <m:t>=</m:t>
        </m:r>
        <m:r>
          <m:t>38.342</m:t>
        </m:r>
      </m:oMath>
      <w:r>
        <w:t xml:space="preserve"> </w:t>
      </w:r>
      <w:r>
        <w:t xml:space="preserve">(M3-M5 có đầy đủ biến kiểm soát), điểm uốn 36,4-40,0% (M2-M5; M11 đầy đủ: điểm uốn 34,6%,</w:t>
      </w:r>
      <w:r>
        <w:t xml:space="preserve"> </w:t>
      </w:r>
      <m:oMath>
        <m:sSub>
          <m:e>
            <m:r>
              <m:t>p</m:t>
            </m:r>
          </m:e>
          <m:sub>
            <m:r>
              <m:rPr>
                <m:nor/>
                <m:sty m:val="p"/>
              </m:rPr>
              <m:t>LM</m:t>
            </m:r>
          </m:sub>
        </m:sSub>
        <m:r>
          <m:rPr>
            <m:sty m:val="p"/>
          </m:rPr>
          <m:t>=</m:t>
        </m:r>
        <m:r>
          <m:rPr>
            <m:sty m:val="p"/>
          </m:rPr>
          <m:t>,</m:t>
        </m:r>
        <m:r>
          <m:t>002</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012</m:t>
        </m:r>
      </m:oMath>
      <w:r>
        <w:t xml:space="preserve">).</w:t>
      </w:r>
    </w:p>
    <w:p>
      <w:pPr>
        <w:numPr>
          <w:ilvl w:val="0"/>
          <w:numId w:val="1011"/>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63"/>
    <w:bookmarkStart w:id="16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84.910 doanh nghiệp tại 49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điểm uốn là một hàm số giảm dần của chất lượng thể chế theo ICRV: thể chế càng mạnh, điểm uốn càng đến sớm, tức ở mức FSTS thấp hơn.</w:t>
      </w:r>
    </w:p>
    <w:bookmarkEnd w:id="164"/>
    <w:bookmarkStart w:id="16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5"/>
    <w:bookmarkStart w:id="166"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p>
      <w:r>
        <w:br w:type="page"/>
      </w:r>
    </w:p>
    <w:bookmarkEnd w:id="166"/>
    <w:bookmarkEnd w:id="167"/>
    <w:bookmarkStart w:id="168" w:name="X1f2c43c2c52d2e776a471df8608897c1492dd51"/>
    <w:p>
      <w:pPr>
        <w:pStyle w:val="Heading1"/>
      </w:pPr>
      <w:r>
        <w:t xml:space="preserve">DANH MỤC CÁC CÔNG TRÌNH ĐÃ CÔNG BỐ CỦA TÁC GIẢ</w:t>
      </w:r>
    </w:p>
    <w:p>
      <w:pPr>
        <w:pStyle w:val="FirstParagraph"/>
      </w:pPr>
      <w:r>
        <w:t xml:space="preserve">Hệ thống mười (10) công trình của nghiên cứu sinh gắn với nội dung luận án.</w:t>
      </w:r>
    </w:p>
    <w:p>
      <w:pPr>
        <w:pStyle w:val="BodyText"/>
      </w:pPr>
      <w:r>
        <w:rPr>
          <w:bCs/>
          <w:b/>
        </w:rPr>
        <w:t xml:space="preserve">A. Đã xuất bản / được chấp nhận</w:t>
      </w:r>
    </w:p>
    <w:p>
      <w:pPr>
        <w:numPr>
          <w:ilvl w:val="0"/>
          <w:numId w:val="1012"/>
        </w:numPr>
      </w:pPr>
      <w:r>
        <w:t xml:space="preserve">Đỗ Thùy Hương, &amp; Phan Anh Tú. (2026).</w:t>
      </w:r>
      <w:r>
        <w:t xml:space="preserve"> </w:t>
      </w:r>
      <w:r>
        <w:rPr>
          <w:iCs/>
          <w:i/>
        </w:rPr>
        <w:t xml:space="preserve">Tổng quan hiệu quả hoạt động kinh doanh của doanh nghiệp tại các nền kinh tế châu Á mới nổi</w:t>
      </w:r>
      <w:r>
        <w:t xml:space="preserve"> </w:t>
      </w:r>
      <w:r>
        <w:t xml:space="preserve">[P1]. Tạp chí Kinh tế và Tài chính Việt Nam (Vietnam Economic and Finance Review). (Đã xuất bản, 02/2026)</w:t>
      </w:r>
    </w:p>
    <w:p>
      <w:pPr>
        <w:numPr>
          <w:ilvl w:val="0"/>
          <w:numId w:val="1012"/>
        </w:numPr>
      </w:pPr>
      <w:r>
        <w:t xml:space="preserve">Đỗ Thùy Hương, &amp; Phan Anh Tú. (2026). Unveiling the impact of Chinese manufacturing SMEs’ internationalization on performance [P2].</w:t>
      </w:r>
      <w:r>
        <w:t xml:space="preserve"> </w:t>
      </w:r>
      <w:r>
        <w:rPr>
          <w:iCs/>
          <w:i/>
        </w:rPr>
        <w:t xml:space="preserve">Journal of Finance and Accounting Research</w:t>
      </w:r>
      <w:r>
        <w:t xml:space="preserve">,</w:t>
      </w:r>
      <w:r>
        <w:t xml:space="preserve"> </w:t>
      </w:r>
      <w:r>
        <w:rPr>
          <w:iCs/>
          <w:i/>
        </w:rPr>
        <w:t xml:space="preserve">2</w:t>
      </w:r>
      <w:r>
        <w:t xml:space="preserve">(39). (Đã xuất bản, 04/2026)</w:t>
      </w:r>
    </w:p>
    <w:p>
      <w:pPr>
        <w:numPr>
          <w:ilvl w:val="0"/>
          <w:numId w:val="1012"/>
        </w:numPr>
      </w:pPr>
      <w:r>
        <w:t xml:space="preserve">Đỗ Thùy Hương, &amp; Phan Anh Tú. (2025).</w:t>
      </w:r>
      <w:r>
        <w:t xml:space="preserve"> </w:t>
      </w:r>
      <w:r>
        <w:rPr>
          <w:iCs/>
          <w:i/>
        </w:rPr>
        <w:t xml:space="preserve">Internationalization and firm performance of firms</w:t>
      </w:r>
      <w:r>
        <w:t xml:space="preserve"> </w:t>
      </w:r>
      <w:r>
        <w:t xml:space="preserve">[Chương sách]. IntechOpen, United Kingdom. (Đã chấp nhận/xuất bản)</w:t>
      </w:r>
    </w:p>
    <w:p>
      <w:pPr>
        <w:numPr>
          <w:ilvl w:val="0"/>
          <w:numId w:val="1012"/>
        </w:numPr>
      </w:pPr>
      <w:r>
        <w:t xml:space="preserve">Đỗ Thùy Hương, &amp; Phan Anh Tú. (2024).</w:t>
      </w:r>
      <w:r>
        <w:t xml:space="preserve"> </w:t>
      </w:r>
      <w:r>
        <w:rPr>
          <w:iCs/>
          <w:i/>
        </w:rPr>
        <w:t xml:space="preserve">Internationalization and firm performance: A meta-analysis review</w:t>
      </w:r>
      <w:r>
        <w:t xml:space="preserve">. Báo cáo tại hội thảo khoa học kinh tế (Công văn số 7857/BGDĐT). (2024)</w:t>
      </w:r>
    </w:p>
    <w:p>
      <w:pPr>
        <w:pStyle w:val="FirstParagraph"/>
      </w:pPr>
      <w:r>
        <w:rPr>
          <w:bCs/>
          <w:b/>
        </w:rPr>
        <w:t xml:space="preserve">B. Đang nộp / phản biện</w:t>
      </w:r>
    </w:p>
    <w:p>
      <w:pPr>
        <w:numPr>
          <w:ilvl w:val="0"/>
          <w:numId w:val="1013"/>
        </w:numPr>
      </w:pPr>
      <w:r>
        <w:t xml:space="preserve">Đỗ Thùy Hương, &amp; Phan Anh Tú.</w:t>
      </w:r>
      <w:r>
        <w:t xml:space="preserve"> </w:t>
      </w:r>
      <w:r>
        <w:rPr>
          <w:iCs/>
          <w:i/>
        </w:rPr>
        <w:t xml:space="preserve">Revisiting the internationalization–performance relationship in Vietnam: Technological capability and foundational digital adoption</w:t>
      </w:r>
      <w:r>
        <w:t xml:space="preserve"> </w:t>
      </w:r>
      <w:r>
        <w:t xml:space="preserve">[P3]. (Đang nộp — Journal of Asia Business Studies)</w:t>
      </w:r>
    </w:p>
    <w:p>
      <w:pPr>
        <w:numPr>
          <w:ilvl w:val="0"/>
          <w:numId w:val="1013"/>
        </w:numPr>
      </w:pPr>
      <w:r>
        <w:t xml:space="preserve">Đỗ Thùy Hương, &amp; Phan Anh Tú.</w:t>
      </w:r>
      <w:r>
        <w:t xml:space="preserve"> </w:t>
      </w:r>
      <w:r>
        <w:rPr>
          <w:iCs/>
          <w:i/>
        </w:rPr>
        <w:t xml:space="preserve">Internationalization, digital adoption, and firm performance in Singapore</w:t>
      </w:r>
      <w:r>
        <w:t xml:space="preserve"> </w:t>
      </w:r>
      <w:r>
        <w:t xml:space="preserve">[P4]. (Đang nộp — Management International Review)</w:t>
      </w:r>
    </w:p>
    <w:p>
      <w:pPr>
        <w:numPr>
          <w:ilvl w:val="0"/>
          <w:numId w:val="1013"/>
        </w:numPr>
      </w:pPr>
      <w:r>
        <w:t xml:space="preserve">Đỗ Thùy Hương, &amp; Phan Anh Tú.</w:t>
      </w:r>
      <w:r>
        <w:t xml:space="preserve"> </w:t>
      </w:r>
      <w:r>
        <w:rPr>
          <w:iCs/>
          <w:i/>
        </w:rPr>
        <w:t xml:space="preserve">The internationalization–performance relationship across two WBES waves in China (2012–2024)</w:t>
      </w:r>
      <w:r>
        <w:t xml:space="preserve"> </w:t>
      </w:r>
      <w:r>
        <w:t xml:space="preserve">[P5]. (Đang nộp — International Journal of Emerging Markets)</w:t>
      </w:r>
    </w:p>
    <w:p>
      <w:pPr>
        <w:numPr>
          <w:ilvl w:val="0"/>
          <w:numId w:val="1013"/>
        </w:numPr>
      </w:pPr>
      <w:r>
        <w:t xml:space="preserve">Đỗ Thùy Hương, &amp; Phan Anh Tú.</w:t>
      </w:r>
      <w:r>
        <w:t xml:space="preserve"> </w:t>
      </w:r>
      <w:r>
        <w:rPr>
          <w:iCs/>
          <w:i/>
        </w:rPr>
        <w:t xml:space="preserve">Institutional context, digital adoption, and the internationalization–performance relationship: A three-level meta-analysis</w:t>
      </w:r>
      <w:r>
        <w:t xml:space="preserve"> </w:t>
      </w:r>
      <w:r>
        <w:t xml:space="preserve">[P6]. (Đang nộp — International Business Review)</w:t>
      </w:r>
    </w:p>
    <w:p>
      <w:pPr>
        <w:numPr>
          <w:ilvl w:val="0"/>
          <w:numId w:val="1013"/>
        </w:numPr>
      </w:pPr>
      <w:r>
        <w:t xml:space="preserve">Đỗ Thùy Hương, &amp; Phan Anh Tú.</w:t>
      </w:r>
      <w:r>
        <w:t xml:space="preserve"> </w:t>
      </w:r>
      <w:r>
        <w:rPr>
          <w:iCs/>
          <w:i/>
        </w:rPr>
        <w:t xml:space="preserve">Where internationalization pays: Institutional regime and digital capability as joint determinants of the performance optimum across 49 economies</w:t>
      </w:r>
      <w:r>
        <w:t xml:space="preserve"> </w:t>
      </w:r>
      <w:r>
        <w:t xml:space="preserve">[P7]. (Đang nộp — Journal of International Business Studies)</w:t>
      </w:r>
    </w:p>
    <w:p>
      <w:pPr>
        <w:numPr>
          <w:ilvl w:val="0"/>
          <w:numId w:val="1013"/>
        </w:numPr>
      </w:pPr>
      <w:r>
        <w:t xml:space="preserve">Đỗ Thùy Hương, &amp; Phan Anh Tú.</w:t>
      </w:r>
      <w:r>
        <w:t xml:space="preserve"> </w:t>
      </w:r>
      <w:r>
        <w:rPr>
          <w:iCs/>
          <w:i/>
        </w:rPr>
        <w:t xml:space="preserve">Forced internationalization penalty: Firm performance in Pacific Small Island Developing States</w:t>
      </w:r>
      <w:r>
        <w:t xml:space="preserve"> </w:t>
      </w:r>
      <w:r>
        <w:t xml:space="preserve">[P8]. (Đang nộp — World Development)</w:t>
      </w:r>
    </w:p>
    <w:p>
      <w:pPr>
        <w:pStyle w:val="FirstParagraph"/>
      </w:pPr>
      <w:r>
        <w:rPr>
          <w:iCs/>
          <w:i/>
        </w:rPr>
        <w:t xml:space="preserve">[Nghiên cứu sinh rà soát và bổ sung đầy đủ thông tin thư mục (tập, số, trang, DOI, trạng thái) cho từng công trình trước khi nộp.]</w:t>
      </w:r>
    </w:p>
    <w:bookmarkEnd w:id="168"/>
    <w:bookmarkStart w:id="201"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69"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69"/>
    <w:bookmarkStart w:id="170"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170"/>
    <w:bookmarkStart w:id="171"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71"/>
    <w:bookmarkStart w:id="172"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72"/>
    <w:bookmarkStart w:id="173"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73"/>
    <w:bookmarkStart w:id="174"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74"/>
    <w:bookmarkStart w:id="175"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75"/>
    <w:bookmarkStart w:id="176" w:name="h.-firm-performance-đa-chiều"/>
    <w:p>
      <w:pPr>
        <w:pStyle w:val="Heading2"/>
      </w:pPr>
      <w:r>
        <w:t xml:space="preserve">H. Firm performance đa chiều</w:t>
      </w:r>
    </w:p>
    <w:p>
      <w:pPr>
        <w:pStyle w:val="FirstParagraph"/>
      </w:pPr>
      <w:r>
        <w:t xml:space="preserve">(Giữ nguyên từ v2.1.)</w:t>
      </w:r>
    </w:p>
    <w:bookmarkEnd w:id="176"/>
    <w:bookmarkStart w:id="177"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77"/>
    <w:bookmarkStart w:id="178"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178"/>
    <w:bookmarkStart w:id="179"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179"/>
    <w:bookmarkStart w:id="180"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180"/>
    <w:bookmarkStart w:id="181"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181"/>
    <w:bookmarkStart w:id="182"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182"/>
    <w:bookmarkStart w:id="183"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183"/>
    <w:bookmarkStart w:id="184"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184"/>
    <w:bookmarkStart w:id="185"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Mar, K. S., Đỗ, T. H., &amp; Phan, A. T. (2026). Institutional completeness and the internationalization-performance relationship: Capability ceiling and dual substitution evidence from Singapore.</w:t>
      </w:r>
      <w:r>
        <w:t xml:space="preserve"> </w:t>
      </w:r>
      <w:r>
        <w:rPr>
          <w:iCs/>
          <w:i/>
        </w:rPr>
        <w:t xml:space="preserve">Management International Review</w:t>
      </w:r>
      <w:r>
        <w:t xml:space="preserve"> </w:t>
      </w:r>
      <w:r>
        <w:t xml:space="preserve">(under review).</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85"/>
    <w:bookmarkStart w:id="186"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86"/>
    <w:bookmarkStart w:id="187"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187"/>
    <w:bookmarkStart w:id="188"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188"/>
    <w:bookmarkStart w:id="192" w:name="hướng-dẫn-sử-dụng-cập-nhật-v2.5"/>
    <w:p>
      <w:pPr>
        <w:pStyle w:val="Heading2"/>
      </w:pPr>
      <w:r>
        <w:t xml:space="preserve">Hướng dẫn sử dụng (cập nhật v2.5)</w:t>
      </w:r>
    </w:p>
    <w:bookmarkStart w:id="189" w:name="trong-bản-thảo-luận-án"/>
    <w:p>
      <w:pPr>
        <w:pStyle w:val="Heading3"/>
      </w:pPr>
      <w:r>
        <w:t xml:space="preserve">Trong bản thảo luận án</w:t>
      </w:r>
    </w:p>
    <w:p>
      <w:pPr>
        <w:numPr>
          <w:ilvl w:val="0"/>
          <w:numId w:val="1014"/>
        </w:numPr>
        <w:pStyle w:val="Compact"/>
      </w:pPr>
      <w:r>
        <w:t xml:space="preserve">Dùng in-text citation theo author-date.</w:t>
      </w:r>
    </w:p>
    <w:p>
      <w:pPr>
        <w:numPr>
          <w:ilvl w:val="0"/>
          <w:numId w:val="1014"/>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4"/>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4"/>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4"/>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4"/>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4"/>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4"/>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4"/>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4"/>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4"/>
        </w:numPr>
        <w:pStyle w:val="Compact"/>
      </w:pPr>
      <w:r>
        <w:rPr>
          <w:bCs/>
          <w:b/>
        </w:rPr>
        <w:t xml:space="preserve">Trích dẫn Section P — Data360 Atlas (v2.6)</w:t>
      </w:r>
      <w:r>
        <w:t xml:space="preserve">:</w:t>
      </w:r>
    </w:p>
    <w:p>
      <w:pPr>
        <w:numPr>
          <w:ilvl w:val="1"/>
          <w:numId w:val="1015"/>
        </w:numPr>
        <w:pStyle w:val="Compact"/>
      </w:pPr>
      <w:r>
        <w:t xml:space="preserve">Internet access story:</w:t>
      </w:r>
      <w:r>
        <w:t xml:space="preserve"> </w:t>
      </w:r>
      <w:r>
        <w:t xml:space="preserve">“</w:t>
      </w:r>
      <w:r>
        <w:t xml:space="preserve">Pirlea &amp; Corso (2026)</w:t>
      </w:r>
      <w:r>
        <w:t xml:space="preserve">”</w:t>
      </w:r>
    </w:p>
    <w:p>
      <w:pPr>
        <w:numPr>
          <w:ilvl w:val="1"/>
          <w:numId w:val="1015"/>
        </w:numPr>
        <w:pStyle w:val="Compact"/>
      </w:pPr>
      <w:r>
        <w:t xml:space="preserve">AI inequality story:</w:t>
      </w:r>
      <w:r>
        <w:t xml:space="preserve"> </w:t>
      </w:r>
      <w:r>
        <w:t xml:space="preserve">“</w:t>
      </w:r>
      <w:r>
        <w:t xml:space="preserve">Mahler, Wang &amp; Weber (2026)</w:t>
      </w:r>
      <w:r>
        <w:t xml:space="preserve">”</w:t>
      </w:r>
    </w:p>
    <w:p>
      <w:pPr>
        <w:numPr>
          <w:ilvl w:val="1"/>
          <w:numId w:val="1015"/>
        </w:numPr>
        <w:pStyle w:val="Compact"/>
      </w:pPr>
      <w:r>
        <w:t xml:space="preserve">Atlas overview/statistics:</w:t>
      </w:r>
      <w:r>
        <w:t xml:space="preserve"> </w:t>
      </w:r>
      <w:r>
        <w:t xml:space="preserve">“</w:t>
      </w:r>
      <w:r>
        <w:t xml:space="preserve">Pirlea et al. (2026 — Atlas)</w:t>
      </w:r>
      <w:r>
        <w:t xml:space="preserve">”</w:t>
      </w:r>
    </w:p>
    <w:p>
      <w:pPr>
        <w:numPr>
          <w:ilvl w:val="1"/>
          <w:numId w:val="1015"/>
        </w:numPr>
        <w:pStyle w:val="Compact"/>
      </w:pPr>
      <w:r>
        <w:t xml:space="preserve">Commodity markets blog:</w:t>
      </w:r>
      <w:r>
        <w:t xml:space="preserve"> </w:t>
      </w:r>
      <w:r>
        <w:t xml:space="preserve">“</w:t>
      </w:r>
      <w:r>
        <w:t xml:space="preserve">Agnolucci, Kenworthy &amp; Kose (2026)</w:t>
      </w:r>
      <w:r>
        <w:t xml:space="preserve">”</w:t>
      </w:r>
    </w:p>
    <w:p>
      <w:pPr>
        <w:numPr>
          <w:ilvl w:val="1"/>
          <w:numId w:val="1015"/>
        </w:numPr>
        <w:pStyle w:val="Compact"/>
      </w:pPr>
      <w:r>
        <w:t xml:space="preserve">AI financial supervision G20:</w:t>
      </w:r>
      <w:r>
        <w:t xml:space="preserve"> </w:t>
      </w:r>
      <w:r>
        <w:t xml:space="preserve">“</w:t>
      </w:r>
      <w:r>
        <w:t xml:space="preserve">Boeddu et al. (2025)</w:t>
      </w:r>
      <w:r>
        <w:t xml:space="preserve">”</w:t>
      </w:r>
    </w:p>
    <w:p>
      <w:pPr>
        <w:numPr>
          <w:ilvl w:val="0"/>
          <w:numId w:val="1014"/>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4"/>
        </w:numPr>
        <w:pStyle w:val="Compact"/>
      </w:pPr>
      <w:r>
        <w:rPr>
          <w:bCs/>
          <w:b/>
        </w:rPr>
        <w:t xml:space="preserve">Trích dẫn Section Q — Singapore ecosystem (v2.7)</w:t>
      </w:r>
      <w:r>
        <w:t xml:space="preserve">:</w:t>
      </w:r>
    </w:p>
    <w:p>
      <w:pPr>
        <w:numPr>
          <w:ilvl w:val="1"/>
          <w:numId w:val="1016"/>
        </w:numPr>
        <w:pStyle w:val="Compact"/>
      </w:pPr>
      <w:r>
        <w:t xml:space="preserve">SWITCH 2025:</w:t>
      </w:r>
      <w:r>
        <w:t xml:space="preserve"> </w:t>
      </w:r>
      <w:r>
        <w:t xml:space="preserve">“</w:t>
      </w:r>
      <w:r>
        <w:t xml:space="preserve">Enterprise Singapore (2025)</w:t>
      </w:r>
      <w:r>
        <w:t xml:space="preserve">”</w:t>
      </w:r>
    </w:p>
    <w:p>
      <w:pPr>
        <w:numPr>
          <w:ilvl w:val="1"/>
          <w:numId w:val="1016"/>
        </w:numPr>
        <w:pStyle w:val="Compact"/>
      </w:pPr>
      <w:r>
        <w:t xml:space="preserve">Digital government rankings:</w:t>
      </w:r>
      <w:r>
        <w:t xml:space="preserve"> </w:t>
      </w:r>
      <w:r>
        <w:t xml:space="preserve">“</w:t>
      </w:r>
      <w:r>
        <w:t xml:space="preserve">GovTech Singapore (2024)</w:t>
      </w:r>
      <w:r>
        <w:t xml:space="preserve">”</w:t>
      </w:r>
    </w:p>
    <w:p>
      <w:pPr>
        <w:numPr>
          <w:ilvl w:val="1"/>
          <w:numId w:val="1016"/>
        </w:numPr>
        <w:pStyle w:val="Compact"/>
      </w:pPr>
      <w:r>
        <w:t xml:space="preserve">ATxSG summit:</w:t>
      </w:r>
      <w:r>
        <w:t xml:space="preserve"> </w:t>
      </w:r>
      <w:r>
        <w:t xml:space="preserve">“</w:t>
      </w:r>
      <w:r>
        <w:t xml:space="preserve">IMDA (2025)</w:t>
      </w:r>
      <w:r>
        <w:t xml:space="preserve">”</w:t>
      </w:r>
    </w:p>
    <w:p>
      <w:pPr>
        <w:numPr>
          <w:ilvl w:val="1"/>
          <w:numId w:val="1016"/>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4"/>
        </w:numPr>
        <w:pStyle w:val="Compact"/>
      </w:pPr>
      <w:r>
        <w:rPr>
          <w:bCs/>
          <w:b/>
        </w:rPr>
        <w:t xml:space="preserve">Trích dẫn Section T — WB Working Papers 2015/2026 (v2.9)</w:t>
      </w:r>
      <w:r>
        <w:t xml:space="preserve">:</w:t>
      </w:r>
    </w:p>
    <w:p>
      <w:pPr>
        <w:numPr>
          <w:ilvl w:val="1"/>
          <w:numId w:val="1017"/>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7"/>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17"/>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7"/>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7"/>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189"/>
    <w:bookmarkStart w:id="190" w:name="khi-nộp-bản-cuối"/>
    <w:p>
      <w:pPr>
        <w:pStyle w:val="Heading3"/>
      </w:pPr>
      <w:r>
        <w:t xml:space="preserve">Khi nộp bản cuối</w:t>
      </w:r>
    </w:p>
    <w:p>
      <w:pPr>
        <w:numPr>
          <w:ilvl w:val="0"/>
          <w:numId w:val="1018"/>
        </w:numPr>
        <w:pStyle w:val="Compact"/>
      </w:pPr>
      <w:r>
        <w:t xml:space="preserve">Xác minh DOI trên Crossref hoặc trang publisher cho các entry không quen thuộc.</w:t>
      </w:r>
    </w:p>
    <w:p>
      <w:pPr>
        <w:numPr>
          <w:ilvl w:val="0"/>
          <w:numId w:val="1018"/>
        </w:numPr>
        <w:pStyle w:val="Compact"/>
      </w:pPr>
      <w:r>
        <w:t xml:space="preserve">Kiểm tra nhất quán italic và punctuation theo APA 7th.</w:t>
      </w:r>
    </w:p>
    <w:p>
      <w:pPr>
        <w:numPr>
          <w:ilvl w:val="0"/>
          <w:numId w:val="1018"/>
        </w:numPr>
        <w:pStyle w:val="Compact"/>
      </w:pPr>
      <w:r>
        <w:t xml:space="preserve">Yang et al. (2025) JBR: hiện chưa verify được volume/pages — cần kiểm tra Crossref hoặc loại bỏ.</w:t>
      </w:r>
    </w:p>
    <w:p>
      <w:pPr>
        <w:numPr>
          <w:ilvl w:val="0"/>
          <w:numId w:val="1018"/>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18"/>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18"/>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90"/>
    <w:bookmarkStart w:id="191"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91"/>
    <w:bookmarkEnd w:id="192"/>
    <w:bookmarkStart w:id="193"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193"/>
    <w:bookmarkStart w:id="194"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194"/>
    <w:bookmarkStart w:id="195"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195"/>
    <w:bookmarkStart w:id="196"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196"/>
    <w:bookmarkStart w:id="200"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197"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197"/>
    <w:bookmarkStart w:id="198"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198"/>
    <w:bookmarkStart w:id="199"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r>
        <w:br w:type="page"/>
      </w:r>
    </w:p>
    <w:bookmarkEnd w:id="199"/>
    <w:bookmarkEnd w:id="200"/>
    <w:bookmarkEnd w:id="201"/>
    <w:bookmarkStart w:id="202" w:name="phụ-lục"/>
    <w:p>
      <w:pPr>
        <w:pStyle w:val="Heading1"/>
      </w:pPr>
      <w:r>
        <w:t xml:space="preserve">PHỤ LỤC</w:t>
      </w:r>
    </w:p>
    <w:p>
      <w:pPr>
        <w:pStyle w:val="FirstParagraph"/>
      </w:pPr>
      <w:r>
        <w:t xml:space="preserve">Các phụ lục kèm theo luận án (nghiên cứu sinh đính kèm nội dung đầy đủ tương ứng):</w:t>
      </w:r>
    </w:p>
    <w:p>
      <w:pPr>
        <w:pStyle w:val="BodyText"/>
      </w:pPr>
      <w:r>
        <w:rPr>
          <w:bCs/>
          <w:b/>
        </w:rPr>
        <w:t xml:space="preserve">Phụ lục A — Bảng thuật ngữ Anh–Việt thống nhất.</w:t>
      </w:r>
      <w:r>
        <w:t xml:space="preserve"> </w:t>
      </w:r>
      <w:r>
        <w:t xml:space="preserve">Danh mục 68 thuật ngữ chuẩn hóa dùng xuyên</w:t>
      </w:r>
      <w:r>
        <w:t xml:space="preserve"> </w:t>
      </w:r>
      <w:r>
        <w:t xml:space="preserve">suốt luận án và hai chuyên đề (nguồn:</w:t>
      </w:r>
      <w:r>
        <w:t xml:space="preserve"> </w:t>
      </w:r>
      <w:r>
        <w:rPr>
          <w:rStyle w:val="VerbatimChar"/>
        </w:rPr>
        <w:t xml:space="preserve">thesis/09b_vn_term_glossary.md</w:t>
      </w:r>
      <w:r>
        <w:t xml:space="preserve">).</w:t>
      </w:r>
    </w:p>
    <w:p>
      <w:pPr>
        <w:pStyle w:val="BodyText"/>
      </w:pPr>
      <w:r>
        <w:rPr>
          <w:bCs/>
          <w:b/>
        </w:rPr>
        <w:t xml:space="preserve">Phụ lục B — Quy trình tổng hợp và trích xuất dữ liệu (Chương 3 / Paper 6).</w:t>
      </w:r>
      <w:r>
        <w:t xml:space="preserve"> </w:t>
      </w:r>
      <w:r>
        <w:t xml:space="preserve">Mô tả phần mềm</w:t>
      </w:r>
      <w:r>
        <w:t xml:space="preserve"> </w:t>
      </w:r>
      <w:r>
        <w:t xml:space="preserve">M-AIDA (Meta-Analysis Intelligent Data Assistant) — công cụ trích xuất mức ảnh hưởng từ nghiên cứu</w:t>
      </w:r>
      <w:r>
        <w:t xml:space="preserve"> </w:t>
      </w:r>
      <w:r>
        <w:t xml:space="preserve">sơ cấp đưa vào phân tích tổng hợp; đã đăng ký bản quyền tại Cục Bản quyền Tác giả (COV).</w:t>
      </w:r>
    </w:p>
    <w:p>
      <w:pPr>
        <w:pStyle w:val="BodyText"/>
      </w:pPr>
      <w:r>
        <w:rPr>
          <w:bCs/>
          <w:b/>
        </w:rPr>
        <w:t xml:space="preserve">Phụ lục C — Tiền đăng ký nghiên cứu (OSF).</w:t>
      </w:r>
      <w:r>
        <w:t xml:space="preserve"> </w:t>
      </w:r>
      <w:r>
        <w:t xml:space="preserve">Phân tích tổng hợp ba tầng được tiền đăng ký tại</w:t>
      </w:r>
      <w:r>
        <w:t xml:space="preserve"> </w:t>
      </w:r>
      <w:r>
        <w:t xml:space="preserve">OSF: https://osf.io/z37kn (DOI: 10.17605/OSF.IO/Z37KN).</w:t>
      </w:r>
    </w:p>
    <w:p>
      <w:pPr>
        <w:pStyle w:val="BodyText"/>
      </w:pPr>
      <w:r>
        <w:rPr>
          <w:bCs/>
          <w:b/>
        </w:rPr>
        <w:t xml:space="preserve">Phụ lục D — Bảng dữ liệu và kết quả bổ trợ.</w:t>
      </w:r>
      <w:r>
        <w:t xml:space="preserve"> </w:t>
      </w:r>
      <w:r>
        <w:t xml:space="preserve">Các bảng hệ số đầy đủ, sơ đồ PRISMA, kiểm định độ</w:t>
      </w:r>
      <w:r>
        <w:t xml:space="preserve"> </w:t>
      </w:r>
      <w:r>
        <w:t xml:space="preserve">vững và chẩn đoán sai lệch xuất bản của các nghiên cứu thành phần (P3–P8).</w:t>
      </w:r>
    </w:p>
    <w:p>
      <w:pPr>
        <w:pStyle w:val="BodyText"/>
      </w:pPr>
      <w:r>
        <w:rPr>
          <w:bCs/>
          <w:b/>
        </w:rPr>
        <w:t xml:space="preserve">Phụ lục E — Danh sách nền kinh tế và phân nhóm chế độ thể chế (ICRV).</w:t>
      </w:r>
      <w:r>
        <w:t xml:space="preserve"> </w:t>
      </w:r>
      <w:r>
        <w:t xml:space="preserve">Bảng phân loại các nền</w:t>
      </w:r>
      <w:r>
        <w:t xml:space="preserve"> </w:t>
      </w:r>
      <w:r>
        <w:t xml:space="preserve">kinh tế theo sáu nhóm ICRV dùng trong luận án.</w:t>
      </w:r>
    </w:p>
    <w:p>
      <w:pPr>
        <w:pStyle w:val="BodyText"/>
      </w:pPr>
      <w:r>
        <w:rPr>
          <w:iCs/>
          <w:i/>
        </w:rPr>
        <w:t xml:space="preserve">[Đây là khung danh mục phụ lục theo yêu cầu CTU; nghiên cứu sinh chèn nội dung chi tiết của từng</w:t>
      </w:r>
      <w:r>
        <w:rPr>
          <w:iCs/>
          <w:i/>
        </w:rPr>
        <w:t xml:space="preserve"> </w:t>
      </w:r>
      <w:r>
        <w:rPr>
          <w:iCs/>
          <w:i/>
        </w:rPr>
        <w:t xml:space="preserve">phụ lục vào bản nộp cuối cùng.]</w:t>
      </w:r>
    </w:p>
    <w:bookmarkEnd w:id="20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2026-05-26T00:36:54Z</dcterms:created>
  <dcterms:modified xsi:type="dcterms:W3CDTF">2026-05-26T00:36:54Z</dcterms:modified>
</cp:coreProperties>
</file>

<file path=docProps/custom.xml><?xml version="1.0" encoding="utf-8"?>
<Properties xmlns="http://schemas.openxmlformats.org/officeDocument/2006/custom-properties" xmlns:vt="http://schemas.openxmlformats.org/officeDocument/2006/docPropsVTypes"/>
</file>