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4" w:name="X0c6e4d0da10b64d0e26e4f46cdf4d61de6495dd"/>
    <w:p>
      <w:pPr>
        <w:pStyle w:val="Heading1"/>
      </w:pPr>
      <w:r>
        <w:t xml:space="preserve">Does Country Context Shape the Internationalization–Performance Link? A Three-Level Meta-Analytic Investigation of Digital Adoption, Institutional Regimes, and the Digital Paradox Lifecycle</w:t>
      </w:r>
    </w:p>
    <w:p>
      <w:pPr>
        <w:pStyle w:val="FirstParagraph"/>
      </w:pPr>
      <w:r>
        <w:rPr>
          <w:bCs/>
          <w:b/>
        </w:rPr>
        <w:t xml:space="preserve">Đỗ Thị Thúy Hương</w:t>
      </w:r>
      <w:r>
        <w:t xml:space="preserve"> </w:t>
      </w:r>
      <w:r>
        <w:t xml:space="preserve">· Can Tho University / Huong Do Thi Thuy</w:t>
      </w:r>
      <w:r>
        <w:t xml:space="preserve"> </w:t>
      </w:r>
      <w:r>
        <w:rPr>
          <w:bCs/>
          <w:b/>
        </w:rPr>
        <w:t xml:space="preserve">Phan Anh Tú</w:t>
      </w:r>
      <w:r>
        <w:t xml:space="preserve"> </w:t>
      </w:r>
      <w:r>
        <w:t xml:space="preserve">· Can Tho University</w:t>
      </w:r>
    </w:p>
    <w:p>
      <w:pPr>
        <w:pStyle w:val="BodyText"/>
      </w:pPr>
      <w:r>
        <w:rPr>
          <w:iCs/>
          <w:i/>
        </w:rPr>
        <w:t xml:space="preserve">Manuscript prepared for: International Business Review (IBR, Elsevier, IF ≈ 5.5, ABS-3)</w:t>
      </w:r>
      <w:r>
        <w:t xml:space="preserve"> </w:t>
      </w:r>
      <w:r>
        <w:rPr>
          <w:iCs/>
          <w:i/>
        </w:rPr>
        <w:t xml:space="preserve">Version 1.0 — May 2026 (target journal submission: Q4 2026)</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 (MARA) to test three theoretically motivated moderators — country-level digital adoption (cDAI), institutional context regime (ICRV), and Digital Paradox Lifecycle (DPL) phase — that prior meta-analyses of the internationalization–performance (I→P) relationship have not examined.</w:t>
      </w:r>
      <w:r>
        <w:t xml:space="preserve"> </w:t>
      </w:r>
      <w:r>
        <w:rPr>
          <w:bCs/>
          <w:b/>
        </w:rPr>
        <w:t xml:space="preserve">Design/methodology/approach:</w:t>
      </w:r>
      <w:r>
        <w:t xml:space="preserve"> </w:t>
      </w:r>
      <w:r>
        <w:t xml:space="preserve">A systematic search following PRISMA 2020 protocols on Web of Science and Scopus (1977–2026) identifies</w:t>
      </w:r>
      <w:r>
        <w:t xml:space="preserve"> </w:t>
      </w:r>
      <w:r>
        <w:rPr>
          <w:iCs/>
          <w:i/>
        </w:rPr>
        <w:t xml:space="preserve">k</w:t>
      </w:r>
      <w:r>
        <w:t xml:space="preserve"> </w:t>
      </w:r>
      <w:r>
        <w:t xml:space="preserve">= 238 studies with</w:t>
      </w:r>
      <w:r>
        <w:t xml:space="preserve"> </w:t>
      </w:r>
      <w:r>
        <w:rPr>
          <w:iCs/>
          <w:i/>
        </w:rPr>
        <w:t xml:space="preserve">K</w:t>
      </w:r>
      <w:r>
        <w:t xml:space="preserve"> </w:t>
      </w:r>
      <w:r>
        <w:t xml:space="preserve">= 288 effect sizes. Three-level MARA (Cheung, 2014; Van den Noortgate et al., 2013) decomposes heterogeneity into within-study (</w:t>
      </w:r>
      <w:r>
        <w:rPr>
          <w:iCs/>
          <w:i/>
        </w:rPr>
        <w:t xml:space="preserve">Level 2</w:t>
      </w:r>
      <w:r>
        <w:t xml:space="preserve">) and between-study (</w:t>
      </w:r>
      <w:r>
        <w:rPr>
          <w:iCs/>
          <w:i/>
        </w:rPr>
        <w:t xml:space="preserve">Level 3</w:t>
      </w:r>
      <w:r>
        <w:t xml:space="preserve">) components using</w:t>
      </w:r>
      <w:r>
        <w:t xml:space="preserve"> </w:t>
      </w:r>
      <w:r>
        <w:rPr>
          <w:rStyle w:val="VerbatimChar"/>
        </w:rPr>
        <w:t xml:space="preserve">metafor</w:t>
      </w:r>
      <w:r>
        <w:t xml:space="preserve"> </w:t>
      </w:r>
      <w:r>
        <w:t xml:space="preserve">in R. Pre-registration on OSF precedes effect-size extraction; inter-coder reliability κ ≥ 0.70 on 20% 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0.075 (95% CI [0.061, 0.089],</w:t>
      </w:r>
      <w:r>
        <w:t xml:space="preserve"> </w:t>
      </w:r>
      <w:r>
        <w:rPr>
          <w:iCs/>
          <w:i/>
        </w:rPr>
        <w:t xml:space="preserve">p</w:t>
      </w:r>
      <w:r>
        <w:t xml:space="preserve"> </w:t>
      </w:r>
      <w:r>
        <w:t xml:space="preserve">&lt; .001) with</w:t>
      </w:r>
      <w:r>
        <w:t xml:space="preserve"> </w:t>
      </w:r>
      <w:r>
        <w:rPr>
          <w:iCs/>
          <w:i/>
        </w:rPr>
        <w:t xml:space="preserve">I</w:t>
      </w:r>
      <w:r>
        <w:t xml:space="preserve">² = 62.5% (Level 2 within-study: 54.1%; Level 3 between-study: 8.4%). Three-level decomposition confirms substantial systematic heterogeneity beyond sampling error, with within-study variance (multiple specifications per paper) as the dominant component; between-study variance captures country-level differences that the three moderators are designed to explain. ICRV regime moderation is significant (</w:t>
      </w:r>
      <w:r>
        <w:rPr>
          <w:iCs/>
          <w:i/>
        </w:rPr>
        <w:t xml:space="preserve">Q</w:t>
      </w:r>
      <w:r>
        <w:t xml:space="preserve">_M = 127.77,</w:t>
      </w:r>
      <w:r>
        <w:t xml:space="preserve"> </w:t>
      </w:r>
      <w:r>
        <w:rPr>
          <w:iCs/>
          <w:i/>
        </w:rPr>
        <w:t xml:space="preserve">df</w:t>
      </w:r>
      <w:r>
        <w:t xml:space="preserve"> </w:t>
      </w:r>
      <w:r>
        <w:t xml:space="preserve">= 4,</w:t>
      </w:r>
      <w:r>
        <w:t xml:space="preserve"> </w:t>
      </w:r>
      <w:r>
        <w:rPr>
          <w:iCs/>
          <w:i/>
        </w:rPr>
        <w:t xml:space="preserve">p</w:t>
      </w:r>
      <w:r>
        <w:t xml:space="preserve"> </w:t>
      </w:r>
      <w:r>
        <w:t xml:space="preserve">&lt; .001), with a clear gradient from Advanced-Innovation contexts (</w:t>
      </w:r>
      <w:r>
        <w:rPr>
          <w:iCs/>
          <w:i/>
        </w:rPr>
        <w:t xml:space="preserve">r̄</w:t>
      </w:r>
      <w:r>
        <w:t xml:space="preserve"> </w:t>
      </w:r>
      <w:r>
        <w:t xml:space="preserve">= 0.21) to Frontier contexts (</w:t>
      </w:r>
      <w:r>
        <w:rPr>
          <w:iCs/>
          <w:i/>
        </w:rPr>
        <w:t xml:space="preserve">r̄</w:t>
      </w:r>
      <w:r>
        <w:t xml:space="preserve"> </w:t>
      </w:r>
      <w:r>
        <w:t xml:space="preserve">= −0.02). cDAI amplifies the I→P effect positively (β = +0.089,</w:t>
      </w:r>
      <w:r>
        <w:t xml:space="preserve"> </w:t>
      </w:r>
      <w:r>
        <w:rPr>
          <w:iCs/>
          <w:i/>
        </w:rPr>
        <w:t xml:space="preserve">p</w:t>
      </w:r>
      <w:r>
        <w:t xml:space="preserve"> </w:t>
      </w:r>
      <w:r>
        <w:t xml:space="preserve">= .024), concentrated in the DPL Follow phase (post-2014). DPL phasing itself shows significant temporal moderation (</w:t>
      </w:r>
      <w:r>
        <w:rPr>
          <w:iCs/>
          <w:i/>
        </w:rPr>
        <w:t xml:space="preserve">Q</w:t>
      </w:r>
      <w:r>
        <w:t xml:space="preserve">_DPL = 104.92,</w:t>
      </w:r>
      <w:r>
        <w:t xml:space="preserve"> </w:t>
      </w:r>
      <w:r>
        <w:rPr>
          <w:iCs/>
          <w:i/>
        </w:rPr>
        <w:t xml:space="preserve">df</w:t>
      </w:r>
      <w:r>
        <w:t xml:space="preserve"> </w:t>
      </w:r>
      <w:r>
        <w:t xml:space="preserve">= 2,</w:t>
      </w:r>
      <w:r>
        <w:t xml:space="preserve"> </w:t>
      </w:r>
      <w:r>
        <w:rPr>
          <w:iCs/>
          <w:i/>
        </w:rPr>
        <w:t xml:space="preserve">p</w:t>
      </w:r>
      <w:r>
        <w:t xml:space="preserve"> </w:t>
      </w:r>
      <w:r>
        <w:t xml:space="preserve">&lt; .001): Follow &gt; Span &gt; Precede.</w:t>
      </w:r>
      <w:r>
        <w:t xml:space="preserve"> </w:t>
      </w:r>
      <w:r>
        <w:rPr>
          <w:bCs/>
          <w:b/>
        </w:rPr>
        <w:t xml:space="preserve">Originality/value:</w:t>
      </w:r>
      <w:r>
        <w:t xml:space="preserve"> </w:t>
      </w:r>
      <w:r>
        <w:t xml:space="preserve">This is the first three-level MARA of I→P, the first to apply an ICRV 5-regime taxonomy to the Asia-Pacific literature, and the first to test DPL phase as a temporal moderator. Results confirm that digital capability is a</w:t>
      </w:r>
      <w:r>
        <w:t xml:space="preserve"> </w:t>
      </w:r>
      <w:r>
        <w:rPr>
          <w:iCs/>
          <w:i/>
        </w:rPr>
        <w:t xml:space="preserve">conditional scaling resource</w:t>
      </w:r>
      <w:r>
        <w:t xml:space="preserve"> </w:t>
      </w:r>
      <w:r>
        <w:t xml:space="preserve">— not a universal performance premium — whose amplification depends on the institutional quality of the host environment.</w:t>
      </w:r>
    </w:p>
    <w:p>
      <w:pPr>
        <w:pStyle w:val="BodyText"/>
      </w:pPr>
      <w:r>
        <w:rPr>
          <w:bCs/>
          <w:b/>
        </w:rPr>
        <w:t xml:space="preserve">Keywords:</w:t>
      </w:r>
      <w:r>
        <w:t xml:space="preserve"> </w:t>
      </w:r>
      <w:r>
        <w:t xml:space="preserve">internationalization–performance; meta-analysis; three-level model; digital adoption; institutional context; ICRV; Digital Paradox Lifecycle; Asia-Pacific</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Cross-border firm expansion has become one of the defining strategic imperatives of the modern economy. The past three decades have witnessed dramatic growth in outward foreign direct investment, export-oriented production, and global value chain participation, transforming internationalization from a strategy available primarily to large multinationals into a competitive consideration for firms across size classes and geographies (Dunning, 2000; Johanson &amp; Vahlne, 2009; Kafouros et al., 2012). Against this backdrop, the question of whether internationalization improves firm performance is not merely academic — it shapes investment decisions, government export promotion policy, and the strategic priorities of firms navigating an increasingly interconnected global economy (Hitt et al., 2006; Lu &amp; Beamish, 2004). For scholars, however, the record remains stubbornly inconclusive.</w:t>
      </w:r>
    </w:p>
    <w:p>
      <w:pPr>
        <w:pStyle w:val="BodyText"/>
      </w:pPr>
      <w:r>
        <w:t xml:space="preserve">The relationship between a firm's degree of internationalization and its performance (the "I→P relationship") is the most meta-analyzed question in international business (IB). Over four decades and six major meta-analyses (Bausch &amp; Krist, 2007; Kirca et al., 2012; Marano et al., 2016; Schwens et al., 2018; Wu et al., 2022; Arte &amp; Larimo, 2022), no consensus has emerged: pooled effects are consistently small and positive, yet</w:t>
      </w:r>
      <w:r>
        <w:t xml:space="preserve"> </w:t>
      </w:r>
      <w:r>
        <w:rPr>
          <w:iCs/>
          <w:i/>
        </w:rPr>
        <w:t xml:space="preserve">I</w:t>
      </w:r>
      <w:r>
        <w:t xml:space="preserve">² regularly exceeds 80%, signaling that context — not a universal mechanism — drives outcomes.</w:t>
      </w:r>
    </w:p>
    <w:p>
      <w:pPr>
        <w:pStyle w:val="BodyText"/>
      </w:pPr>
      <w:r>
        <w:t xml:space="preserve">The present study's starting point is the ICBEF 2025 baseline analysis (Do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 baseline identified that conventional moderators — country of origin, industry, performance measure type — leave approximately 70% of variance unexplained. Three theoretically grounded moderators, absent from all prior meta-analyses, motivate the present extension:</w:t>
      </w:r>
    </w:p>
    <w:p>
      <w:pPr>
        <w:pStyle w:val="BodyText"/>
      </w:pPr>
      <w:r>
        <w:rPr>
          <w:bCs/>
          <w:b/>
        </w:rPr>
        <w:t xml:space="preserve">Gap 1 — cDAI.</w:t>
      </w:r>
      <w:r>
        <w:t xml:space="preserve"> </w:t>
      </w:r>
      <w:r>
        <w:t xml:space="preserve">Country-level digital adoption (cDAI)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 ICRV 5-regime.</w:t>
      </w:r>
      <w:r>
        <w:t xml:space="preserve"> </w:t>
      </w:r>
      <w:r>
        <w:t xml:space="preserve">Marano et al. (2016) established that home-country institutions moderate I→P, but applied a coarse six-group global taxonomy. The Asia-Pacific region spans the widest institutional spectrum globally — from Singapore (World Governance Indicators Rule of Law score +1.84) to frontier economies (WGI &lt; −0.50; World Bank, 2023). An ICRV 5-regime classification tailored to this heterogeneity has not been tested meta-analytically.</w:t>
      </w:r>
    </w:p>
    <w:p>
      <w:pPr>
        <w:pStyle w:val="BodyText"/>
      </w:pPr>
      <w:r>
        <w:rPr>
          <w:bCs/>
          <w:b/>
        </w:rPr>
        <w:t xml:space="preserve">Gap 3 — DPL phase.</w:t>
      </w:r>
      <w:r>
        <w:t xml:space="preserve"> </w:t>
      </w:r>
      <w:r>
        <w:t xml:space="preserve">Brynjolfsson et al. (2021) identified 2009 as a productivity inflection point in the digital era (the "dynamo analogy" for AI: David, 1990). Studies examining data from before, spanning, or after this threshold should yield systematically different I→P effect sizes if digital platforms reshape internationalization economics. This temporal moderator has never been systematically coded in I→P meta-analyses.</w:t>
      </w:r>
    </w:p>
    <w:p>
      <w:pPr>
        <w:pStyle w:val="BodyText"/>
      </w:pPr>
      <w:r>
        <w:t xml:space="preserve">This paper addresses all three gaps through a fresh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 with three-level MARA that decomposes heterogeneity beyond what random-effects models allow.</w:t>
      </w:r>
    </w:p>
    <w:p>
      <w:pPr>
        <w:pStyle w:val="BodyText"/>
      </w:pPr>
      <w:r>
        <w:rPr>
          <w:bCs/>
          <w:b/>
        </w:rPr>
        <w:t xml:space="preserve">Contributions.</w:t>
      </w:r>
      <w:r>
        <w:t xml:space="preserve"> </w:t>
      </w:r>
      <w:r>
        <w:t xml:space="preserve">We make three methodological and three theoretical contributions:</w:t>
      </w:r>
      <w:r>
        <w:t xml:space="preserve"> </w:t>
      </w:r>
      <w:r>
        <w:rPr>
          <w:iCs/>
          <w:i/>
        </w:rPr>
        <w:t xml:space="preserve">(Methodological)</w:t>
      </w:r>
      <w:r>
        <w:t xml:space="preserve">: (1) First three-level MARA for the I→P literature; (2) first PRISMA-2020-compliant systematic search with OSF pre-registration for this topic; (3) first application of 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ICRV 5-regime provides the first institution-theoretic contingency framework tested meta-analytically for Asia-Pacific I→P; (5) cDAI shows that national digital infrastructure moderates aggregate I→P more strongly in the post-2014 DPL Follow phase; (6) DPL phase confirms a productivity-accumulation J-curve in the digitized internationalization literature.</w:t>
      </w:r>
    </w:p>
    <w:p>
      <w:pPr>
        <w:pStyle w:val="BodyText"/>
      </w:pPr>
      <w:r>
        <w:rPr>
          <w:bCs/>
          <w:b/>
        </w:rPr>
        <w:t xml:space="preserve">Key findings preview.</w:t>
      </w:r>
      <w:r>
        <w:t xml:space="preserve"> </w:t>
      </w:r>
      <w:r>
        <w:t xml:space="preserve">Among the principal results, the ICRV regime gradient emerges as the largest source of explained heterogeneity: Advanced-Innovation contexts (e.g., Singapore, Regime I) yield</w:t>
      </w:r>
      <w:r>
        <w:t xml:space="preserve"> </w:t>
      </w:r>
      <w:r>
        <w:rPr>
          <w:iCs/>
          <w:i/>
        </w:rPr>
        <w:t xml:space="preserve">r̄</w:t>
      </w:r>
      <w:r>
        <w:t xml:space="preserve"> </w:t>
      </w:r>
      <w:r>
        <w:t xml:space="preserve">= 0.21 — approximately threefold the pooled baseline — compared to Frontier contexts (</w:t>
      </w:r>
      <w:r>
        <w:rPr>
          <w:iCs/>
          <w:i/>
        </w:rPr>
        <w:t xml:space="preserve">r̄</w:t>
      </w:r>
      <w:r>
        <w:t xml:space="preserve"> </w:t>
      </w:r>
      <w:r>
        <w:t xml:space="preserve">= −0.02), collapsing what appears as a small-positive average effect into a spectrum ranging from meaningfully positive to effectively null. cDAI adds explanatory power concentrated in the DPL Follow phase (post-2014), where national digital infrastructure maturity amplifies I→P by β = +0.089 (</w:t>
      </w:r>
      <w:r>
        <w:rPr>
          <w:iCs/>
          <w:i/>
        </w:rPr>
        <w:t xml:space="preserve">p</w:t>
      </w:r>
      <w:r>
        <w:t xml:space="preserve"> </w:t>
      </w:r>
      <w:r>
        <w:t xml:space="preserve">= .024) per standardized unit of country adoption. DPL phase itself shows significant temporal moderation (</w:t>
      </w:r>
      <w:r>
        <w:rPr>
          <w:iCs/>
          <w:i/>
        </w:rPr>
        <w:t xml:space="preserve">Q</w:t>
      </w:r>
      <w:r>
        <w:t xml:space="preserve"> </w:t>
      </w:r>
      <w:r>
        <w:t xml:space="preserve">= 104.92,</w:t>
      </w:r>
      <w:r>
        <w:t xml:space="preserve"> </w:t>
      </w:r>
      <w:r>
        <w:rPr>
          <w:iCs/>
          <w:i/>
        </w:rPr>
        <w:t xml:space="preserve">p</w:t>
      </w:r>
      <w:r>
        <w:t xml:space="preserve"> </w:t>
      </w:r>
      <w:r>
        <w:t xml:space="preserve">&lt; .001), confirming that the post-2014 cohort of studies reports systematically larger effects than earlier decades. Taken together, these three moderators reframe the I→P puzzle: the question is not whether internationalization improves performance on average — it does — but</w:t>
      </w:r>
      <w:r>
        <w:t xml:space="preserve"> </w:t>
      </w:r>
      <w:r>
        <w:rPr>
          <w:iCs/>
          <w:i/>
        </w:rPr>
        <w:t xml:space="preserve">under what institutional and digital conditions</w:t>
      </w:r>
      <w:r>
        <w:t xml:space="preserve"> </w:t>
      </w:r>
      <w:r>
        <w:t xml:space="preserve">it does so, and at what intensity.</w:t>
      </w:r>
    </w:p>
    <w:p>
      <w:pPr>
        <w:pStyle w:val="BodyText"/>
      </w:pPr>
      <w:r>
        <w:rPr>
          <w:bCs/>
          <w:b/>
        </w:rPr>
        <w:t xml:space="preserve">Organization.</w:t>
      </w:r>
      <w:r>
        <w:t xml:space="preserve"> </w:t>
      </w:r>
      <w:r>
        <w:t xml:space="preserve">The paper proceeds as follows. Section 2 develops the theoretical framework and hypotheses, grounding each moderator in RBV, institutional theory, organizational learning theory, coordination cost theory, and the Foundational Digital Adoption Framework. Section 3 describes the systematic search protocol, coding procedure, and three-level MARA specification. Section 4 presents results, including the baseline model, three moderator analyses, and publication bias diagnostics. Section 5 discusses theoretical and practical implications, and Section 6 concludes with limitations and directions for future research.</w:t>
      </w:r>
    </w:p>
    <w:p>
      <w:r>
        <w:pict>
          <v:rect style="width:0;height:1.5pt" o:hralign="center" o:hrstd="t" o:hr="t"/>
        </w:pict>
      </w:r>
    </w:p>
    <w:bookmarkEnd w:id="21"/>
    <w:bookmarkStart w:id="28"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theoretical perspectives ground the moderating hypotheses and connect the three new moderators to established predictions about the I→P relationship.</w:t>
      </w:r>
    </w:p>
    <w:p>
      <w:pPr>
        <w:pStyle w:val="BodyText"/>
      </w:pPr>
      <w:r>
        <w:rPr>
          <w:bCs/>
          <w:b/>
        </w:rPr>
        <w:t xml:space="preserve">Resource-Based View (RBV).</w:t>
      </w:r>
      <w:r>
        <w:t xml:space="preserve"> </w:t>
      </w:r>
      <w:r>
        <w:t xml:space="preserve">Barney (1991) establishes that sustainable competitive advantages derive from VRIN (valuable, rare, inimitable, non-substitutable) resources. In the I→P context, this predicts that firms with strong home-country resource endowments — including human capital, technological capability, and digital infrastructure access — will generate higher performance returns from international expansion than resource-constrained peers. Wernerfelt's (1984) resource bundling logic further predicts that digital tools</w:t>
      </w:r>
      <w:r>
        <w:t xml:space="preserve"> </w:t>
      </w:r>
      <w:r>
        <w:rPr>
          <w:iCs/>
          <w:i/>
        </w:rPr>
        <w:t xml:space="preserve">compound</w:t>
      </w:r>
      <w:r>
        <w:t xml:space="preserve"> </w:t>
      </w:r>
      <w:r>
        <w:t xml:space="preserve">existing resource advantages: in high-cDAI environments, the combination of digital infrastructure and firm-level technological capability generates synergistic productivity returns that exceed what either component could produce in isolation. This resource-bundling prediction is the micro-foundation for the cDAI amplification hypothesis (H3): national digital infrastructure is not merely a background condition but an active complement to firm-level resources that raises the marginal return to each additional unit of international expansion.</w:t>
      </w:r>
    </w:p>
    <w:p>
      <w:pPr>
        <w:pStyle w:val="BodyText"/>
      </w:pPr>
      <w:r>
        <w:rPr>
          <w:bCs/>
          <w:b/>
        </w:rPr>
        <w:t xml:space="preserve">Institutional Theory.</w:t>
      </w:r>
      <w:r>
        <w:t xml:space="preserve"> </w:t>
      </w:r>
      <w:r>
        <w:t xml:space="preserve">North's (1990) framework positions formal and informal institutions as the "rules of the game" that govern transaction costs. In the I→P context, higher institutional quality — measured through rule of law, contract enforcement, IP protection, and regulatory quality — reduces the coordination costs of cross-border expansion by attenuating opportunism risk, monitoring costs, and information asymmetry between home and host markets. Scott's (1995) three-pillar framework extends this logic: regulative, normative, and cognitive institutions jointly determine the transaction cost environment in which internationalization occurs. When regulative institutions are strong (ICRV Regime I), firms can enforce contracts with foreign counterparts at lower cost, protect innovation rents across jurisdictions, and exploit economies of scale without the institutional friction that truncates these returns in weaker institutional environments. The ICRV gradient hypothesis (H1) thus derives directly from institutional theory: the expected I→P effect should decline monotonically from Advanced-Innovation (Regime I) to Frontier (Regime V) as institutional quality falls and coordination costs rise.</w:t>
      </w:r>
    </w:p>
    <w:p>
      <w:pPr>
        <w:pStyle w:val="BodyText"/>
      </w:pPr>
      <w:r>
        <w:rPr>
          <w:bCs/>
          <w:b/>
        </w:rPr>
        <w:t xml:space="preserve">Organizational Learning Theory.</w:t>
      </w:r>
      <w:r>
        <w:t xml:space="preserve"> </w:t>
      </w:r>
      <w:r>
        <w:t xml:space="preserve">Johanson and Vahlne's (1977, 2009) Uppsala model posits that internationalization knowledge accumulates through market-specific experience and is subsequently encoded in organizational routines. Digital platforms accelerate this knowledge accumulation by reducing information asymmetries between home and host markets: cloud-based analytics, real-time demand signaling, and B2B digital platforms enable firms to monitor foreign market conditions without the physical presence that prior eras required (Stallkamp &amp; Schotter, 2021). The DPL Follow phase (post-2014) is the period in which these digital learning channels reach sufficient maturity and penetration to systematically compress the experiential learning curve — predicting that I→P effects are largest in studies drawing on data from this period (H2). The Span phase captures the transitional period in which digital tools were diffusing but had not yet reached the maturity threshold at which their learning-cost compression effects became systemic.</w:t>
      </w:r>
    </w:p>
    <w:p>
      <w:pPr>
        <w:pStyle w:val="BodyText"/>
      </w:pPr>
      <w:r>
        <w:rPr>
          <w:bCs/>
          <w:b/>
        </w:rPr>
        <w:t xml:space="preserve">Coordination Cost Theory.</w:t>
      </w:r>
      <w:r>
        <w:t xml:space="preserve"> </w:t>
      </w:r>
      <w:r>
        <w:t xml:space="preserve">The classic coordination cost argument in the I→P literature (Hitt et al., 1997; Lu &amp; Beamish, 2004) posits that international expansion initially generates productivity gains through scale economies and learning, but eventually produces diseconomies as the administrative burden of coordinating dispersed operations exceeds the gains from further geographic diversification. This logic produces the inverted-U relationship that constitutes the modal finding in the I→P literature (Marano et al., 2016). However, digital platforms systematically reduce coordination costs through three channels: (a)</w:t>
      </w:r>
      <w:r>
        <w:t xml:space="preserve"> </w:t>
      </w:r>
      <w:r>
        <w:rPr>
          <w:iCs/>
          <w:i/>
        </w:rPr>
        <w:t xml:space="preserve">communication compression</w:t>
      </w:r>
      <w:r>
        <w:t xml:space="preserve"> </w:t>
      </w:r>
      <w:r>
        <w:t xml:space="preserve">— real-time digital communication across time zones reduces the bandwidth cost of coordinating dispersed operations; (b)</w:t>
      </w:r>
      <w:r>
        <w:t xml:space="preserve"> </w:t>
      </w:r>
      <w:r>
        <w:rPr>
          <w:iCs/>
          <w:i/>
        </w:rPr>
        <w:t xml:space="preserve">transaction cost reduction</w:t>
      </w:r>
      <w:r>
        <w:t xml:space="preserve"> </w:t>
      </w:r>
      <w:r>
        <w:t xml:space="preserve">— electronic payment systems and digital contracting reduce the cost and time of cross-border transactions; (c)</w:t>
      </w:r>
      <w:r>
        <w:t xml:space="preserve"> </w:t>
      </w:r>
      <w:r>
        <w:rPr>
          <w:iCs/>
          <w:i/>
        </w:rPr>
        <w:t xml:space="preserve">information asymmetry compression</w:t>
      </w:r>
      <w:r>
        <w:t xml:space="preserve"> </w:t>
      </w:r>
      <w:r>
        <w:t xml:space="preserve">— digital analytics platforms reduce the monitoring cost of verifying foreign partner performance. When national digital infrastructure is mature (high cDAI), all three channels operate simultaneously, predicting that the coordination cost mechanism — which generates the right-side decline of the inverted-U — is attenuated or shifted to higher internationalization intensities than would be observed in low-cDAI environments.</w:t>
      </w:r>
    </w:p>
    <w:p>
      <w:pPr>
        <w:pStyle w:val="BodyText"/>
      </w:pPr>
      <w:r>
        <w:rPr>
          <w:bCs/>
          <w:b/>
        </w:rPr>
        <w:t xml:space="preserve">Foundational Digital Adoption Framework.</w:t>
      </w:r>
      <w:r>
        <w:t xml:space="preserve"> </w:t>
      </w:r>
      <w:r>
        <w:t xml:space="preserve">Verhoef et al.'s (2021) 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 EDI), Tier-3</w:t>
      </w:r>
      <w:r>
        <w:t xml:space="preserve"> </w:t>
      </w:r>
      <w:r>
        <w:rPr>
          <w:iCs/>
          <w:i/>
        </w:rPr>
        <w:t xml:space="preserve">digital integration</w:t>
      </w:r>
      <w:r>
        <w:t xml:space="preserve"> </w:t>
      </w:r>
      <w:r>
        <w:t xml:space="preserve">(ERP, CRM, supply chain integration), and Tier-4</w:t>
      </w:r>
      <w:r>
        <w:t xml:space="preserve"> </w:t>
      </w:r>
      <w:r>
        <w:rPr>
          <w:iCs/>
          <w:i/>
        </w:rPr>
        <w:t xml:space="preserve">digital dynamic capability</w:t>
      </w:r>
      <w:r>
        <w:t xml:space="preserve"> </w:t>
      </w:r>
      <w:r>
        <w:t xml:space="preserve">(AI deployment, platform orchestration). Stallkamp and Schotter (2021) extend this hierarchy to the IB context, showing that Tier-1 and Tier-2 digital adoption — the layers most widely measured in firm-level surveys — function as</w:t>
      </w:r>
      <w:r>
        <w:t xml:space="preserve"> </w:t>
      </w:r>
      <w:r>
        <w:rPr>
          <w:iCs/>
          <w:i/>
        </w:rPr>
        <w:t xml:space="preserve">platform infrastructure</w:t>
      </w:r>
      <w:r>
        <w:t xml:space="preserve"> </w:t>
      </w:r>
      <w:r>
        <w:t xml:space="preserve">for cross-border coordination rather than as proprietary capabilities. At the country level, the aggregate adoption of Tier-1 and Tier-2 tools across the economy defines the</w:t>
      </w:r>
      <w:r>
        <w:t xml:space="preserve"> </w:t>
      </w:r>
      <w:r>
        <w:rPr>
          <w:iCs/>
          <w:i/>
        </w:rPr>
        <w:t xml:space="preserve">national digital adoption environment</w:t>
      </w:r>
      <w:r>
        <w:t xml:space="preserve"> </w:t>
      </w:r>
      <w:r>
        <w:t xml:space="preserve">(cDAI): the availability of a digitally enabled transaction ecosystem that reduces the minimum infrastructure investment required for firms to participate in cross-border trade. This country-level construct is analytically distinct from firm-level digital adoption: cDAI captures the shared digital infrastructure environment, whereas firm-level DAI captures a firm's own position within that environment. The cDAI amplification hypothesis (H3) thus concerns whether a richer national digital environment raises the aggregate I→P effect across the studies that draw on it — a between-study moderation claim, not a within-study mediation claim.</w:t>
      </w:r>
    </w:p>
    <w:bookmarkEnd w:id="22"/>
    <w:bookmarkStart w:id="23" w:name="Xf46903875c495d01a9c34f9a7eebd862b9d6417"/>
    <w:p>
      <w:pPr>
        <w:pStyle w:val="Heading3"/>
      </w:pPr>
      <w:r>
        <w:t xml:space="preserve">2.2 Capability–Institution Mismatch Theory (New — Hm1)</w:t>
      </w:r>
    </w:p>
    <w:p>
      <w:pPr>
        <w:pStyle w:val="FirstParagraph"/>
      </w:pPr>
      <w:r>
        <w:t xml:space="preserve">We propose</w:t>
      </w:r>
      <w:r>
        <w:t xml:space="preserve"> </w:t>
      </w:r>
      <w:r>
        <w:rPr>
          <w:iCs/>
          <w:i/>
        </w:rPr>
        <w:t xml:space="preserve">Capability–Institution Mismatch Theory</w:t>
      </w:r>
      <w:r>
        <w:t xml:space="preserve"> </w:t>
      </w:r>
      <w:r>
        <w:t xml:space="preserve">(CIMT) to explain the ICRV gradient in meta-analytic I→P effect sizes. CIMT's core claim is that the productivity returns to international expansion are a function not only of firm-level capabilities but of the degree to which home-country institutions enable those capabilities to be deployed productively across borders. The theory distinguishes three mechanisms:</w:t>
      </w:r>
    </w:p>
    <w:p>
      <w:pPr>
        <w:pStyle w:val="BodyText"/>
      </w:pPr>
      <w:r>
        <w:rPr>
          <w:iCs/>
          <w:i/>
        </w:rPr>
        <w:t xml:space="preserve">Rent-protection mechanism.</w:t>
      </w:r>
      <w:r>
        <w:t xml:space="preserve"> </w:t>
      </w:r>
      <w:r>
        <w:t xml:space="preserve">Institutional quality determines the degree to which firms can protect the proprietary rents generated by their internationalization activities. In high-quality institutional environments (ICRV Regime I), strong IP protection and contract enforcement allow firms to maintain competitive advantages across foreign markets without the knowledge leakage and imitation risk that characterize weaker institutional contexts (Kogut &amp; Zander, 1993; Zaheer, 1995). Each unit of international expansion therefore translates into larger cumulative rent streams, raising the average I→P effect observed in studies drawing on Regime I samples.</w:t>
      </w:r>
    </w:p>
    <w:p>
      <w:pPr>
        <w:pStyle w:val="BodyText"/>
      </w:pPr>
      <w:r>
        <w:rPr>
          <w:iCs/>
          <w:i/>
        </w:rPr>
        <w:t xml:space="preserve">Liability-of-foreignness attenuation mechanism.</w:t>
      </w:r>
      <w:r>
        <w:t xml:space="preserve"> </w:t>
      </w:r>
      <w:r>
        <w:t xml:space="preserve">Zaheer (1995) identifies liability of foreignness (LOF) — the costs incurred by foreign firms that domestic rivals do not bear — as a key driver of internationalization costs. LOF is attenuated in high-quality institutional environments because strong rule of law, transparent regulatory processes, and low corruption reduce the information asymmetries and discriminatory treatment that generate LOF in weaker institutional contexts (Peng et al., 2008). When LOF is low (ICRV-I), firms can capture a larger share of the productivity gains from cross-border scale economies and learning, raising the meta-analytic effect size.</w:t>
      </w:r>
    </w:p>
    <w:p>
      <w:pPr>
        <w:pStyle w:val="BodyText"/>
      </w:pPr>
      <w:r>
        <w:rPr>
          <w:iCs/>
          <w:i/>
        </w:rPr>
        <w:t xml:space="preserve">Institutional void amplification mechanism.</w:t>
      </w:r>
      <w:r>
        <w:t xml:space="preserve"> </w:t>
      </w:r>
      <w:r>
        <w:t xml:space="preserve">In institutional voids — environments where formal institutions are weak or absent — firms must invest in substitute governance mechanisms (relationship capital, political connections, informal contracts) that absorb managerial attention and reduce the net productivity returns to internationalization (Khanna &amp; Palepu, 2010). As institutional quality declines across the ICRV spectrum (Regime II → III → SIDS/V), these substitute governance costs accumulate, progressively depressing the I→P effect toward zero and potentially negative territory.</w:t>
      </w:r>
    </w:p>
    <w:p>
      <w:pPr>
        <w:pStyle w:val="BodyText"/>
      </w:pPr>
      <w:r>
        <w:t xml:space="preserve">CIMT predicts a clear monotonic gradient across the five ICRV regimes, which prior meta-analyses have not tested because they lacked an Asia-Pacific-specific taxonomy that disaggregates the institutional spectrum at sufficient resolution. Marano et al. (2016) used a six-category global classification that grouped Asia-Pacific economies in ways that obscured the Advanced/Emerging/Frontier gradient most relevant to the region. The ICRV 5-regime taxonomy — anchored in World Bank World Governance Indicators (Rule of Law dimension, 2023 vintage) and calibrated to the Asia-Pacific institutional spectrum — provides the first classification capable of testing the CIMT gradient meta-analytically.</w:t>
      </w:r>
    </w:p>
    <w:p>
      <w:pPr>
        <w:pStyle w:val="BodyText"/>
      </w:pPr>
      <w:r>
        <w:rPr>
          <w:bCs/>
          <w:b/>
        </w:rPr>
        <w:t xml:space="preserve">Hypothesis 1 (H1 — ICRV gradient):</w:t>
      </w:r>
      <w:r>
        <w:t xml:space="preserve"> </w:t>
      </w:r>
      <w:r>
        <w:t xml:space="preserve">When firms operate in higher-quality institutional environments (ICRV Regime I → V), the pooled I→P effect is expected to decrease monotonically, because formal institutions — contract enforcement, IP protection, and reduced liability of foreignness — amplify the productivity returns to each unit of international expansion through rent protection, LOF attenuation, and void-cost reduction (Khanna &amp; Palepu, 2010; North, 1990; Zaheer, 1995). This gradient is bounded by the assumption that institutional quality varies systematically across regimes rather than within them; studies spanning multiple regimes are therefore coded to the modal regime.</w:t>
      </w:r>
      <w:r>
        <w:t xml:space="preserve"> </w:t>
      </w:r>
      <w:r>
        <w:rPr>
          <w:iCs/>
          <w:i/>
        </w:rPr>
        <w:t xml:space="preserve">Q</w:t>
      </w:r>
      <w:r>
        <w:t xml:space="preserve">_M(ICRV) is expected to be statistically significant (</w:t>
      </w:r>
      <w:r>
        <w:rPr>
          <w:iCs/>
          <w:i/>
        </w:rPr>
        <w:t xml:space="preserve">p</w:t>
      </w:r>
      <w:r>
        <w:t xml:space="preserve"> </w:t>
      </w:r>
      <w:r>
        <w:t xml:space="preserve">&lt; .05).</w:t>
      </w:r>
    </w:p>
    <w:p>
      <w:pPr>
        <w:pStyle w:val="BodyText"/>
      </w:pPr>
      <w:r>
        <w:rPr>
          <w:bCs/>
          <w:b/>
        </w:rPr>
        <w:t xml:space="preserve">Hypothesis 1a:</w:t>
      </w:r>
      <w:r>
        <w:t xml:space="preserve"> </w:t>
      </w:r>
      <w:r>
        <w:t xml:space="preserve">Firms from Advanced-Innovation environments (ICRV-I: Singapore, Hong Kong, South Korea, Japan, Australia) show the largest pooled I→P effect (</w:t>
      </w:r>
      <w:r>
        <w:rPr>
          <w:iCs/>
          <w:i/>
        </w:rPr>
        <w:t xml:space="preserve">r̄</w:t>
      </w:r>
      <w:r>
        <w:t xml:space="preserve"> </w:t>
      </w:r>
      <w:r>
        <w:t xml:space="preserve">&gt; 0.15), reflecting simultaneous operation of all three CIMT mechanisms (rent protection, low LOF, negligible institutional voids).</w:t>
      </w:r>
    </w:p>
    <w:p>
      <w:pPr>
        <w:pStyle w:val="BodyText"/>
      </w:pPr>
      <w:r>
        <w:rPr>
          <w:bCs/>
          <w:b/>
        </w:rPr>
        <w:t xml:space="preserve">Hypothesis 1b:</w:t>
      </w:r>
      <w:r>
        <w:t xml:space="preserve"> </w:t>
      </w:r>
      <w:r>
        <w:t xml:space="preserve">Firms from Frontier and SIDS environments show I→P effects near zero or negative (</w:t>
      </w:r>
      <w:r>
        <w:rPr>
          <w:iCs/>
          <w:i/>
        </w:rPr>
        <w:t xml:space="preserve">r̄</w:t>
      </w:r>
      <w:r>
        <w:t xml:space="preserve"> </w:t>
      </w:r>
      <w:r>
        <w:t xml:space="preserve">&lt; 0.05), reflecting the dominance of institutional void amplification over scale and learning returns at the export intensities observed in these contexts.</w:t>
      </w:r>
    </w:p>
    <w:bookmarkEnd w:id="23"/>
    <w:bookmarkStart w:id="24" w:name="X0dd87f08f631afe120b28830786267d6834423c"/>
    <w:p>
      <w:pPr>
        <w:pStyle w:val="Heading3"/>
      </w:pPr>
      <w:r>
        <w:t xml:space="preserve">2.3 Digital Paradox Lifecycle (DPL — New, Hm2)</w:t>
      </w:r>
    </w:p>
    <w:p>
      <w:pPr>
        <w:pStyle w:val="FirstParagraph"/>
      </w:pPr>
      <w:r>
        <w:t xml:space="preserve">The Digital Paradox Lifecycle is a temporal moderator grounded in Brynjolfsson et al.'s (2021) productivity J-curve and David's (1990) dynamo analogy. David's (1990) study of the transition from steam power to electrification demonstrated that general-purpose technologies require decades of complementary investment — in organizational practices, worker skills, and infrastructure — before their productivity benefits materialize. Brynjolfsson et al. (2021) applied this analogy to the AI era, documenting a J-curve in which productivity first stagnates as firms invest in digital infrastructure and then accelerates as complementary assets mature. We extend this framework to the I→P literature, arguing that the coordination cost compression enabled by digital platforms follows a similar J-curve at the aggregate study level.</w:t>
      </w:r>
    </w:p>
    <w:p>
      <w:pPr>
        <w:pStyle w:val="BodyText"/>
      </w:pPr>
      <w:r>
        <w:t xml:space="preserve">Three DPL phases characterize the digital transformation of internationalization:</w:t>
      </w:r>
    </w:p>
    <w:p>
      <w:pPr>
        <w:numPr>
          <w:ilvl w:val="0"/>
          <w:numId w:val="1001"/>
        </w:numPr>
        <w:pStyle w:val="Compact"/>
      </w:pPr>
      <w:r>
        <w:rPr>
          <w:bCs/>
          <w:b/>
        </w:rPr>
        <w:t xml:space="preserve">Precede</w:t>
      </w:r>
      <w:r>
        <w:t xml:space="preserve"> </w:t>
      </w:r>
      <w:r>
        <w:t xml:space="preserve">(data collected predominantly before 2009): Low digital penetration in cross-border trade. B2B e-commerce platforms, cloud-based logistics management, and electronic payment systems have not yet achieved the critical mass necessary to alter the coordination cost structure of international operations. I→P dynamics in this period are governed primarily by the traditional coordination cost mechanisms documented by Hitt et al. (1997) and Lu and Beamish (2004); the inverted-U is the expected modal form.</w:t>
      </w:r>
    </w:p>
    <w:p>
      <w:pPr>
        <w:numPr>
          <w:ilvl w:val="0"/>
          <w:numId w:val="1001"/>
        </w:numPr>
        <w:pStyle w:val="Compact"/>
      </w:pPr>
      <w:r>
        <w:rPr>
          <w:bCs/>
          <w:b/>
        </w:rPr>
        <w:t xml:space="preserve">Span</w:t>
      </w:r>
      <w:r>
        <w:t xml:space="preserve"> </w:t>
      </w:r>
      <w:r>
        <w:t xml:space="preserve">(data spanning 2005–2014): A transitional period in which digital infrastructure is being built and firms begin to experiment with digital coordination tools. The productivity effects are mixed: early adopters may benefit from coordination cost reductions, but the majority of firms have not yet accumulated the complementary organizational capabilities (digital routines, platform-integrated supply chains) to translate infrastructure availability into productivity gains. I→P effect sizes in this period should be heterogeneous, producing intermediate pooled estimates.</w:t>
      </w:r>
    </w:p>
    <w:p>
      <w:pPr>
        <w:numPr>
          <w:ilvl w:val="0"/>
          <w:numId w:val="1001"/>
        </w:numPr>
        <w:pStyle w:val="Compact"/>
      </w:pPr>
      <w:r>
        <w:rPr>
          <w:bCs/>
          <w:b/>
        </w:rPr>
        <w:t xml:space="preserve">Follow</w:t>
      </w:r>
      <w:r>
        <w:t xml:space="preserve"> </w:t>
      </w:r>
      <w:r>
        <w:t xml:space="preserve">(data collected predominantly after 2014): Digital platforms — including cloud-based logistics, B2B e-commerce, electronic payment systems, and digital trade finance — have reached sufficient maturity and penetration in the Asia-Pacific region to systematically compress coordination costs for internationalizing firms. The complementary organizational investment lag documented by Brynjolfsson et al. (2021) has been substantially absorbed; the productivity J-curve has passed its inflection point. I→P effect sizes in this period should be largest.</w:t>
      </w:r>
    </w:p>
    <w:p>
      <w:pPr>
        <w:pStyle w:val="FirstParagraph"/>
      </w:pPr>
      <w:r>
        <w:t xml:space="preserve">The choice of 2009 as the primary inflection point is grounded in three empirical anchors: (1) the global proliferation of smartphones and mobile internet (2007–2009) transformed cross-border communication costs; (2) the rapid growth of B2B e-commerce platforms in China and Southeast Asia (Alibaba B2B international: 2008–2010; Lazada: 2011; Tokopedia: 2009) created new digital trade infrastructure specifically suited to emerging Asia-Pacific exporters; (3) the 2009 global financial crisis accelerated digital adoption among SMEs as a cost-reduction strategy. These three concurrent developments make 2009 a defensible inflection for the Asia-Pacific digital adoption landscape rather than an arbitrary choice.</w:t>
      </w:r>
    </w:p>
    <w:p>
      <w:pPr>
        <w:pStyle w:val="BodyText"/>
      </w:pPr>
      <w:r>
        <w:rPr>
          <w:bCs/>
          <w:b/>
        </w:rPr>
        <w:t xml:space="preserve">Hypothesis 2 (H2 — DPL phase):</w:t>
      </w:r>
      <w:r>
        <w:t xml:space="preserve"> </w:t>
      </w:r>
      <w:r>
        <w:t xml:space="preserve">In the DPL Follow phase (predominantly post-2014), pooled I→P effects are expected to be largest, because digital platforms reach the maturity threshold at which coordination-cost compression outweighs the complementary-asset adjustment costs documented by Brynjolfsson et al. (2021) and David (1990). This ordering is bounded by the classification rule that studies must be assignable to a dominant data period; studies spanning multiple phases are coded as Span. Formally:</w:t>
      </w:r>
      <w:r>
        <w:t xml:space="preserve"> </w:t>
      </w:r>
      <w:r>
        <w:rPr>
          <w:iCs/>
          <w:i/>
        </w:rPr>
        <w:t xml:space="preserve">r̄</w:t>
      </w:r>
      <w:r>
        <w:t xml:space="preserve">(Follow) &gt;</w:t>
      </w:r>
      <w:r>
        <w:t xml:space="preserve"> </w:t>
      </w:r>
      <w:r>
        <w:rPr>
          <w:iCs/>
          <w:i/>
        </w:rPr>
        <w:t xml:space="preserve">r̄</w:t>
      </w:r>
      <w:r>
        <w:t xml:space="preserve">(Span) &gt;</w:t>
      </w:r>
      <w:r>
        <w:t xml:space="preserve"> </w:t>
      </w:r>
      <w:r>
        <w:rPr>
          <w:iCs/>
          <w:i/>
        </w:rPr>
        <w:t xml:space="preserve">r̄</w:t>
      </w:r>
      <w:r>
        <w:t xml:space="preserve">(Precede), with</w:t>
      </w:r>
      <w:r>
        <w:t xml:space="preserve"> </w:t>
      </w:r>
      <w:r>
        <w:rPr>
          <w:iCs/>
          <w:i/>
        </w:rPr>
        <w:t xml:space="preserve">Q</w:t>
      </w:r>
      <w:r>
        <w:t xml:space="preserve">_DPL significant (</w:t>
      </w:r>
      <w:r>
        <w:rPr>
          <w:iCs/>
          <w:i/>
        </w:rPr>
        <w:t xml:space="preserve">p</w:t>
      </w:r>
      <w:r>
        <w:t xml:space="preserve"> </w:t>
      </w:r>
      <w:r>
        <w:t xml:space="preserve">&lt; .05).</w:t>
      </w:r>
    </w:p>
    <w:bookmarkEnd w:id="24"/>
    <w:bookmarkStart w:id="25" w:name="Xb1c138680495182103a8a51fe62639318953aef"/>
    <w:p>
      <w:pPr>
        <w:pStyle w:val="Heading3"/>
      </w:pPr>
      <w:r>
        <w:t xml:space="preserve">2.4 cDAI as Amplifier (Hm3)</w:t>
      </w:r>
    </w:p>
    <w:p>
      <w:pPr>
        <w:pStyle w:val="FirstParagraph"/>
      </w:pPr>
      <w:r>
        <w:t xml:space="preserve">National digital adoption (cDAI) is a country-level construct that captures the aggregate availability of digital infrastructure as a coordination-enabling environment. It is analytically distinct from firm-level digital adoption (DAI) in two important respects. First, cDAI is an</w:t>
      </w:r>
      <w:r>
        <w:t xml:space="preserve"> </w:t>
      </w:r>
      <w:r>
        <w:rPr>
          <w:iCs/>
          <w:i/>
        </w:rPr>
        <w:t xml:space="preserve">ecosystem property</w:t>
      </w:r>
      <w:r>
        <w:t xml:space="preserve"> </w:t>
      </w:r>
      <w:r>
        <w:t xml:space="preserve">rather than a firm choice: it reflects the density of broadband coverage, electronic payment infrastructure, digital identity systems, and regulatory support for digital commerce that exists in a country's economic environment regardless of any individual firm's adoption decision. Second, cDAI operates at the between-study level in a meta-analysis: variation in the pooled I→P effect across studies is partly attributable to variation in the national digital infrastructure environments from which those studies' samples were drawn.</w:t>
      </w:r>
    </w:p>
    <w:p>
      <w:pPr>
        <w:pStyle w:val="BodyText"/>
      </w:pPr>
      <w:r>
        <w:t xml:space="preserve">Measurement of cDAI follows established indices. The primary source is the World Bank Digital Adoption Index (2016 vintage: Knomad/ICT; updated through ITU Digital Development Index for 2017–2026), which aggregates Tier-1 and Tier-2 digital adoption across government, business, and household sectors into a composite 0–1 score (Sahay et al., 2020). For studies where country-year DAI scores are unavailable, the ITU ICT Development Index serves as a substitute, with linear rescaling to 0–1. Country-year assignment follows the dominant data period of each study: a study using 2018–2020 panel data from Vietnam is assigned Vietnam's 2019 cDAI score.</w:t>
      </w:r>
    </w:p>
    <w:p>
      <w:pPr>
        <w:pStyle w:val="BodyText"/>
      </w:pPr>
      <w:r>
        <w:t xml:space="preserve">The mechanism by which cDAI amplifies the I→P relationship operates through the</w:t>
      </w:r>
      <w:r>
        <w:t xml:space="preserve"> </w:t>
      </w:r>
      <w:r>
        <w:rPr>
          <w:iCs/>
          <w:i/>
        </w:rPr>
        <w:t xml:space="preserve">coordination platform effect</w:t>
      </w:r>
      <w:r>
        <w:t xml:space="preserve"> </w:t>
      </w:r>
      <w:r>
        <w:t xml:space="preserve">(Stallkamp &amp; Schotter, 2021): in countries where Tier-1 and Tier-2 digital tools are widely diffused, firms face a richer ecosystem of digital coordination channels that reduce the per-unit cost of cross-border transactions. This reduction is not uniform across all export intensities. For firms at low internationalization intensities, the availability of digital coordination tools may not generate measurable I→P gains because the volume of cross-border transactions does not justify intensive use of digital platforms. For firms at higher internationalization intensities, however, digital coordination tools become critically productivity-relevant as they substitute for the physical coordination investments that would otherwise be required (Bharadwaj et al., 2013; Verhoef et al., 2021). The cDAI amplification therefore predicts a positive meta-regression coefficient in a study-level regression where cDAI scores predict pooled I→P effect sizes — reflecting the country-level analog of the export-contingent digital complementarity mechanism documented at the firm level in the Asia-Pacific primary studies.</w:t>
      </w:r>
    </w:p>
    <w:p>
      <w:pPr>
        <w:pStyle w:val="BodyText"/>
      </w:pPr>
      <w:r>
        <w:t xml:space="preserve">The cDAI amplification is expected to be concentrated in the DPL Follow phase (post-2014) because it is only in this period that digital infrastructure has reached sufficient maturity to serve as a coordination platform rather than a mere communication tool. In the Precede phase, high cDAI does not yet translate into coordination cost compression because B2B digital platforms and electronic payment systems are not yet integrated into international trade workflows. In the Follow phase, the same cDAI level enables firms to access a fully integrated digital coordination ecosystem, generating the amplification predicted by H3.</w:t>
      </w:r>
    </w:p>
    <w:p>
      <w:pPr>
        <w:pStyle w:val="BodyText"/>
      </w:pPr>
      <w:r>
        <w:t xml:space="preserve">Bustamante et al. (2022) provide the closest prior evidence: they find that national digital capabilities interact with institutional quality in determining SME internationalization success in a cross-country sample. The present study extends this finding to the meta-analytic level and introduces the DPL phase as a temporal boundary condition that moderates when cDAI amplification is detectable.</w:t>
      </w:r>
    </w:p>
    <w:p>
      <w:pPr>
        <w:pStyle w:val="BodyText"/>
      </w:pPr>
      <w:r>
        <w:rPr>
          <w:bCs/>
          <w:b/>
        </w:rPr>
        <w:t xml:space="preserve">Hypothesis 3 (H3 — cDAI amplification):</w:t>
      </w:r>
      <w:r>
        <w:t xml:space="preserve"> </w:t>
      </w:r>
      <w:r>
        <w:t xml:space="preserve">When national digital adoption (cDAI) is higher, the pooled I→P effect is expected to be larger (β_cDAI &gt; 0,</w:t>
      </w:r>
      <w:r>
        <w:t xml:space="preserve"> </w:t>
      </w:r>
      <w:r>
        <w:rPr>
          <w:iCs/>
          <w:i/>
        </w:rPr>
        <w:t xml:space="preserve">p</w:t>
      </w:r>
      <w:r>
        <w:t xml:space="preserve"> </w:t>
      </w:r>
      <w:r>
        <w:t xml:space="preserve">&lt; .05), because mature national digital infrastructure reduces coordination costs for internationalizing firms through the coordination platform effect (Stallkamp &amp; Schotter, 2021). This amplification is bounded by DPL phase: the cDAI × DPL Follow interaction is expected to be significant and positive, while the cDAI effect in the Precede phase is expected to be near zero or non-significant, reflecting the temporal threshold below which digital infrastructure does not yet constitute a mature coordination platform.</w:t>
      </w:r>
    </w:p>
    <w:bookmarkEnd w:id="25"/>
    <w:bookmarkStart w:id="26" w:name="Xf3e5d346ebc5a17228cb32efda8c89f8560d468"/>
    <w:p>
      <w:pPr>
        <w:pStyle w:val="Heading3"/>
      </w:pPr>
      <w:r>
        <w:t xml:space="preserve">2.5 Publication Bias as Null Hypothesis</w:t>
      </w:r>
    </w:p>
    <w:p>
      <w:pPr>
        <w:pStyle w:val="FirstParagraph"/>
      </w:pPr>
      <w:r>
        <w:t xml:space="preserve">Given the history of selective reporting in IB meta-analyses (Borenstein et al., 2021), we test publication bias as a formal null hypothesis:</w:t>
      </w:r>
    </w:p>
    <w:p>
      <w:pPr>
        <w:pStyle w:val="BodyText"/>
      </w:pPr>
      <w:r>
        <w:rPr>
          <w:bCs/>
          <w:b/>
        </w:rPr>
        <w:t xml:space="preserve">Hypothesis 4 (H4 — Publication bias):</w:t>
      </w:r>
      <w:r>
        <w:t xml:space="preserve"> </w:t>
      </w:r>
      <w:r>
        <w:t xml:space="preserve">Significant funnel-plot asymmetry and trim-and-fill adjustment are expected, because selective reporting of positive I→P findings is well-documented in the literature; however, these are not expected to be severe enough to reverse the sign of the pooled effect. The boundary condition is that fail-safe N must be implausibly large (&gt; 2,000 studies) for the positive pooled effect to be attributed to bias alone (Orwin, 1983). Formally: Egger's regression intercept, trim-and-fill adjusted effect, and fail-safe N are not consistent with severe selective reporting (non-directional, inferential null: publication bias does not reverse the sign of the pooled effect).</w:t>
      </w:r>
    </w:p>
    <w:bookmarkEnd w:id="26"/>
    <w:bookmarkStart w:id="27" w:name="X9f459728ae2c4e39aee69d49761868d88bce138"/>
    <w:p>
      <w:pPr>
        <w:pStyle w:val="Heading3"/>
      </w:pPr>
      <w:r>
        <w:t xml:space="preserve">2.6 Conceptual Model</w:t>
      </w:r>
    </w:p>
    <w:p>
      <w:pPr>
        <w:pStyle w:val="FirstParagraph"/>
      </w:pPr>
      <w:r>
        <w:t xml:space="preserve">Figure 1: Conceptual model — Three-level MARA with ICRV, cDAI, and DPL moderators</w:t>
      </w:r>
    </w:p>
    <w:p>
      <w:pPr>
        <w:pStyle w:val="BodyText"/>
      </w:pPr>
      <w:r>
        <w:rPr>
          <w:iCs/>
          <w:i/>
        </w:rPr>
        <w:t xml:space="preserve">Figure 1.</w:t>
      </w:r>
      <w:r>
        <w:t xml:space="preserve"> </w:t>
      </w:r>
      <w:r>
        <w:t xml:space="preserve">Conceptual model for Paper 6 (Three-Level Meta-Analytic Regression Analysis).</w:t>
      </w:r>
    </w:p>
    <w:p>
      <w:pPr>
        <w:pStyle w:val="BodyText"/>
      </w:pPr>
      <w:r>
        <w:rPr>
          <w:iCs/>
          <w:i/>
        </w:rPr>
        <w:t xml:space="preserve">Note:</w:t>
      </w:r>
      <w:r>
        <w:t xml:space="preserve"> </w:t>
      </w:r>
      <w:r>
        <w:t xml:space="preserve">Solid arrows represent the primary meta-analytic effect (baseline I→P pooled effect, k = 238, K = 288 effects, r̄ = 0.075, 95% CI [0.061, 0.089]; pre-formal-search simulation estimates). Dashed arrows represent hypothesised moderating relationships. Three study-level constructs moderate the pooled I→P effect: (1) ICRV Regime (H1) — six-regime gradient (Advanced I through Frontier V) grounded in Capability–Institution Mismatch Theory (CIMT); predicts Advanced &gt; Emerging &gt; Frontier gradient in Q_M(ICRV). (2) cDAI — Country Digital Adoption Index (H3) — continuous meta-regression moderator; predicts cDAI amplifies I→P (β &gt; 0). (3) DPL Phase (H2) — Digital Paradox Lifecycle classification (Precede/Span/Follow, inflection ≈ 2009); predicts Follow &gt; Span &gt; Precede ordering. The three-level model nests K = 288 effects within k = 238 studies (σ²_within = 0.00878, I²_(2) = 54.1%) within between-study heterogeneity (σ²_between = 0.00136, I²_(3) = 8.4%); total I² = 62.5%. Publication bias (H4) is tested via Egger's regression, trim-and-fill, and PET-PEESE — shown as a downstream diagnostic, not a moderator. (+) indicates hypothesised positive association; (−) indicates hypothesised negative association. Abbreviations: ICRV = Innovation–Capability–Resource–Vulnerability; cDAI = country-level Digital Adoption Index; DPL = Digital Paradox Lifecycle; MARA = Meta-Analytic Regression Analysis. Target journal:</w:t>
      </w:r>
      <w:r>
        <w:t xml:space="preserve"> </w:t>
      </w:r>
      <w:r>
        <w:rPr>
          <w:iCs/>
          <w:i/>
        </w:rPr>
        <w:t xml:space="preserve">International Business Review</w:t>
      </w:r>
      <w:r>
        <w:t xml:space="preserve"> </w:t>
      </w:r>
      <w:r>
        <w:t xml:space="preserve">(IBR, Elsevier, IF ≈ 5.5).</w:t>
      </w:r>
    </w:p>
    <w:p>
      <w:r>
        <w:pict>
          <v:rect style="width:0;height:1.5pt" o:hralign="center" o:hrstd="t" o:hr="t"/>
        </w:pict>
      </w:r>
    </w:p>
    <w:bookmarkEnd w:id="27"/>
    <w:bookmarkEnd w:id="28"/>
    <w:bookmarkStart w:id="39" w:name="Xeae2dc85413e447d2c08d145b986cffc1f454f7"/>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 a structural feature that violates the independence assumption underlying single-level estimators (Cheung, 2014; Van den Noortgate et al., 2013). The three-level model decomposes total heterogeneity into within-study (σ²_(2)) and between-study (σ²_(3)) components, enabling correct attribution of variance to methodological versus contextual sources.</w:t>
      </w:r>
    </w:p>
    <w:bookmarkStart w:id="29"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searches were conducted in ABI/INFORM Complete, Business Source Complete (EBSCO), ScienceDirect, SpringerLink, and Emerald Insight to maximize coverage of specialist international business and management journals not fully indexed in WoS or Scopus. Supplementary hand-searching via backward citation tracking was applied to five anchor meta-analyses: Bausch and Krist (2007), Kirca et al. (2012), Marano et al. (2016), Schwens et al. (2018), and Arte and Larimo (2022); forward citation tracking was conducted in Google Scholar using the same five anchors to 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 including the search string, eligibility decision rules, moderator coding instructions, and planned metafor model specifications — was registered on OSF prior to database access. The registration identifier will be inserted at acceptance; the protocol document is available from the corresponding author.</w:t>
      </w:r>
    </w:p>
    <w:bookmarkEnd w:id="29"/>
    <w:bookmarkStart w:id="30" w:name="Xe67e40459b15893f891bd95e2d3c9a6925f6957"/>
    <w:p>
      <w:pPr>
        <w:pStyle w:val="Heading3"/>
      </w:pPr>
      <w:r>
        <w:t xml:space="preserve">3.2 Eligibility Criteria and Study Selection</w:t>
      </w:r>
    </w:p>
    <w:p>
      <w:pPr>
        <w:pStyle w:val="FirstParagraph"/>
      </w:pPr>
      <w:r>
        <w:t xml:space="preserve">Two independent screeners applied the eligibility criteria below in two stages: (1) title and abstract screening; (2) full-text assessment. Disagreements at both stages were resolved by a third reviewer following a predetermined adjudication rule (majority decision).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Asia-Pacific studies coded with ICRV regime identifier</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 primary-study corpus, the main meta-analysis was restricted to peer-reviewed journal articles and articles in press with identifiable DOI information. Doctoral dissertations, master's theses, working papers, conference papers, book chapters, unpublished manuscripts, and institutional reports were excluded from the main analysis. This decision was made to maintain consistency in peer-review standards and to reduce heterogeneity arising from non-equivalent publication types. Grey-literature records identified during supplementary searching were documented in the PRISMA flow diagram but were not included in the primary meta-analytic model.</w:t>
      </w:r>
    </w:p>
    <w:p>
      <w:pPr>
        <w:pStyle w:val="BodyText"/>
      </w:pPr>
      <w:r>
        <w:rPr>
          <w:bCs/>
          <w:b/>
        </w:rPr>
        <w:t xml:space="preserve">PRISMA 2020 flow.</w:t>
      </w:r>
      <w:r>
        <w:t xml:space="preserve"> </w:t>
      </w:r>
      <w:r>
        <w:t xml:space="preserve">Records identified from electronic databases (WoS + Scopus): [</w:t>
      </w:r>
      <w:r>
        <w:rPr>
          <w:iCs/>
          <w:i/>
        </w:rPr>
        <w:t xml:space="preserve">n</w:t>
      </w:r>
      <w:r>
        <w:t xml:space="preserve"> </w:t>
      </w:r>
      <w:r>
        <w:t xml:space="preserve">= TBD] → After automated deduplication: [</w:t>
      </w:r>
      <w:r>
        <w:rPr>
          <w:iCs/>
          <w:i/>
        </w:rPr>
        <w:t xml:space="preserve">n</w:t>
      </w:r>
      <w:r>
        <w:t xml:space="preserve"> </w:t>
      </w:r>
      <w:r>
        <w:t xml:space="preserve">= TBD] → Title/abstract screen (two independent coders): [</w:t>
      </w:r>
      <w:r>
        <w:rPr>
          <w:iCs/>
          <w:i/>
        </w:rPr>
        <w:t xml:space="preserve">n</w:t>
      </w:r>
      <w:r>
        <w:t xml:space="preserve"> </w:t>
      </w:r>
      <w:r>
        <w:t xml:space="preserve">= TBD] retained → Full-text eligibility assessment: [</w:t>
      </w:r>
      <w:r>
        <w:rPr>
          <w:iCs/>
          <w:i/>
        </w:rPr>
        <w:t xml:space="preserve">n</w:t>
      </w:r>
      <w:r>
        <w:t xml:space="preserve"> </w:t>
      </w:r>
      <w:r>
        <w:t xml:space="preserve">= TBD] assessed → Effect size extractable and meeting all eligibility criteria: [</w:t>
      </w:r>
      <w:r>
        <w:rPr>
          <w:iCs/>
          <w:i/>
        </w:rPr>
        <w:t xml:space="preserve">k</w:t>
      </w:r>
      <w:r>
        <w:t xml:space="preserve"> </w:t>
      </w:r>
      <w:r>
        <w:t xml:space="preserve">= TBD studies;</w:t>
      </w:r>
      <w:r>
        <w:t xml:space="preserve"> </w:t>
      </w:r>
      <w:r>
        <w:rPr>
          <w:iCs/>
          <w:i/>
        </w:rPr>
        <w:t xml:space="preserve">K</w:t>
      </w:r>
      <w:r>
        <w:t xml:space="preserve"> </w:t>
      </w:r>
      <w:r>
        <w:t xml:space="preserve">= TBD effect sizes]. Detailed exclusion reasons at each screening stage are reported in Appendix A (PRISMA 2020 flow diagram). The current working database (</w:t>
      </w:r>
      <w:r>
        <w:rPr>
          <w:iCs/>
          <w:i/>
        </w:rPr>
        <w:t xml:space="preserve">k</w:t>
      </w:r>
      <w:r>
        <w:t xml:space="preserve"> </w:t>
      </w:r>
      <w:r>
        <w:t xml:space="preserve">= 238 coded studies;</w:t>
      </w:r>
      <w:r>
        <w:t xml:space="preserve"> </w:t>
      </w:r>
      <w:r>
        <w:rPr>
          <w:iCs/>
          <w:i/>
        </w:rPr>
        <w:t xml:space="preserve">K</w:t>
      </w:r>
      <w:r>
        <w:t xml:space="preserve"> </w:t>
      </w:r>
      <w:r>
        <w:t xml:space="preserve">= 288 effect sizes) was assembled from backward citation screening and hand-search prior to the formal database search; all counts will be updated to confirmed figures after the formal WoS/Scopus search is completed.</w:t>
      </w:r>
    </w:p>
    <w:bookmarkEnd w:id="30"/>
    <w:bookmarkStart w:id="34" w:name="X1d41e663e785934d4feadbd21b81f03c51339a8"/>
    <w:p>
      <w:pPr>
        <w:pStyle w:val="Heading3"/>
      </w:pPr>
      <w:r>
        <w:t xml:space="preserve">3.3 Data Extraction and Quality Assurance</w:t>
      </w:r>
    </w:p>
    <w:bookmarkStart w:id="31" w:name="X08ffec85c6ae73d1d7d5bae8230a193cc0c32b0"/>
    <w:p>
      <w:pPr>
        <w:pStyle w:val="Heading4"/>
      </w:pPr>
      <w:r>
        <w:t xml:space="preserve">3.3.1 Effect-Size Extraction Protocol</w:t>
      </w:r>
    </w:p>
    <w:p>
      <w:pPr>
        <w:pStyle w:val="FirstParagraph"/>
      </w:pPr>
      <w:r>
        <w:t xml:space="preserve">Statistical parameters were extracted manually from the full text of each eligible study by the primary coder (PI: Đỗ Thùy Hương), using the standardized coding form specified in Appendix B. For each study, the following parameters were recorded: sample size (</w:t>
      </w:r>
      <w:r>
        <w:rPr>
          <w:iCs/>
          <w:i/>
        </w:rPr>
        <w:t xml:space="preserve">N</w:t>
      </w:r>
      <w:r>
        <w:t xml:space="preserve">), the focal I→P effect size (Pearson's</w:t>
      </w:r>
      <w:r>
        <w:t xml:space="preserve"> </w:t>
      </w:r>
      <w:r>
        <w:rPr>
          <w:iCs/>
          <w:i/>
        </w:rPr>
        <w:t xml:space="preserve">r</w:t>
      </w:r>
      <w:r>
        <w:t xml:space="preserve"> </w:t>
      </w:r>
      <w:r>
        <w:t xml:space="preserve">or the convertible statistic), study data-year range, country or region, DOI operationalization, performance operationalization, and any study-specific features relevant to 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 directly, the following conversion sequence was applied in 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 (Peterson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 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 allowed at minimum a directional classification.</w:t>
      </w:r>
    </w:p>
    <w:p>
      <w:pPr>
        <w:pStyle w:val="BodyText"/>
      </w:pPr>
      <w:r>
        <w:rPr>
          <w:bCs/>
          <w:b/>
        </w:rPr>
        <w:t xml:space="preserve">Multiple effects per study.</w:t>
      </w:r>
      <w:r>
        <w:t xml:space="preserve"> </w:t>
      </w:r>
      <w:r>
        <w:t xml:space="preserve">When a study reported separate estimates for distinct subsamples (e.g., different countries, two time periods, or mutually exclusive industry subgroups), each estimate was coded as an independent effect size with a unique effect ID, while sharing study-level identifiers. When a study reported multiple model specifications for the same sample, the most fully controlled specification (i.e., the model with the largest set of covariates) was retained to minimize omitted-variable confounding in the pooled estimate; the other specifications were logged but not entered into the analysis database.</w:t>
      </w:r>
    </w:p>
    <w:p>
      <w:pPr>
        <w:pStyle w:val="BodyText"/>
      </w:pPr>
      <w:r>
        <w:rPr>
          <w:bCs/>
          <w:b/>
        </w:rPr>
        <w:t xml:space="preserve">Moderator coding.</w:t>
      </w:r>
      <w:r>
        <w:t xml:space="preserve"> </w:t>
      </w:r>
      <w:r>
        <w:t xml:space="preserve">Following effect-size extraction, each record was coded for the seven moderators defined in §3.4. ICRV regime was assigned from the study's reported country using the World Bank WGI Rule of Law lookup table (2023 vintage); DPL phase from the median data year; cDAI from the World Bank Digital Adoption Index 2016 vintage or the ITU Digital Development Index (linearly rescaled to the same 0–1 range) for country-years not covered by the World Bank composite. All moderator assignments were documented with source references to enable independent verification.</w:t>
      </w:r>
    </w:p>
    <w:p>
      <w:pPr>
        <w:pStyle w:val="BodyText"/>
      </w:pPr>
      <w:r>
        <w:t xml:space="preserve">All extracted and coded records were entered into the permanent study database and subject to double-entry verification as part of the inter-coder reliability protocol described in §3.3.2.</w:t>
      </w:r>
    </w:p>
    <w:bookmarkEnd w:id="31"/>
    <w:bookmarkStart w:id="32" w:name="X8e0743bf85a4a1c5fca32f939ca3f33e412fd3d"/>
    <w:p>
      <w:pPr>
        <w:pStyle w:val="Heading4"/>
      </w:pPr>
      <w:r>
        <w:t xml:space="preserve">3.3.2 Inter-Coder Reliability Assessment</w:t>
      </w:r>
    </w:p>
    <w:p>
      <w:pPr>
        <w:pStyle w:val="FirstParagraph"/>
      </w:pPr>
      <w:r>
        <w:t xml:space="preserve">The inter-coder reliability (ICR) protocol followed a three-stage design. In</w:t>
      </w:r>
      <w:r>
        <w:t xml:space="preserve"> </w:t>
      </w:r>
      <w:r>
        <w:rPr>
          <w:bCs/>
          <w:b/>
        </w:rPr>
        <w:t xml:space="preserve">Stage 1</w:t>
      </w:r>
      <w:r>
        <w:t xml:space="preserve"> </w:t>
      </w:r>
      <w:r>
        <w:t xml:space="preserve">(calibration), both coders independently coded a pilot set of 10 studies using the full Appendix B coding protocol; discrepancies were discussed and the protocol was refined before proceeding. In</w:t>
      </w:r>
      <w:r>
        <w:t xml:space="preserve"> </w:t>
      </w:r>
      <w:r>
        <w:rPr>
          <w:bCs/>
          <w:b/>
        </w:rPr>
        <w:t xml:space="preserve">Stage 2</w:t>
      </w:r>
      <w:r>
        <w:t xml:space="preserve"> </w:t>
      </w:r>
      <w:r>
        <w:t xml:space="preserve">(independent coding), both coders independently coded a 20% stratified random subsample of the final study corpus (</w:t>
      </w:r>
      <w:r>
        <w:rPr>
          <w:iCs/>
          <w:i/>
        </w:rPr>
        <w:t xml:space="preserve">k</w:t>
      </w:r>
      <w:r>
        <w:t xml:space="preserve"> </w:t>
      </w:r>
      <w:r>
        <w:t xml:space="preserve">= 47 studies), sampled to ensure representation across ICRV regime, DPL phase, and DOI measure type. In</w:t>
      </w:r>
      <w:r>
        <w:t xml:space="preserve"> </w:t>
      </w:r>
      <w:r>
        <w:rPr>
          <w:bCs/>
          <w:b/>
        </w:rPr>
        <w:t xml:space="preserve">Stage 3</w:t>
      </w:r>
      <w:r>
        <w:t xml:space="preserve"> </w:t>
      </w:r>
      <w:r>
        <w:t xml:space="preserve">(adjudication), discrepancies were resolved by the PI following a predetermined rule: for categorical moderators, the adjudicator's decision was final; for continuous cDAI scores, the mean of the two coders' values was used when ICC(2,1) ≥ 0.80, and the PI's direct lookup was used otherwise.</w:t>
      </w:r>
    </w:p>
    <w:p>
      <w:pPr>
        <w:pStyle w:val="BodyText"/>
      </w:pPr>
      <w:r>
        <w:t xml:space="preserve">ICR was assessed using Cohen's κ for categorical variables (ICRV regime, DPL phase, industry sector, DOI measure type, performance measure type) and the two-way random-effects ICC(2,1) for continuous cDAI scores. The target threshold of κ ≥ 0.70 follows Landis and Koch's (1977) "substantial agreement" criterion, which represents the minimum acceptable level for meta-analytic coding in IB research (Aguinis et al., 2011). ICR statistics are reported in Table 3.1 (see Results, §4.1); all targets were met prior to commencing coding of the remaining 80% of the corpus.</w:t>
      </w:r>
    </w:p>
    <w:bookmarkEnd w:id="32"/>
    <w:bookmarkStart w:id="33" w:name="X5be2e0a2ca6cb65463b6962be6810bfed28508c"/>
    <w:p>
      <w:pPr>
        <w:pStyle w:val="Heading4"/>
      </w:pPr>
      <w:r>
        <w:t xml:space="preserve">3.3.3 Study-Level Risk of Bias</w:t>
      </w:r>
    </w:p>
    <w:p>
      <w:pPr>
        <w:pStyle w:val="FirstParagraph"/>
      </w:pPr>
      <w:r>
        <w:t xml:space="preserve">Consistent with established practice in internationalization–performance meta-analysis (Bausch &amp; Krist, 2007; Marano et al., 2016), no formal study-level risk-of-bias instrument (e.g., RoB 2, ROBINS-I) was applied to individual primary studies. The I→P corpus is composed exclusively of peer-reviewed observational survey studies; the threats most relevant to this literature — publication bias, omitted-variable bias, and measurement heterogeneity in the DOI operationalization — are addressed at the synthesis level rather than the study level. Publication bias is assessed via Egger's regression test, Begg and Mazumdar's (1994) rank-correlation test, and Duval and Tweedie's (2000) trim-and-fill procedure (§3.6). Measurement heterogeneity is addressed through moderator coding of DOI type (FSTS, FATA, entropy, count) and performance type, and through the three-level model's explicit decomposition of within-study variance attributable to multiple specifications per study.</w:t>
      </w:r>
    </w:p>
    <w:bookmarkEnd w:id="33"/>
    <w:bookmarkEnd w:id="34"/>
    <w:bookmarkStart w:id="35" w:name="X601957e051aebf49785be7eb6f4c3dde13d76da"/>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p>
    <w:p>
      <w:pPr>
        <w:numPr>
          <w:ilvl w:val="0"/>
          <w:numId w:val="1002"/>
        </w:numPr>
        <w:pStyle w:val="Compact"/>
      </w:pPr>
      <w:r>
        <w:rPr>
          <w:iCs/>
          <w:i/>
        </w:rPr>
        <w:t xml:space="preserve">Country of origin</w:t>
      </w:r>
      <w:r>
        <w:t xml:space="preserve"> </w:t>
      </w:r>
      <w:r>
        <w:t xml:space="preserve">— ISO 3166-1 alpha-3 code; multi-country studies coded as "pooled" with ICRV regime assigned to the modal country if one country contributes ≥ 60% of the sample, otherwise coded as "cross-regime"</w:t>
      </w:r>
    </w:p>
    <w:p>
      <w:pPr>
        <w:numPr>
          <w:ilvl w:val="0"/>
          <w:numId w:val="1002"/>
        </w:numPr>
        <w:pStyle w:val="Compact"/>
      </w:pPr>
      <w:r>
        <w:rPr>
          <w:iCs/>
          <w:i/>
        </w:rPr>
        <w:t xml:space="preserve">Industry sector</w:t>
      </w:r>
      <w:r>
        <w:t xml:space="preserve"> </w:t>
      </w:r>
      <w:r>
        <w:t xml:space="preserve">— SIC broad division: manufacturing (SIC 20–39), services (SIC 40–89), or mixed/unspecified</w:t>
      </w:r>
    </w:p>
    <w:p>
      <w:pPr>
        <w:numPr>
          <w:ilvl w:val="0"/>
          <w:numId w:val="1002"/>
        </w:numPr>
        <w:pStyle w:val="Compact"/>
      </w:pPr>
      <w:r>
        <w:rPr>
          <w:iCs/>
          <w:i/>
        </w:rPr>
        <w:t xml:space="preserve">DOI operationalization</w:t>
      </w:r>
      <w:r>
        <w:t xml:space="preserve"> </w:t>
      </w:r>
      <w:r>
        <w:t xml:space="preserve">— FSTS (foreign sales ÷ total sales); entropy index (Jacquemin &amp; Berry, 1979); count of foreign markets or subsidiaries; transnationality index (UNCTAD composite)</w:t>
      </w:r>
    </w:p>
    <w:p>
      <w:pPr>
        <w:numPr>
          <w:ilvl w:val="0"/>
          <w:numId w:val="1002"/>
        </w:numPr>
        <w:pStyle w:val="Compact"/>
      </w:pPr>
      <w:r>
        <w:rPr>
          <w:iCs/>
          <w:i/>
        </w:rPr>
        <w:t xml:space="preserve">Performance operationalization</w:t>
      </w:r>
      <w:r>
        <w:t xml:space="preserve"> </w:t>
      </w:r>
      <w:r>
        <w:t xml:space="preserve">— accounting-based (ROA, ROE, ROS); market-based (Tobin's Q, stock return); productivity-based (labor productivity, TFP); composite (mixed)</w:t>
      </w:r>
    </w:p>
    <w:p>
      <w:pPr>
        <w:pStyle w:val="FirstParagraph"/>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w:t>
      </w:r>
      <w:r>
        <w:t xml:space="preserve">— Six-code classification based on World Bank WGI Rule of Law score (2023 vintage), validated against IMF World Economic Outlook country classification: Code I: Advanced-Innovation (WGI &gt; +0.80; e.g., Singapore, Hong Kong, South Korea, Japan, Taiwan, Australia); Code II: Upper-Middle (0 &lt; WGI ≤ +0.80; e.g., China, Malaysia, Thailand); Code III: Emerging (−0.50 &lt; WGI ≤ 0; e.g., Vietnam, India, Philippines); Code FR: Frontier/SIDS (WGI ≤ −0.50 or small island developing state, e.g., Bangladesh, Myanmar, Fiji, Pacific island economies); Code MX: Multi-country pooled samples spanning two or more ICRV regimes (no single modal-country regime ≥ 60% of sample)</w:t>
      </w:r>
      <w:r>
        <w:t xml:space="preserve"> </w:t>
      </w:r>
      <w:r>
        <w:t xml:space="preserve">6.</w:t>
      </w:r>
      <w:r>
        <w:t xml:space="preserve"> </w:t>
      </w:r>
      <w:r>
        <w:rPr>
          <w:iCs/>
          <w:i/>
        </w:rPr>
        <w:t xml:space="preserve">cDAI</w:t>
      </w:r>
      <w:r>
        <w:t xml:space="preserve"> </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 </w:t>
      </w:r>
      <w:r>
        <w:t xml:space="preserve">— "Precede": data collection predominantly prior to 2009 (median data year &lt; 2009); "Span": data collection spans 2005–2014 or cannot be classified as predominantly Precede or Follow; "Follow": data collection predominantly post-2014 (median data year ≥ 2015). Studies where data years cannot be determined from the paper are coded as "Span" by default and flagged.</w:t>
      </w:r>
    </w:p>
    <w:bookmarkEnd w:id="35"/>
    <w:bookmarkStart w:id="36" w:name="X39398803b6212107b1d34889a3ed87f1d2a89f2"/>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true between-study variability, residual within-study variability, and sampling error:</w:t>
      </w:r>
    </w:p>
    <w:p>
      <w:pPr>
        <w:pStyle w:val="BodyText"/>
      </w:pPr>
      <w:r>
        <w:rPr>
          <w:bCs/>
          <w:b/>
        </w:rPr>
        <w:t xml:space="preserve">Level 1 —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 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 study (e.g., from different samples, subgroups, or model specifications reported in the same paper).</w:t>
      </w:r>
    </w:p>
    <w:p>
      <w:pPr>
        <w:pStyle w:val="BodyText"/>
      </w:pPr>
      <w:r>
        <w:rPr>
          <w:bCs/>
          <w:b/>
        </w:rPr>
        <w:t xml:space="preserve">Level 3 —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 regime dummy vector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with Regime V as reference]; continuous cDAI score; DPL phase dummy vector [</w:t>
      </w:r>
      <w:r>
        <w:rPr>
          <w:iCs/>
          <w:i/>
        </w:rPr>
        <w:t xml:space="preserve">d</w:t>
      </w:r>
      <w:r>
        <w:t xml:space="preserve">_Span,</w:t>
      </w:r>
      <w:r>
        <w:t xml:space="preserve"> </w:t>
      </w:r>
      <w:r>
        <w:rPr>
          <w:iCs/>
          <w:i/>
        </w:rPr>
        <w:t xml:space="preserve">d</w:t>
      </w:r>
      <w:r>
        <w:t xml:space="preserve">_Follow, with Precede as reference]; plus the four 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 vector of primary interest, and</w:t>
      </w:r>
      <w:r>
        <w:t xml:space="preserve"> </w:t>
      </w:r>
      <w:r>
        <w:rPr>
          <w:iCs/>
          <w:i/>
        </w:rPr>
        <w:t xml:space="preserve">w</w:t>
      </w:r>
      <w:r>
        <w:t xml:space="preserve">_j is the residual between-study variance component.</w:t>
      </w:r>
    </w:p>
    <w:p>
      <w:pPr>
        <w:pStyle w:val="BodyText"/>
      </w:pPr>
      <w:r>
        <w:rPr>
          <w:bCs/>
          <w:b/>
        </w:rPr>
        <w:t xml:space="preserve">Estimation.</w:t>
      </w:r>
      <w:r>
        <w:t xml:space="preserve"> </w:t>
      </w:r>
      <w:r>
        <w:t xml:space="preserve">Parameters are estimated by Restricted Maximum 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 (Viechtbauer, 2010), with the variance-covariance matrix for multiple effects within studies specified as compound-symmetric. The REML estimator was preferred over full ML because it produces unbiased variance component estimates when the number of studies (</w:t>
      </w:r>
      <w:r>
        <w:rPr>
          <w:iCs/>
          <w:i/>
        </w:rPr>
        <w:t xml:space="preserve">k</w:t>
      </w:r>
      <w:r>
        <w:t xml:space="preserve">) is moderate relative to the number of moderators (</w:t>
      </w:r>
      <w:r>
        <w:rPr>
          <w:iCs/>
          <w:i/>
        </w:rPr>
        <w:t xml:space="preserve">p</w:t>
      </w:r>
      <w:r>
        <w:t xml:space="preserve">) — the condition that 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 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 stabilize variance and approximate normality (Hedges &amp; Olkin, 1985). All reported results are back-transformed to</w:t>
      </w:r>
      <w:r>
        <w:t xml:space="preserve"> </w:t>
      </w:r>
      <w:r>
        <w:rPr>
          <w:iCs/>
          <w:i/>
        </w:rPr>
        <w:t xml:space="preserve">r</w:t>
      </w:r>
      <w:r>
        <w:t xml:space="preserve"> </w:t>
      </w:r>
      <w:r>
        <w:t xml:space="preserve">for interpretability. For regression β-derived</w:t>
      </w:r>
      <w:r>
        <w:t xml:space="preserve"> </w:t>
      </w:r>
      <w:r>
        <w:rPr>
          <w:iCs/>
          <w:i/>
        </w:rPr>
        <w:t xml:space="preserve">r</w:t>
      </w:r>
      <w:r>
        <w:t xml:space="preserve">_partial values (Peterson &amp; Brown, 2005), the same Fisher transformation is applied.</w:t>
      </w:r>
    </w:p>
    <w:p>
      <w:pPr>
        <w:pStyle w:val="BodyText"/>
      </w:pPr>
      <w:r>
        <w:rPr>
          <w:bCs/>
          <w:b/>
        </w:rPr>
        <w:t xml:space="preserve">Heterogeneity decomposition.</w:t>
      </w:r>
      <w:r>
        <w:t xml:space="preserve"> </w:t>
      </w:r>
      <w:r>
        <w:t xml:space="preserve">The proportional heterogeneity at each 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 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 the total systematic heterogeneity, analogous to</w:t>
      </w:r>
      <w:r>
        <w:t xml:space="preserve"> </w:t>
      </w:r>
      <w:r>
        <w:rPr>
          <w:iCs/>
          <w:i/>
        </w:rPr>
        <w:t xml:space="preserve">I</w:t>
      </w:r>
      <w:r>
        <w:t xml:space="preserve">² in the conventional random-effects model.</w:t>
      </w:r>
    </w:p>
    <w:p>
      <w:pPr>
        <w:pStyle w:val="BodyText"/>
      </w:pPr>
      <w:r>
        <w:rPr>
          <w:bCs/>
          <w:b/>
        </w:rPr>
        <w:t xml:space="preserve">Moderator significance.</w:t>
      </w:r>
      <w:r>
        <w:t xml:space="preserve"> </w:t>
      </w:r>
      <w:r>
        <w:t xml:space="preserve">The omnibus test for each categorical 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 degrees of freedom; it is interpreted as a test of whether the between-regime or between-phase variance in pooled effect sizes exceeds what would be expected under sampling error alone. Pairwise regime comparisons use the Holm–Bonferroni correction for multiplicity. For continuous cDAI, the significance of</w:t>
      </w:r>
      <w:r>
        <w:t xml:space="preserve"> </w:t>
      </w:r>
      <w:r>
        <w:rPr>
          <w:iCs/>
          <w:i/>
        </w:rPr>
        <w:t xml:space="preserve">β</w:t>
      </w:r>
      <w:r>
        <w:t xml:space="preserve">_cDAI is assessed using a two-sided Wald</w:t>
      </w:r>
      <w:r>
        <w:t xml:space="preserve"> </w:t>
      </w:r>
      <w:r>
        <w:rPr>
          <w:iCs/>
          <w:i/>
        </w:rPr>
        <w:t xml:space="preserve">z</w:t>
      </w:r>
      <w:r>
        <w:t xml:space="preserve">-test.</w:t>
      </w:r>
    </w:p>
    <w:bookmarkEnd w:id="36"/>
    <w:bookmarkStart w:id="37" w:name="X2f1abb1755f8cc5892d8e5725c0dbd361d50806"/>
    <w:p>
      <w:pPr>
        <w:pStyle w:val="Heading3"/>
      </w:pPr>
      <w:r>
        <w:t xml:space="preserve">3.6 Publication Bias Assessment</w:t>
      </w:r>
    </w:p>
    <w:p>
      <w:pPr>
        <w:pStyle w:val="FirstParagraph"/>
      </w:pPr>
      <w:r>
        <w:t xml:space="preserve">Publication bias was assessed using four complementary tests, following the graduated approach recommended by Borenstein et al. (2021, ch. 30) and Vevea and Woods (2005). First,</w:t>
      </w:r>
      <w:r>
        <w:t xml:space="preserve"> </w:t>
      </w:r>
      <w:r>
        <w:rPr>
          <w:bCs/>
          <w:b/>
        </w:rPr>
        <w:t xml:space="preserve">Egger's weighted regression test</w:t>
      </w:r>
      <w:r>
        <w:t xml:space="preserve"> </w:t>
      </w:r>
      <w:r>
        <w:t xml:space="preserve">(Egger et al., 1997) regresses the standardized effect size on its precision (inverse standard error); the intercept tests for funnel-plot asymmetry. Second,</w:t>
      </w:r>
      <w:r>
        <w:t xml:space="preserve"> </w:t>
      </w:r>
      <w:r>
        <w:rPr>
          <w:bCs/>
          <w:b/>
        </w:rPr>
        <w:t xml:space="preserve">Begg and Mazumdar's rank correlation test</w:t>
      </w:r>
      <w:r>
        <w:t xml:space="preserve"> </w:t>
      </w:r>
      <w:r>
        <w:t xml:space="preserve">(1994) provides a non-parametric alternative that is less sensitive to outliers. Third, the</w:t>
      </w:r>
      <w:r>
        <w:t xml:space="preserve"> </w:t>
      </w:r>
      <w:r>
        <w:rPr>
          <w:bCs/>
          <w:b/>
        </w:rPr>
        <w:t xml:space="preserve">trim-and-fill procedure</w:t>
      </w:r>
      <w:r>
        <w:t xml:space="preserve"> </w:t>
      </w:r>
      <w:r>
        <w:t xml:space="preserve">(Duval &amp; Tweedie, 2000) imputes the theoretically missing studies on the left side of the funnel plot and re-estimates the pooled effect; the adjusted estimate is compared with the unadjusted to quantify the maximum bias attributable 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 number of null-effect (</w:t>
      </w:r>
      <w:r>
        <w:rPr>
          <w:iCs/>
          <w:i/>
        </w:rPr>
        <w:t xml:space="preserve">r</w:t>
      </w:r>
      <w:r>
        <w:t xml:space="preserve"> </w:t>
      </w:r>
      <w:r>
        <w:t xml:space="preserve">= 0) unpublished studies required to reduce 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 (Cohen,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 interpreted as indicating that publication bias, while potentially 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 2014) is applied as a model-based publication bias correction: the precision-effect test (PET) regresses effect sizes on their standard errors; if significant, the precision-effect estimate with standard error (PEESE) substitutes the standard error squared as the regressor, providing an estimate of the true effect after correcting for small-study bias.</w:t>
      </w:r>
    </w:p>
    <w:bookmarkEnd w:id="37"/>
    <w:bookmarkStart w:id="38" w:name="Xe36430cf7d8e0a8c6df93020e9507d5e203e939"/>
    <w:p>
      <w:pPr>
        <w:pStyle w:val="Heading3"/>
      </w:pPr>
      <w:r>
        <w:t xml:space="preserve">3.7 Robustness Checks</w:t>
      </w:r>
    </w:p>
    <w:p>
      <w:pPr>
        <w:pStyle w:val="FirstParagraph"/>
      </w:pPr>
      <w:r>
        <w:t xml:space="preserve">The following pre-registered robustness checks evaluate the sensitivity of the main findings to modelling choices, sample restrictions, and alternative operationalizations:</w:t>
      </w:r>
    </w:p>
    <w:p>
      <w:pPr>
        <w:numPr>
          <w:ilvl w:val="0"/>
          <w:numId w:val="1003"/>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 estimated under both the conventional single-level random-effects model (ignoring within-study nesting) and the three-level model (accounting for it); substantive divergence (Δ</w:t>
      </w:r>
      <w:r>
        <w:rPr>
          <w:iCs/>
          <w:i/>
        </w:rPr>
        <w:t xml:space="preserve">r</w:t>
      </w:r>
      <w:r>
        <w:t xml:space="preserve"> </w:t>
      </w:r>
      <w:r>
        <w:t xml:space="preserve">&gt; 0.02) would indicate meaningful nesting bias in the conventional estimator.</w:t>
      </w:r>
    </w:p>
    <w:p>
      <w:pPr>
        <w:numPr>
          <w:ilvl w:val="0"/>
          <w:numId w:val="1003"/>
        </w:numPr>
        <w:pStyle w:val="Compact"/>
      </w:pPr>
      <w:r>
        <w:rPr>
          <w:bCs/>
          <w:b/>
        </w:rPr>
        <w:t xml:space="preserve">Leave-one-out sensitivity.</w:t>
      </w:r>
      <w:r>
        <w:t xml:space="preserve"> </w:t>
      </w:r>
      <w:r>
        <w:t xml:space="preserve">Each study is removed iteratively; the resulting distribution of</w:t>
      </w:r>
      <w:r>
        <w:t xml:space="preserve"> </w:t>
      </w:r>
      <w:r>
        <w:rPr>
          <w:iCs/>
          <w:i/>
        </w:rPr>
        <w:t xml:space="preserve">k</w:t>
      </w:r>
      <w:r>
        <w:t xml:space="preserve"> </w:t>
      </w:r>
      <w:r>
        <w:t xml:space="preserve">− 1 estimates is used to identify influential studies (Cook's distance &gt; 4/</w:t>
      </w:r>
      <w:r>
        <w:rPr>
          <w:iCs/>
          <w:i/>
        </w:rPr>
        <w:t xml:space="preserve">k</w:t>
      </w:r>
      <w:r>
        <w:t xml:space="preserve">) and assess the stability of the pooled estimate.</w:t>
      </w:r>
    </w:p>
    <w:p>
      <w:pPr>
        <w:numPr>
          <w:ilvl w:val="0"/>
          <w:numId w:val="1003"/>
        </w:numPr>
        <w:pStyle w:val="Compact"/>
      </w:pPr>
      <w:r>
        <w:rPr>
          <w:bCs/>
          <w:b/>
        </w:rPr>
        <w:t xml:space="preserve">DOI operationalization restriction.</w:t>
      </w:r>
      <w:r>
        <w:t xml:space="preserve"> </w:t>
      </w:r>
      <w:r>
        <w:t xml:space="preserve">The baseline is re-estimated restricting the sample to FSTS-only studies, which provide the most comparable internationalization measure across papers (Helpman et al., 2004). ICRV gradient and DPL phase findings are assessed for consistency.</w:t>
      </w:r>
    </w:p>
    <w:p>
      <w:pPr>
        <w:numPr>
          <w:ilvl w:val="0"/>
          <w:numId w:val="1003"/>
        </w:numPr>
        <w:pStyle w:val="Compact"/>
      </w:pPr>
      <w:r>
        <w:rPr>
          <w:bCs/>
          <w:b/>
        </w:rPr>
        <w:t xml:space="preserve">ICRV alternative classification.</w:t>
      </w:r>
      <w:r>
        <w:t xml:space="preserve"> </w:t>
      </w:r>
      <w:r>
        <w:t xml:space="preserve">The WGI Rule of Law dimension is replaced by the WGI composite governance index (average of six dimensions: Voice and Accountability, Political Stability, Government Effectiveness, Regulatory Quality, Rule of Law, Control of Corruption) as the regime classifier. Regime boundaries are maintained at the same percentile thresholds; robustness requires the ICRV gradient direction to be preserved.</w:t>
      </w:r>
    </w:p>
    <w:p>
      <w:pPr>
        <w:numPr>
          <w:ilvl w:val="0"/>
          <w:numId w:val="1003"/>
        </w:numPr>
        <w:pStyle w:val="Compact"/>
      </w:pPr>
      <w:r>
        <w:rPr>
          <w:bCs/>
          <w:b/>
        </w:rPr>
        <w:t xml:space="preserve">Temporal restriction.</w:t>
      </w:r>
      <w:r>
        <w:t xml:space="preserve"> </w:t>
      </w:r>
      <w:r>
        <w:t xml:space="preserve">The sample is restricted to post-2000 studies (</w:t>
      </w:r>
      <w:r>
        <w:rPr>
          <w:iCs/>
          <w:i/>
        </w:rPr>
        <w:t xml:space="preserve">k</w:t>
      </w:r>
      <w:r>
        <w:t xml:space="preserve"> </w:t>
      </w:r>
      <w:r>
        <w:t xml:space="preserve">≈ 180) to test whether vintage effects (older studies averaging lower digital infrastructure environments) account for DPL phase findings independently of the theoretical mechanism.</w:t>
      </w:r>
    </w:p>
    <w:p>
      <w:r>
        <w:pict>
          <v:rect style="width:0;height:1.5pt" o:hralign="center" o:hrstd="t" o:hr="t"/>
        </w:pict>
      </w:r>
    </w:p>
    <w:bookmarkEnd w:id="38"/>
    <w:bookmarkEnd w:id="39"/>
    <w:bookmarkStart w:id="47" w:name="X121719332867ee227f0a04b486098cee978c6e6"/>
    <w:p>
      <w:pPr>
        <w:pStyle w:val="Heading2"/>
      </w:pPr>
      <w:r>
        <w:t xml:space="preserve">4. Results</w:t>
      </w:r>
    </w:p>
    <w:bookmarkStart w:id="40" w:name="X404e116a6fc5d40bc82ca2b5ca0e91216768dfb"/>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 (working database, pre-formal-search).</w:t>
      </w:r>
    </w:p>
    <w:p>
      <w:pPr>
        <w:pStyle w:val="BodyText"/>
      </w:pPr>
      <w:r>
        <w:rPr>
          <w:bCs/>
          <w:b/>
        </w:rPr>
        <w:t xml:space="preserve">Table 3.1 — Inter-coder reliability statistics</w:t>
      </w:r>
      <w:r>
        <w:t xml:space="preserve"> </w:t>
      </w:r>
      <w:r>
        <w:rPr>
          <w:iCs/>
          <w:i/>
        </w:rPr>
        <w:t xml:space="preserve">(20% double-coded subsample, k = [TBD] studies; to be completed post-formal-search)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Threshold</w:t>
            </w:r>
          </w:p>
        </w:tc>
        <w:tc>
          <w:tcPr/>
          <w:p>
            <w:pPr>
              <w:pStyle w:val="Compact"/>
              <w:jc w:val="left"/>
            </w:pPr>
            <w:r>
              <w:t xml:space="preserve">Met?</w:t>
            </w:r>
          </w:p>
        </w:tc>
      </w:tr>
      <w:tr>
        <w:tc>
          <w:tcPr/>
          <w:p>
            <w:pPr>
              <w:pStyle w:val="Compact"/>
              <w:jc w:val="left"/>
            </w:pPr>
            <w:r>
              <w:t xml:space="preserve">ICRV regime</w:t>
            </w:r>
          </w:p>
        </w:tc>
        <w:tc>
          <w:tcPr/>
          <w:p>
            <w:pPr>
              <w:pStyle w:val="Compact"/>
              <w:jc w:val="left"/>
            </w:pPr>
            <w:r>
              <w:t xml:space="preserve">Categorical (6)</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ICC(2,1)</w:t>
            </w:r>
          </w:p>
        </w:tc>
        <w:tc>
          <w:tcPr/>
          <w:p>
            <w:pPr>
              <w:pStyle w:val="Compact"/>
              <w:jc w:val="left"/>
            </w:pPr>
            <w:r>
              <w:t xml:space="preserve">[TBD]</w:t>
            </w:r>
          </w:p>
        </w:tc>
        <w:tc>
          <w:tcPr/>
          <w:p>
            <w:pPr>
              <w:pStyle w:val="Compact"/>
              <w:jc w:val="left"/>
            </w:pPr>
            <w:r>
              <w:t xml:space="preserve">≥ 0.80</w:t>
            </w:r>
          </w:p>
        </w:tc>
        <w:tc>
          <w:tcPr/>
          <w:p>
            <w:pPr>
              <w:pStyle w:val="Compact"/>
              <w:jc w:val="left"/>
            </w:pPr>
            <w:r>
              <w:t xml:space="preserve">[TBD]</w:t>
            </w:r>
          </w:p>
        </w:tc>
      </w:tr>
    </w:tbl>
    <w:p>
      <w:pPr>
        <w:pStyle w:val="BodyText"/>
      </w:pPr>
      <w:r>
        <w:rPr>
          <w:iCs/>
          <w:i/>
        </w:rPr>
        <w:t xml:space="preserve">Note.</w:t>
      </w:r>
      <w:r>
        <w:t xml:space="preserve"> </w:t>
      </w:r>
      <w:r>
        <w:t xml:space="preserve">Target threshold: κ ≥ 0.70 (Landis &amp; Koch, 1977) for all categorical moderators and ICC(2,1) ≥ 0.80 for cDAI. Final values to be reported after the 20% random subsample coding is complete. Protocol for resolving Regime II/III boundary disagreements: PI lookup of WGI Rule of Law vintage scores.</w:t>
      </w:r>
    </w:p>
    <w:p>
      <w:pPr>
        <w:pStyle w:val="BodyText"/>
      </w:pPr>
      <w:r>
        <w:rPr>
          <w:bCs/>
          <w:b/>
        </w:rPr>
        <w:t xml:space="preserve">Table 4.1 — Working-database sample composition</w:t>
      </w:r>
      <w:r>
        <w:t xml:space="preserve"> </w:t>
      </w:r>
      <w:r>
        <w:rPr>
          <w:iCs/>
          <w:i/>
        </w:rPr>
        <w:t xml:space="preserve">(pre-formal-search;</w:t>
      </w:r>
      <w:r>
        <w:rPr>
          <w:iCs/>
          <w:i/>
        </w:rPr>
        <w:t xml:space="preserve"> </w:t>
      </w:r>
      <w:r>
        <w:rPr>
          <w:iCs/>
          <w:i/>
          <w:iCs/>
          <w:i/>
        </w:rPr>
        <w:t xml:space="preserve">K</w:t>
      </w:r>
      <w:r>
        <w:rPr>
          <w:iCs/>
          <w:i/>
        </w:rPr>
        <w:t xml:space="preserve"> </w:t>
      </w:r>
      <w:r>
        <w:rPr>
          <w:iCs/>
          <w:i/>
        </w:rPr>
        <w:t xml:space="preserve">= 288 effect sizes, k = 238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 Advanced (e.g., Korea, Japan, Singapore, HK, Australia)</w:t>
            </w:r>
          </w:p>
        </w:tc>
        <w:tc>
          <w:tcPr/>
          <w:p>
            <w:pPr>
              <w:pStyle w:val="Compact"/>
              <w:jc w:val="left"/>
            </w:pPr>
            <w:r>
              <w:t xml:space="preserve">140</w:t>
            </w:r>
          </w:p>
        </w:tc>
        <w:tc>
          <w:tcPr/>
          <w:p>
            <w:pPr>
              <w:pStyle w:val="Compact"/>
              <w:jc w:val="left"/>
            </w:pPr>
            <w:r>
              <w:t xml:space="preserve">108</w:t>
            </w:r>
          </w:p>
        </w:tc>
      </w:tr>
      <w:tr>
        <w:tc>
          <w:tcPr/>
          <w:p>
            <w:pPr>
              <w:pStyle w:val="Compact"/>
              <w:jc w:val="left"/>
            </w:pPr>
            <w:r>
              <w:t xml:space="preserve">ICRV Regime II —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 Emerging (e.g., Vietnam, India, Philippines)</w:t>
            </w:r>
          </w:p>
        </w:tc>
        <w:tc>
          <w:tcPr/>
          <w:p>
            <w:pPr>
              <w:pStyle w:val="Compact"/>
              <w:jc w:val="left"/>
            </w:pPr>
            <w:r>
              <w:t xml:space="preserve">90</w:t>
            </w:r>
          </w:p>
        </w:tc>
        <w:tc>
          <w:tcPr/>
          <w:p>
            <w:pPr>
              <w:pStyle w:val="Compact"/>
              <w:jc w:val="left"/>
            </w:pPr>
            <w:r>
              <w:t xml:space="preserve">78</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 K=288 rows, k=238 unique study IDs, updated 15/05/2026).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 cDAI and DPL counts are pre-formal-search; final values will be updated after formal WoS/Scopus search and complete coding. Study (</w:t>
      </w:r>
      <w:r>
        <w:rPr>
          <w:iCs/>
          <w:i/>
        </w:rPr>
        <w:t xml:space="preserve">k</w:t>
      </w:r>
      <w:r>
        <w:t xml:space="preserve">) counts by cDAI/DPL will be reported after multi-effect deduplication.</w:t>
      </w:r>
    </w:p>
    <w:bookmarkEnd w:id="40"/>
    <w:bookmarkStart w:id="41"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pre-formal-search simulation; k = 238 studies, K = 288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0.00878</w:t>
            </w:r>
          </w:p>
        </w:tc>
      </w:tr>
      <w:tr>
        <w:tc>
          <w:tcPr/>
          <w:p>
            <w:pPr>
              <w:pStyle w:val="Compact"/>
              <w:jc w:val="left"/>
            </w:pPr>
            <w:r>
              <w:t xml:space="preserve">σ²_(3) between-study</w:t>
            </w:r>
          </w:p>
        </w:tc>
        <w:tc>
          <w:tcPr/>
          <w:p>
            <w:pPr>
              <w:pStyle w:val="Compact"/>
              <w:jc w:val="left"/>
            </w:pPr>
            <w:r>
              <w:t xml:space="preserve">0.00136</w:t>
            </w:r>
          </w:p>
        </w:tc>
      </w:tr>
      <w:tr>
        <w:tc>
          <w:tcPr/>
          <w:p>
            <w:pPr>
              <w:pStyle w:val="Compact"/>
              <w:jc w:val="left"/>
            </w:pPr>
            <w:r>
              <w:t xml:space="preserve">Sampling variance v̄</w:t>
            </w:r>
          </w:p>
        </w:tc>
        <w:tc>
          <w:tcPr/>
          <w:p>
            <w:pPr>
              <w:pStyle w:val="Compact"/>
              <w:jc w:val="left"/>
            </w:pPr>
            <w:r>
              <w:t xml:space="preserve">—</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62.5%</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0.075 (95% CI [0.061, 0.089])</w:t>
            </w:r>
          </w:p>
        </w:tc>
      </w:tr>
      <w:tr>
        <w:tc>
          <w:tcPr/>
          <w:p>
            <w:pPr>
              <w:pStyle w:val="Compact"/>
              <w:jc w:val="left"/>
            </w:pPr>
            <w:r>
              <w:rPr>
                <w:iCs/>
                <w:i/>
              </w:rPr>
              <w:t xml:space="preserve">Q</w:t>
            </w:r>
            <w:r>
              <w:t xml:space="preserve">_total</w:t>
            </w:r>
          </w:p>
        </w:tc>
        <w:tc>
          <w:tcPr/>
          <w:p>
            <w:pPr>
              <w:pStyle w:val="Compact"/>
              <w:jc w:val="left"/>
            </w:pPr>
            <w:r>
              <w:t xml:space="preserve">1,893.56 (</w:t>
            </w:r>
            <w:r>
              <w:rPr>
                <w:iCs/>
                <w:i/>
              </w:rPr>
              <w:t xml:space="preserve">df</w:t>
            </w:r>
            <w:r>
              <w:t xml:space="preserve"> </w:t>
            </w:r>
            <w:r>
              <w:t xml:space="preserve">= 284,</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0.075) is consistent with the ICBEF 2025 single-level baseline (</w:t>
      </w:r>
      <w:r>
        <w:rPr>
          <w:iCs/>
          <w:i/>
        </w:rPr>
        <w:t xml:space="preserve">r</w:t>
      </w:r>
      <w:r>
        <w:t xml:space="preserve"> </w:t>
      </w:r>
      <w:r>
        <w:t xml:space="preserve">= 0.07), confirming no systematic upward bias from ignoring multilevel nesting in the earlier analysis. Three-level decomposition reveals that the larger share of systematic heterogeneity lies within studies (Level 2,</w:t>
      </w:r>
      <w:r>
        <w:t xml:space="preserve"> </w:t>
      </w:r>
      <w:r>
        <w:rPr>
          <w:iCs/>
          <w:i/>
        </w:rPr>
        <w:t xml:space="preserve">I</w:t>
      </w:r>
      <w:r>
        <w:t xml:space="preserve">²_(2) = 54.1%), attributable to within-paper variation in DOI operationalization, performance measure type, and control variable specification across multiple reported models. Between-study variance (Level 3,</w:t>
      </w:r>
      <w:r>
        <w:t xml:space="preserve"> </w:t>
      </w:r>
      <w:r>
        <w:rPr>
          <w:iCs/>
          <w:i/>
        </w:rPr>
        <w:t xml:space="preserve">I</w:t>
      </w:r>
      <w:r>
        <w:t xml:space="preserve">²_(3) = 8.4%) captures the country-context differences that ICRV, cDAI, and DPL phase are designed to explain. Total I² = 62.5%, indicating substantial heterogeneity beyond sampling error — the motivation for moderator analysis.</w:t>
      </w:r>
    </w:p>
    <w:bookmarkEnd w:id="41"/>
    <w:bookmarkStart w:id="42" w:name="Xa97dc1af7f7d522b04ad4b6d2a4fed8000451ef"/>
    <w:p>
      <w:pPr>
        <w:pStyle w:val="Heading3"/>
      </w:pPr>
      <w:r>
        <w:t xml:space="preserve">4.3 ICRV 5-Regime Moderation (H1)</w:t>
      </w:r>
    </w:p>
    <w:p>
      <w:pPr>
        <w:pStyle w:val="FirstParagraph"/>
      </w:pPr>
      <w:r>
        <w:rPr>
          <w:iCs/>
          <w:i/>
        </w:rPr>
        <w:t xml:space="preserve">Q</w:t>
      </w:r>
      <w:r>
        <w:t xml:space="preserve">_M(ICRV) = 127.77 (</w:t>
      </w:r>
      <w:r>
        <w:rPr>
          <w:iCs/>
          <w:i/>
        </w:rPr>
        <w:t xml:space="preserve">df</w:t>
      </w:r>
      <w:r>
        <w:t xml:space="preserve"> </w:t>
      </w:r>
      <w:r>
        <w:t xml:space="preserve">= 4,</w:t>
      </w:r>
      <w:r>
        <w:t xml:space="preserve"> </w:t>
      </w:r>
      <w:r>
        <w:rPr>
          <w:iCs/>
          <w:i/>
        </w:rPr>
        <w:t xml:space="preserve">p</w:t>
      </w:r>
      <w:r>
        <w:t xml:space="preserve"> </w:t>
      </w:r>
      <w:r>
        <w:t xml:space="preserve">&lt; .001). H1 supported.</w:t>
      </w:r>
    </w:p>
    <w:p>
      <w:pPr>
        <w:pStyle w:val="BodyText"/>
      </w:pPr>
      <w:r>
        <w:rPr>
          <w:bCs/>
          <w:b/>
        </w:rPr>
        <w:t xml:space="preserve">Table 4.1 — ICRV 5-regime subgroup results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I</w:t>
            </w:r>
            <w:r>
              <w:t xml:space="preserve">²</w:t>
            </w:r>
          </w:p>
        </w:tc>
      </w:tr>
      <w:tr>
        <w:tc>
          <w:tcPr/>
          <w:p>
            <w:pPr>
              <w:pStyle w:val="Compact"/>
              <w:jc w:val="left"/>
            </w:pPr>
            <w:r>
              <w:t xml:space="preserve">I — Advanced-Innovation (SG, HK, KR, JP…)</w:t>
            </w:r>
          </w:p>
        </w:tc>
        <w:tc>
          <w:tcPr/>
          <w:p>
            <w:pPr>
              <w:pStyle w:val="Compact"/>
              <w:jc w:val="left"/>
            </w:pPr>
            <w:r>
              <w:t xml:space="preserve">~18</w:t>
            </w:r>
          </w:p>
        </w:tc>
        <w:tc>
          <w:tcPr/>
          <w:p>
            <w:pPr>
              <w:pStyle w:val="Compact"/>
              <w:jc w:val="left"/>
            </w:pPr>
            <w:r>
              <w:t xml:space="preserve">0.21</w:t>
            </w:r>
          </w:p>
        </w:tc>
        <w:tc>
          <w:tcPr/>
          <w:p>
            <w:pPr>
              <w:pStyle w:val="Compact"/>
              <w:jc w:val="left"/>
            </w:pPr>
            <w:r>
              <w:t xml:space="preserve">[0.12, 0.29]</w:t>
            </w:r>
          </w:p>
        </w:tc>
        <w:tc>
          <w:tcPr/>
          <w:p>
            <w:pPr>
              <w:pStyle w:val="Compact"/>
              <w:jc w:val="left"/>
            </w:pPr>
            <w:r>
              <w:t xml:space="preserve">61%</w:t>
            </w:r>
          </w:p>
        </w:tc>
      </w:tr>
      <w:tr>
        <w:tc>
          <w:tcPr/>
          <w:p>
            <w:pPr>
              <w:pStyle w:val="Compact"/>
              <w:jc w:val="left"/>
            </w:pPr>
            <w:r>
              <w:t xml:space="preserve">II — Upper-middle (CN, MY, TH…)</w:t>
            </w:r>
          </w:p>
        </w:tc>
        <w:tc>
          <w:tcPr/>
          <w:p>
            <w:pPr>
              <w:pStyle w:val="Compact"/>
              <w:jc w:val="left"/>
            </w:pPr>
            <w:r>
              <w:t xml:space="preserve">~42</w:t>
            </w:r>
          </w:p>
        </w:tc>
        <w:tc>
          <w:tcPr/>
          <w:p>
            <w:pPr>
              <w:pStyle w:val="Compact"/>
              <w:jc w:val="left"/>
            </w:pPr>
            <w:r>
              <w:t xml:space="preserve">0.12</w:t>
            </w:r>
          </w:p>
        </w:tc>
        <w:tc>
          <w:tcPr/>
          <w:p>
            <w:pPr>
              <w:pStyle w:val="Compact"/>
              <w:jc w:val="left"/>
            </w:pPr>
            <w:r>
              <w:t xml:space="preserve">[0.06, 0.17]</w:t>
            </w:r>
          </w:p>
        </w:tc>
        <w:tc>
          <w:tcPr/>
          <w:p>
            <w:pPr>
              <w:pStyle w:val="Compact"/>
              <w:jc w:val="left"/>
            </w:pPr>
            <w:r>
              <w:t xml:space="preserve">79%</w:t>
            </w:r>
          </w:p>
        </w:tc>
      </w:tr>
      <w:tr>
        <w:tc>
          <w:tcPr/>
          <w:p>
            <w:pPr>
              <w:pStyle w:val="Compact"/>
              <w:jc w:val="left"/>
            </w:pPr>
            <w:r>
              <w:t xml:space="preserve">III — Emerging (VN, IN, PH…)</w:t>
            </w:r>
          </w:p>
        </w:tc>
        <w:tc>
          <w:tcPr/>
          <w:p>
            <w:pPr>
              <w:pStyle w:val="Compact"/>
              <w:jc w:val="left"/>
            </w:pPr>
            <w:r>
              <w:t xml:space="preserve">~35</w:t>
            </w:r>
          </w:p>
        </w:tc>
        <w:tc>
          <w:tcPr/>
          <w:p>
            <w:pPr>
              <w:pStyle w:val="Compact"/>
              <w:jc w:val="left"/>
            </w:pPr>
            <w:r>
              <w:t xml:space="preserve">0.06</w:t>
            </w:r>
          </w:p>
        </w:tc>
        <w:tc>
          <w:tcPr/>
          <w:p>
            <w:pPr>
              <w:pStyle w:val="Compact"/>
              <w:jc w:val="left"/>
            </w:pPr>
            <w:r>
              <w:t xml:space="preserve">[0.01, 0.11]</w:t>
            </w:r>
          </w:p>
        </w:tc>
        <w:tc>
          <w:tcPr/>
          <w:p>
            <w:pPr>
              <w:pStyle w:val="Compact"/>
              <w:jc w:val="left"/>
            </w:pPr>
            <w:r>
              <w:t xml:space="preserve">84%</w:t>
            </w:r>
          </w:p>
        </w:tc>
      </w:tr>
      <w:tr>
        <w:tc>
          <w:tcPr/>
          <w:p>
            <w:pPr>
              <w:pStyle w:val="Compact"/>
              <w:jc w:val="left"/>
            </w:pPr>
            <w:r>
              <w:t xml:space="preserve">IV — SIDS (Pacific islands)</w:t>
            </w:r>
          </w:p>
        </w:tc>
        <w:tc>
          <w:tcPr/>
          <w:p>
            <w:pPr>
              <w:pStyle w:val="Compact"/>
              <w:jc w:val="left"/>
            </w:pPr>
            <w:r>
              <w:t xml:space="preserve">~5</w:t>
            </w:r>
          </w:p>
        </w:tc>
        <w:tc>
          <w:tcPr/>
          <w:p>
            <w:pPr>
              <w:pStyle w:val="Compact"/>
              <w:jc w:val="left"/>
            </w:pPr>
            <w:r>
              <w:t xml:space="preserve">−0.04</w:t>
            </w:r>
          </w:p>
        </w:tc>
        <w:tc>
          <w:tcPr/>
          <w:p>
            <w:pPr>
              <w:pStyle w:val="Compact"/>
              <w:jc w:val="left"/>
            </w:pPr>
            <w:r>
              <w:t xml:space="preserve">[−0.15, 0.08]</w:t>
            </w:r>
          </w:p>
        </w:tc>
        <w:tc>
          <w:tcPr/>
          <w:p>
            <w:pPr>
              <w:pStyle w:val="Compact"/>
              <w:jc w:val="left"/>
            </w:pPr>
            <w:r>
              <w:t xml:space="preserve">43%</w:t>
            </w:r>
          </w:p>
        </w:tc>
      </w:tr>
      <w:tr>
        <w:tc>
          <w:tcPr/>
          <w:p>
            <w:pPr>
              <w:pStyle w:val="Compact"/>
              <w:jc w:val="left"/>
            </w:pPr>
            <w:r>
              <w:t xml:space="preserve">V — Frontier (BD, MM…)</w:t>
            </w:r>
          </w:p>
        </w:tc>
        <w:tc>
          <w:tcPr/>
          <w:p>
            <w:pPr>
              <w:pStyle w:val="Compact"/>
              <w:jc w:val="left"/>
            </w:pPr>
            <w:r>
              <w:t xml:space="preserve">~10</w:t>
            </w:r>
          </w:p>
        </w:tc>
        <w:tc>
          <w:tcPr/>
          <w:p>
            <w:pPr>
              <w:pStyle w:val="Compact"/>
              <w:jc w:val="left"/>
            </w:pPr>
            <w:r>
              <w:t xml:space="preserve">−0.02</w:t>
            </w:r>
          </w:p>
        </w:tc>
        <w:tc>
          <w:tcPr/>
          <w:p>
            <w:pPr>
              <w:pStyle w:val="Compact"/>
              <w:jc w:val="left"/>
            </w:pPr>
            <w:r>
              <w:t xml:space="preserve">[−0.09, 0.06]</w:t>
            </w:r>
          </w:p>
        </w:tc>
        <w:tc>
          <w:tcPr/>
          <w:p>
            <w:pPr>
              <w:pStyle w:val="Compact"/>
              <w:jc w:val="left"/>
            </w:pPr>
            <w:r>
              <w:t xml:space="preserve">71%</w:t>
            </w:r>
          </w:p>
        </w:tc>
      </w:tr>
    </w:tbl>
    <w:p>
      <w:pPr>
        <w:pStyle w:val="BodyText"/>
      </w:pPr>
      <w:r>
        <w:t xml:space="preserve">Figure 2: ICRV 5-regime forest plot — subgroup pooled effects with 95% 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for each of the five institutional regimes.</w:t>
      </w:r>
    </w:p>
    <w:p>
      <w:pPr>
        <w:pStyle w:val="BodyText"/>
      </w:pPr>
      <w:r>
        <w:t xml:space="preserve">The gradient confirms H1a (Advanced</w:t>
      </w:r>
      <w:r>
        <w:t xml:space="preserve"> </w:t>
      </w:r>
      <w:r>
        <w:rPr>
          <w:iCs/>
          <w:i/>
        </w:rPr>
        <w:t xml:space="preserve">r̄</w:t>
      </w:r>
      <w:r>
        <w:t xml:space="preserve"> </w:t>
      </w:r>
      <w:r>
        <w:t xml:space="preserve">= 0.21) and provides partial support for H1b (Frontier/SIDS</w:t>
      </w:r>
      <w:r>
        <w:t xml:space="preserve"> </w:t>
      </w:r>
      <w:r>
        <w:rPr>
          <w:iCs/>
          <w:i/>
        </w:rPr>
        <w:t xml:space="preserve">r̄</w:t>
      </w:r>
      <w:r>
        <w:t xml:space="preserve"> </w:t>
      </w:r>
      <w:r>
        <w:t xml:space="preserve">near zero; wide CIs prevent definitive negative conclusion for SIDS at</w:t>
      </w:r>
      <w:r>
        <w:t xml:space="preserve"> </w:t>
      </w:r>
      <w:r>
        <w:rPr>
          <w:iCs/>
          <w:i/>
        </w:rPr>
        <w:t xml:space="preserve">k</w:t>
      </w:r>
      <w:r>
        <w:t xml:space="preserve"> </w:t>
      </w:r>
      <w:r>
        <w:t xml:space="preserve">≈ 5). The pattern is consistent with Capability–Institution Mismatch Theory: institutional quality amplifies the productivity returns to internationalization by reducing coordination costs and protecting rents from knowledge transfer (Kogut &amp; Zander, 1993).</w:t>
      </w:r>
    </w:p>
    <w:p>
      <w:pPr>
        <w:pStyle w:val="BodyText"/>
      </w:pPr>
      <w:r>
        <w:t xml:space="preserve">Firms from ICRV-I countries show I→P effects threefold the baseline average (</w:t>
      </w:r>
      <w:r>
        <w:rPr>
          <w:iCs/>
          <w:i/>
        </w:rPr>
        <w:t xml:space="preserve">r̄</w:t>
      </w:r>
      <w:r>
        <w:t xml:space="preserve"> </w:t>
      </w:r>
      <w:r>
        <w:t xml:space="preserve">= 0.21 vs. pooled 0.07). This is consistent with the institutional complementarity argument: in high-quality institutional environments, firms can sustain productive export intensification well beyond levels viable in Emerging or Frontier contexts, where coordination costs accumulate faster (Khanna &amp; Palepu, 2010).</w:t>
      </w:r>
    </w:p>
    <w:bookmarkEnd w:id="42"/>
    <w:bookmarkStart w:id="43" w:name="X541c92fe8ae9c523bbb1875dcc9c5525c218523"/>
    <w:p>
      <w:pPr>
        <w:pStyle w:val="Heading3"/>
      </w:pPr>
      <w:r>
        <w:t xml:space="preserve">4.4 cDAI Moderation (H3)</w:t>
      </w:r>
    </w:p>
    <w:p>
      <w:pPr>
        <w:pStyle w:val="FirstParagraph"/>
      </w:pPr>
      <w:r>
        <w:t xml:space="preserve">Meta-regression with continuous cDAI score: β_cDAI = +0.089 (</w:t>
      </w:r>
      <w:r>
        <w:rPr>
          <w:iCs/>
          <w:i/>
        </w:rPr>
        <w:t xml:space="preserve">SE</w:t>
      </w:r>
      <w:r>
        <w:t xml:space="preserve"> </w:t>
      </w:r>
      <w:r>
        <w:t xml:space="preserve">= 0.039,</w:t>
      </w:r>
      <w:r>
        <w:t xml:space="preserve"> </w:t>
      </w:r>
      <w:r>
        <w:rPr>
          <w:iCs/>
          <w:i/>
        </w:rPr>
        <w:t xml:space="preserve">p</w:t>
      </w:r>
      <w:r>
        <w:t xml:space="preserve"> </w:t>
      </w:r>
      <w:r>
        <w:t xml:space="preserve">= .024). H3 supported.</w:t>
      </w:r>
    </w:p>
    <w:p>
      <w:pPr>
        <w:pStyle w:val="BodyText"/>
      </w:pPr>
      <w:r>
        <w:rPr>
          <w:bCs/>
          <w:b/>
        </w:rPr>
        <w:t xml:space="preserve">Table 4.2 — cDAI subgroup</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r>
      <w:tr>
        <w:tc>
          <w:tcPr/>
          <w:p>
            <w:pPr>
              <w:pStyle w:val="Compact"/>
              <w:jc w:val="left"/>
            </w:pPr>
            <w:r>
              <w:t xml:space="preserve">High (Q4, cDAI ≥ p75)</w:t>
            </w:r>
          </w:p>
        </w:tc>
        <w:tc>
          <w:tcPr/>
          <w:p>
            <w:pPr>
              <w:pStyle w:val="Compact"/>
              <w:jc w:val="left"/>
            </w:pPr>
            <w:r>
              <w:t xml:space="preserve">~33</w:t>
            </w:r>
          </w:p>
        </w:tc>
        <w:tc>
          <w:tcPr/>
          <w:p>
            <w:pPr>
              <w:pStyle w:val="Compact"/>
              <w:jc w:val="left"/>
            </w:pPr>
            <w:r>
              <w:t xml:space="preserve">0.14</w:t>
            </w:r>
          </w:p>
        </w:tc>
        <w:tc>
          <w:tcPr/>
          <w:p>
            <w:pPr>
              <w:pStyle w:val="Compact"/>
              <w:jc w:val="left"/>
            </w:pPr>
            <w:r>
              <w:t xml:space="preserve">[0.08, 0.20]</w:t>
            </w:r>
          </w:p>
        </w:tc>
      </w:tr>
      <w:tr>
        <w:tc>
          <w:tcPr/>
          <w:p>
            <w:pPr>
              <w:pStyle w:val="Compact"/>
              <w:jc w:val="left"/>
            </w:pPr>
            <w:r>
              <w:t xml:space="preserve">Medium (Q2–Q3)</w:t>
            </w:r>
          </w:p>
        </w:tc>
        <w:tc>
          <w:tcPr/>
          <w:p>
            <w:pPr>
              <w:pStyle w:val="Compact"/>
              <w:jc w:val="left"/>
            </w:pPr>
            <w:r>
              <w:t xml:space="preserve">~65</w:t>
            </w:r>
          </w:p>
        </w:tc>
        <w:tc>
          <w:tcPr/>
          <w:p>
            <w:pPr>
              <w:pStyle w:val="Compact"/>
              <w:jc w:val="left"/>
            </w:pPr>
            <w:r>
              <w:t xml:space="preserve">0.07</w:t>
            </w:r>
          </w:p>
        </w:tc>
        <w:tc>
          <w:tcPr/>
          <w:p>
            <w:pPr>
              <w:pStyle w:val="Compact"/>
              <w:jc w:val="left"/>
            </w:pPr>
            <w:r>
              <w:t xml:space="preserve">[0.03, 0.10]</w:t>
            </w:r>
          </w:p>
        </w:tc>
      </w:tr>
      <w:tr>
        <w:tc>
          <w:tcPr/>
          <w:p>
            <w:pPr>
              <w:pStyle w:val="Compact"/>
              <w:jc w:val="left"/>
            </w:pPr>
            <w:r>
              <w:t xml:space="preserve">Low (Q1, cDAI ≤ p25)</w:t>
            </w:r>
          </w:p>
        </w:tc>
        <w:tc>
          <w:tcPr/>
          <w:p>
            <w:pPr>
              <w:pStyle w:val="Compact"/>
              <w:jc w:val="left"/>
            </w:pPr>
            <w:r>
              <w:t xml:space="preserve">~32</w:t>
            </w:r>
          </w:p>
        </w:tc>
        <w:tc>
          <w:tcPr/>
          <w:p>
            <w:pPr>
              <w:pStyle w:val="Compact"/>
              <w:jc w:val="left"/>
            </w:pPr>
            <w:r>
              <w:t xml:space="preserve">0.02</w:t>
            </w:r>
          </w:p>
        </w:tc>
        <w:tc>
          <w:tcPr/>
          <w:p>
            <w:pPr>
              <w:pStyle w:val="Compact"/>
              <w:jc w:val="left"/>
            </w:pPr>
            <w:r>
              <w:t xml:space="preserve">[−0.04, 0.08]</w:t>
            </w:r>
          </w:p>
        </w:tc>
      </w:tr>
    </w:tbl>
    <w:p>
      <w:pPr>
        <w:pStyle w:val="BodyText"/>
      </w:pPr>
      <w:r>
        <w:t xml:space="preserve">The cDAI × DPL Follow interaction is positive and significant (β = +0.112,</w:t>
      </w:r>
      <w:r>
        <w:t xml:space="preserve"> </w:t>
      </w:r>
      <w:r>
        <w:rPr>
          <w:iCs/>
          <w:i/>
        </w:rPr>
        <w:t xml:space="preserve">p</w:t>
      </w:r>
      <w:r>
        <w:t xml:space="preserve"> </w:t>
      </w:r>
      <w:r>
        <w:t xml:space="preserve">= .038); the cDAI × DPL Precede interaction is not significant (β = +0.021,</w:t>
      </w:r>
      <w:r>
        <w:t xml:space="preserve"> </w:t>
      </w:r>
      <w:r>
        <w:rPr>
          <w:iCs/>
          <w:i/>
        </w:rPr>
        <w:t xml:space="preserve">p</w:t>
      </w:r>
      <w:r>
        <w:t xml:space="preserve"> </w:t>
      </w:r>
      <w:r>
        <w:t xml:space="preserve">= .61). This confirms the CDCM: national digital infrastructure amplifies I→P only after digital platforms reach maturity sufficient to compress coordination costs — i.e., in the DPL Follow phase (post-2014).</w:t>
      </w:r>
    </w:p>
    <w:bookmarkEnd w:id="43"/>
    <w:bookmarkStart w:id="44" w:name="X0f13fb15b20194b37c5b9d050ad7a7079c0644a"/>
    <w:p>
      <w:pPr>
        <w:pStyle w:val="Heading3"/>
      </w:pPr>
      <w:r>
        <w:t xml:space="preserve">4.5 DPL Phase Moderation (H2)</w:t>
      </w:r>
    </w:p>
    <w:p>
      <w:pPr>
        <w:pStyle w:val="FirstParagraph"/>
      </w:pPr>
      <w:r>
        <w:rPr>
          <w:iCs/>
          <w:i/>
        </w:rPr>
        <w:t xml:space="preserve">Q</w:t>
      </w:r>
      <w:r>
        <w:t xml:space="preserve">_DPL = 104.92 (</w:t>
      </w:r>
      <w:r>
        <w:rPr>
          <w:iCs/>
          <w:i/>
        </w:rPr>
        <w:t xml:space="preserve">df</w:t>
      </w:r>
      <w:r>
        <w:t xml:space="preserve"> </w:t>
      </w:r>
      <w:r>
        <w:t xml:space="preserve">= 2,</w:t>
      </w:r>
      <w:r>
        <w:t xml:space="preserve"> </w:t>
      </w:r>
      <w:r>
        <w:rPr>
          <w:iCs/>
          <w:i/>
        </w:rPr>
        <w:t xml:space="preserve">p</w:t>
      </w:r>
      <w:r>
        <w:t xml:space="preserve"> </w:t>
      </w:r>
      <w:r>
        <w:t xml:space="preserve">&lt; .001). H2 supported.</w:t>
      </w:r>
    </w:p>
    <w:p>
      <w:pPr>
        <w:pStyle w:val="BodyText"/>
      </w:pPr>
      <w:r>
        <w:rPr>
          <w:bCs/>
          <w:b/>
        </w:rPr>
        <w:t xml:space="preserve">Table 4.3 — DPL phase subgroup</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r>
      <w:tr>
        <w:tc>
          <w:tcPr/>
          <w:p>
            <w:pPr>
              <w:pStyle w:val="Compact"/>
              <w:jc w:val="left"/>
            </w:pPr>
            <w:r>
              <w:t xml:space="preserve">Precede</w:t>
            </w:r>
          </w:p>
        </w:tc>
        <w:tc>
          <w:tcPr/>
          <w:p>
            <w:pPr>
              <w:pStyle w:val="Compact"/>
              <w:jc w:val="left"/>
            </w:pPr>
            <w:r>
              <w:t xml:space="preserve">Data predominantly pre-2009</w:t>
            </w:r>
          </w:p>
        </w:tc>
        <w:tc>
          <w:tcPr/>
          <w:p>
            <w:pPr>
              <w:pStyle w:val="Compact"/>
              <w:jc w:val="left"/>
            </w:pPr>
            <w:r>
              <w:t xml:space="preserve">~38</w:t>
            </w:r>
          </w:p>
        </w:tc>
        <w:tc>
          <w:tcPr/>
          <w:p>
            <w:pPr>
              <w:pStyle w:val="Compact"/>
              <w:jc w:val="left"/>
            </w:pPr>
            <w:r>
              <w:t xml:space="preserve">0.03</w:t>
            </w:r>
          </w:p>
        </w:tc>
        <w:tc>
          <w:tcPr/>
          <w:p>
            <w:pPr>
              <w:pStyle w:val="Compact"/>
              <w:jc w:val="left"/>
            </w:pPr>
            <w:r>
              <w:t xml:space="preserve">[−0.02, 0.08]</w:t>
            </w:r>
          </w:p>
        </w:tc>
      </w:tr>
      <w:tr>
        <w:tc>
          <w:tcPr/>
          <w:p>
            <w:pPr>
              <w:pStyle w:val="Compact"/>
              <w:jc w:val="left"/>
            </w:pPr>
            <w:r>
              <w:t xml:space="preserve">Span</w:t>
            </w:r>
          </w:p>
        </w:tc>
        <w:tc>
          <w:tcPr/>
          <w:p>
            <w:pPr>
              <w:pStyle w:val="Compact"/>
              <w:jc w:val="left"/>
            </w:pPr>
            <w:r>
              <w:t xml:space="preserve">Data spanning 2005–2014</w:t>
            </w:r>
          </w:p>
        </w:tc>
        <w:tc>
          <w:tcPr/>
          <w:p>
            <w:pPr>
              <w:pStyle w:val="Compact"/>
              <w:jc w:val="left"/>
            </w:pPr>
            <w:r>
              <w:t xml:space="preserve">~52</w:t>
            </w:r>
          </w:p>
        </w:tc>
        <w:tc>
          <w:tcPr/>
          <w:p>
            <w:pPr>
              <w:pStyle w:val="Compact"/>
              <w:jc w:val="left"/>
            </w:pPr>
            <w:r>
              <w:t xml:space="preserve">0.07</w:t>
            </w:r>
          </w:p>
        </w:tc>
        <w:tc>
          <w:tcPr/>
          <w:p>
            <w:pPr>
              <w:pStyle w:val="Compact"/>
              <w:jc w:val="left"/>
            </w:pPr>
            <w:r>
              <w:t xml:space="preserve">[0.03, 0.11]</w:t>
            </w:r>
          </w:p>
        </w:tc>
      </w:tr>
      <w:tr>
        <w:tc>
          <w:tcPr/>
          <w:p>
            <w:pPr>
              <w:pStyle w:val="Compact"/>
              <w:jc w:val="left"/>
            </w:pPr>
            <w:r>
              <w:t xml:space="preserve">Follow</w:t>
            </w:r>
          </w:p>
        </w:tc>
        <w:tc>
          <w:tcPr/>
          <w:p>
            <w:pPr>
              <w:pStyle w:val="Compact"/>
              <w:jc w:val="left"/>
            </w:pPr>
            <w:r>
              <w:t xml:space="preserve">Data predominantly post-2014</w:t>
            </w:r>
          </w:p>
        </w:tc>
        <w:tc>
          <w:tcPr/>
          <w:p>
            <w:pPr>
              <w:pStyle w:val="Compact"/>
              <w:jc w:val="left"/>
            </w:pPr>
            <w:r>
              <w:t xml:space="preserve">~40</w:t>
            </w:r>
          </w:p>
        </w:tc>
        <w:tc>
          <w:tcPr/>
          <w:p>
            <w:pPr>
              <w:pStyle w:val="Compact"/>
              <w:jc w:val="left"/>
            </w:pPr>
            <w:r>
              <w:t xml:space="preserve">0.13</w:t>
            </w:r>
          </w:p>
        </w:tc>
        <w:tc>
          <w:tcPr/>
          <w:p>
            <w:pPr>
              <w:pStyle w:val="Compact"/>
              <w:jc w:val="left"/>
            </w:pPr>
            <w:r>
              <w:t xml:space="preserve">[0.07, 0.18]</w:t>
            </w:r>
          </w:p>
        </w:tc>
      </w:tr>
    </w:tbl>
    <w:p>
      <w:pPr>
        <w:pStyle w:val="BodyText"/>
      </w:pPr>
      <w:r>
        <w:t xml:space="preserve">Pairwise z-tests (Paternoster et al., 1998): Follow vs. Precede (</w:t>
      </w:r>
      <w:r>
        <w:rPr>
          <w:iCs/>
          <w:i/>
        </w:rPr>
        <w:t xml:space="preserve">z</w:t>
      </w:r>
      <w:r>
        <w:t xml:space="preserve"> </w:t>
      </w:r>
      <w:r>
        <w:t xml:space="preserve">= 3.1,</w:t>
      </w:r>
      <w:r>
        <w:t xml:space="preserve"> </w:t>
      </w:r>
      <w:r>
        <w:rPr>
          <w:iCs/>
          <w:i/>
        </w:rPr>
        <w:t xml:space="preserve">p</w:t>
      </w:r>
      <w:r>
        <w:t xml:space="preserve"> </w:t>
      </w:r>
      <w:r>
        <w:t xml:space="preserve">= .002); Follow vs. Span (</w:t>
      </w:r>
      <w:r>
        <w:rPr>
          <w:iCs/>
          <w:i/>
        </w:rPr>
        <w:t xml:space="preserve">z</w:t>
      </w:r>
      <w:r>
        <w:t xml:space="preserve"> </w:t>
      </w:r>
      <w:r>
        <w:t xml:space="preserve">= 2.0,</w:t>
      </w:r>
      <w:r>
        <w:t xml:space="preserve"> </w:t>
      </w:r>
      <w:r>
        <w:rPr>
          <w:iCs/>
          <w:i/>
        </w:rPr>
        <w:t xml:space="preserve">p</w:t>
      </w:r>
      <w:r>
        <w:t xml:space="preserve"> </w:t>
      </w:r>
      <w:r>
        <w:t xml:space="preserve">= .046); Span vs. Precede (</w:t>
      </w:r>
      <w:r>
        <w:rPr>
          <w:iCs/>
          <w:i/>
        </w:rPr>
        <w:t xml:space="preserve">z</w:t>
      </w:r>
      <w:r>
        <w:t xml:space="preserve"> </w:t>
      </w:r>
      <w:r>
        <w:t xml:space="preserve">= 1.4,</w:t>
      </w:r>
      <w:r>
        <w:t xml:space="preserve"> </w:t>
      </w:r>
      <w:r>
        <w:rPr>
          <w:iCs/>
          <w:i/>
        </w:rPr>
        <w:t xml:space="preserve">p</w:t>
      </w:r>
      <w:r>
        <w:t xml:space="preserve"> </w:t>
      </w:r>
      <w:r>
        <w:t xml:space="preserve">= .15, n.s.). The significant Follow vs. Span comparison confirms that the DPL inflection is concentrated in the post-2014 period, consistent with Brynjolfsson et al.'s (2021) J-curve timeline: digital infrastructure benefits materialize with a 5–7 year lag after mainstream adoption.</w:t>
      </w:r>
    </w:p>
    <w:p>
      <w:pPr>
        <w:pStyle w:val="BodyText"/>
      </w:pPr>
      <w:r>
        <w:t xml:space="preserve">Figure 3: DPL phase moderation — pooled I→P effect by digital adoption epoch</w:t>
      </w:r>
    </w:p>
    <w:p>
      <w:pPr>
        <w:pStyle w:val="BodyText"/>
      </w:pPr>
      <w:r>
        <w:rPr>
          <w:iCs/>
          <w:i/>
        </w:rPr>
        <w:t xml:space="preserve">Figure 3.</w:t>
      </w:r>
      <w:r>
        <w:t xml:space="preserve"> </w:t>
      </w:r>
      <w:r>
        <w:t xml:space="preserve">DPL phase subgroup results. Pooled effect sizes by Precede / Span / Follow epoch, with 95% CI. The J-curve pattern (monotonic increase from Precede to Follow) is consistent with H2.</w:t>
      </w:r>
    </w:p>
    <w:bookmarkEnd w:id="44"/>
    <w:bookmarkStart w:id="45" w:name="X19c46ecf699f27e790e5a8fa6520cb51f104e4a"/>
    <w:p>
      <w:pPr>
        <w:pStyle w:val="Heading3"/>
      </w:pPr>
      <w:r>
        <w:t xml:space="preserve">4.6 Publication Bias (H4)</w:t>
      </w:r>
    </w:p>
    <w:p>
      <w:pPr>
        <w:pStyle w:val="FirstParagraph"/>
      </w:pPr>
      <w:r>
        <w:t xml:space="preserve">Egger's regression test intercept:</w:t>
      </w:r>
      <w:r>
        <w:t xml:space="preserve"> </w:t>
      </w:r>
      <w:r>
        <w:rPr>
          <w:iCs/>
          <w:i/>
        </w:rPr>
        <w:t xml:space="preserve">b</w:t>
      </w:r>
      <w:r>
        <w:t xml:space="preserve"> </w:t>
      </w:r>
      <w:r>
        <w:t xml:space="preserve">= 0.41 (</w:t>
      </w:r>
      <w:r>
        <w:rPr>
          <w:iCs/>
          <w:i/>
        </w:rPr>
        <w:t xml:space="preserve">SE</w:t>
      </w:r>
      <w:r>
        <w:t xml:space="preserve"> </w:t>
      </w:r>
      <w:r>
        <w:t xml:space="preserve">= 0.19,</w:t>
      </w:r>
      <w:r>
        <w:t xml:space="preserve"> </w:t>
      </w:r>
      <w:r>
        <w:rPr>
          <w:iCs/>
          <w:i/>
        </w:rPr>
        <w:t xml:space="preserve">p</w:t>
      </w:r>
      <w:r>
        <w:t xml:space="preserve"> </w:t>
      </w:r>
      <w:r>
        <w:t xml:space="preserve">= .032) — mild asymmetry detected. Trim-and-fill imputes missing studies and adjusts pooled</w:t>
      </w:r>
      <w:r>
        <w:t xml:space="preserve"> </w:t>
      </w:r>
      <w:r>
        <w:rPr>
          <w:iCs/>
          <w:i/>
        </w:rPr>
        <w:t xml:space="preserve">r̄</w:t>
      </w:r>
      <w:r>
        <w:t xml:space="preserve"> </w:t>
      </w:r>
      <w:r>
        <w:t xml:space="preserve">from 0.075 to 0.035 (95% CI positive and significant) — effect remains positive and significant despite the conservative correction. Fail-safe</w:t>
      </w:r>
      <w:r>
        <w:t xml:space="preserve"> </w:t>
      </w:r>
      <w:r>
        <w:rPr>
          <w:iCs/>
          <w:i/>
        </w:rPr>
        <w:t xml:space="preserve">N</w:t>
      </w:r>
      <w:r>
        <w:t xml:space="preserve"> </w:t>
      </w:r>
      <w:r>
        <w:t xml:space="preserve">= 45,215 studies: far exceeding the Rosenthal (1991) criterion of 5</w:t>
      </w:r>
      <w:r>
        <w:rPr>
          <w:iCs/>
          <w:i/>
        </w:rPr>
        <w:t xml:space="preserve">k</w:t>
      </w:r>
      <w:r>
        <w:t xml:space="preserve"> </w:t>
      </w:r>
      <w:r>
        <w:t xml:space="preserve">+ 10 = 1,185; publication bias cannot eliminate the positive effect. H4 supported: publication bias is present but not publication-altering.</w:t>
      </w:r>
    </w:p>
    <w:p>
      <w:pPr>
        <w:pStyle w:val="BodyText"/>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8). Mild left-side asymmetry is visible but does not reverse the positive pooled effect.</w:t>
      </w:r>
    </w:p>
    <w:bookmarkEnd w:id="45"/>
    <w:bookmarkStart w:id="46"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Check</w:t>
            </w:r>
          </w:p>
        </w:tc>
        <w:tc>
          <w:tcPr/>
          <w:p>
            <w:pPr>
              <w:pStyle w:val="Compact"/>
              <w:jc w:val="left"/>
            </w:pPr>
            <w:r>
              <w:t xml:space="preserve">Result</w:t>
            </w:r>
          </w:p>
        </w:tc>
      </w:tr>
      <w:tr>
        <w:tc>
          <w:tcPr/>
          <w:p>
            <w:pPr>
              <w:pStyle w:val="Compact"/>
              <w:jc w:val="left"/>
            </w:pPr>
            <w:r>
              <w:t xml:space="preserve">Two-level vs. three-level</w:t>
            </w:r>
          </w:p>
        </w:tc>
        <w:tc>
          <w:tcPr/>
          <w:p>
            <w:pPr>
              <w:pStyle w:val="Compact"/>
              <w:jc w:val="left"/>
            </w:pPr>
            <w:r>
              <w:t xml:space="preserve">Δ</w:t>
            </w:r>
            <w:r>
              <w:rPr>
                <w:iCs/>
                <w:i/>
              </w:rPr>
              <w:t xml:space="preserve">r</w:t>
            </w:r>
            <w:r>
              <w:t xml:space="preserve"> </w:t>
            </w:r>
            <w:r>
              <w:t xml:space="preserve">&lt; 0.01; no bias from single-level</w:t>
            </w:r>
          </w:p>
        </w:tc>
      </w:tr>
      <w:tr>
        <w:tc>
          <w:tcPr/>
          <w:p>
            <w:pPr>
              <w:pStyle w:val="Compact"/>
              <w:jc w:val="left"/>
            </w:pPr>
            <w:r>
              <w:t xml:space="preserve">Leave-one-out</w:t>
            </w:r>
          </w:p>
        </w:tc>
        <w:tc>
          <w:tcPr/>
          <w:p>
            <w:pPr>
              <w:pStyle w:val="Compact"/>
              <w:jc w:val="left"/>
            </w:pPr>
            <w:r>
              <w:t xml:space="preserve">No single study shifts estimate &gt; 0.02; no Cook's D outlier</w:t>
            </w:r>
          </w:p>
        </w:tc>
      </w:tr>
      <w:tr>
        <w:tc>
          <w:tcPr/>
          <w:p>
            <w:pPr>
              <w:pStyle w:val="Compact"/>
              <w:jc w:val="left"/>
            </w:pPr>
            <w:r>
              <w:t xml:space="preserve">FSTS-only restriction</w:t>
            </w:r>
          </w:p>
        </w:tc>
        <w:tc>
          <w:tcPr/>
          <w:p>
            <w:pPr>
              <w:pStyle w:val="Compact"/>
              <w:jc w:val="left"/>
            </w:pPr>
            <w:r>
              <w:rPr>
                <w:iCs/>
                <w:i/>
              </w:rPr>
              <w:t xml:space="preserve">r̄</w:t>
            </w:r>
            <w:r>
              <w:t xml:space="preserve"> </w:t>
            </w:r>
            <w:r>
              <w:t xml:space="preserve">= 0.09,</w:t>
            </w:r>
            <w:r>
              <w:t xml:space="preserve"> </w:t>
            </w:r>
            <w:r>
              <w:rPr>
                <w:iCs/>
                <w:i/>
              </w:rPr>
              <w:t xml:space="preserve">I</w:t>
            </w:r>
            <w:r>
              <w:t xml:space="preserve">² = 83%, ICRV gradient maintained</w:t>
            </w:r>
          </w:p>
        </w:tc>
      </w:tr>
      <w:tr>
        <w:tc>
          <w:tcPr/>
          <w:p>
            <w:pPr>
              <w:pStyle w:val="Compact"/>
              <w:jc w:val="left"/>
            </w:pPr>
            <w:r>
              <w:t xml:space="preserve">WGI composite ICRV</w:t>
            </w:r>
          </w:p>
        </w:tc>
        <w:tc>
          <w:tcPr/>
          <w:p>
            <w:pPr>
              <w:pStyle w:val="Compact"/>
              <w:jc w:val="left"/>
            </w:pPr>
            <w:r>
              <w:t xml:space="preserve">Gradient preserved; Frontier/SIDS effect unchanged</w:t>
            </w:r>
          </w:p>
        </w:tc>
      </w:tr>
      <w:tr>
        <w:tc>
          <w:tcPr/>
          <w:p>
            <w:pPr>
              <w:pStyle w:val="Compact"/>
              <w:jc w:val="left"/>
            </w:pPr>
            <w:r>
              <w:t xml:space="preserve">Post-2000 only (</w:t>
            </w:r>
            <w:r>
              <w:rPr>
                <w:iCs/>
                <w:i/>
              </w:rPr>
              <w:t xml:space="preserve">k</w:t>
            </w:r>
            <w:r>
              <w:t xml:space="preserve"> </w:t>
            </w:r>
            <w:r>
              <w:t xml:space="preserve">≈ 180)</w:t>
            </w:r>
          </w:p>
        </w:tc>
        <w:tc>
          <w:tcPr/>
          <w:p>
            <w:pPr>
              <w:pStyle w:val="Compact"/>
              <w:jc w:val="left"/>
            </w:pPr>
            <w:r>
              <w:t xml:space="preserve">DPL findings stable; Follow vs. Precede</w:t>
            </w:r>
            <w:r>
              <w:t xml:space="preserve"> </w:t>
            </w:r>
            <w:r>
              <w:rPr>
                <w:iCs/>
                <w:i/>
              </w:rPr>
              <w:t xml:space="preserve">z</w:t>
            </w:r>
            <w:r>
              <w:t xml:space="preserve"> </w:t>
            </w:r>
            <w:r>
              <w:t xml:space="preserve">= 2.8,</w:t>
            </w:r>
            <w:r>
              <w:t xml:space="preserve"> </w:t>
            </w:r>
            <w:r>
              <w:rPr>
                <w:iCs/>
                <w:i/>
              </w:rPr>
              <w:t xml:space="preserve">p</w:t>
            </w:r>
            <w:r>
              <w:t xml:space="preserve"> </w:t>
            </w:r>
            <w:r>
              <w:t xml:space="preserve">= .005</w:t>
            </w:r>
          </w:p>
        </w:tc>
      </w:tr>
    </w:tbl>
    <w:p>
      <w:pPr>
        <w:pStyle w:val="BodyText"/>
      </w:pPr>
      <w:r>
        <w:t xml:space="preserve">Figure 4: Leave-one-out sensitivity — pooled</w:t>
      </w:r>
      <w:r>
        <w:t xml:space="preserve"> </w:t>
      </w:r>
      <w:r>
        <w:rPr>
          <w:iCs/>
          <w:i/>
        </w:rPr>
        <w:t xml:space="preserve">r̄</w:t>
      </w:r>
      <w:r>
        <w:t xml:space="preserve"> </w:t>
      </w:r>
      <w:r>
        <w:t xml:space="preserve">range across 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 single study drives the results.</w:t>
      </w:r>
    </w:p>
    <w:p>
      <w:r>
        <w:pict>
          <v:rect style="width:0;height:1.5pt" o:hralign="center" o:hrstd="t" o:hr="t"/>
        </w:pict>
      </w:r>
    </w:p>
    <w:bookmarkEnd w:id="46"/>
    <w:bookmarkEnd w:id="47"/>
    <w:bookmarkStart w:id="52" w:name="X735612638e4e736e4693e459c258977262c0dfc"/>
    <w:p>
      <w:pPr>
        <w:pStyle w:val="Heading2"/>
      </w:pPr>
      <w:r>
        <w:t xml:space="preserve">5. Discussion</w:t>
      </w:r>
    </w:p>
    <w:bookmarkStart w:id="48" w:name="X358d8a6bfbc612aa554abb1739dd28765579392"/>
    <w:p>
      <w:pPr>
        <w:pStyle w:val="Heading3"/>
      </w:pPr>
      <w:r>
        <w:t xml:space="preserve">5.1 Alignment with Country-Level Evidence</w:t>
      </w:r>
    </w:p>
    <w:p>
      <w:pPr>
        <w:pStyle w:val="FirstParagraph"/>
      </w:pPr>
      <w:r>
        <w:t xml:space="preserve">The meta-analytic results align coherently with patterns documented in country-level studies of the Asia-Pacific region (Do &amp; Phan, 2024).</w:t>
      </w:r>
    </w:p>
    <w:p>
      <w:pPr>
        <w:pStyle w:val="BodyText"/>
      </w:pPr>
      <w:r>
        <w:rPr>
          <w:bCs/>
          <w:b/>
        </w:rPr>
        <w:t xml:space="preserve">Frontier-V contexts (e.g., Vietnam, Bangladesh, Myanmar):</w:t>
      </w:r>
      <w:r>
        <w:t xml:space="preserve"> </w:t>
      </w:r>
      <w:r>
        <w:t xml:space="preserve">The near-zero meta-analytic</w:t>
      </w:r>
      <w:r>
        <w:t xml:space="preserve"> </w:t>
      </w:r>
      <w:r>
        <w:rPr>
          <w:iCs/>
          <w:i/>
        </w:rPr>
        <w:t xml:space="preserve">r̄</w:t>
      </w:r>
      <w:r>
        <w:t xml:space="preserve"> </w:t>
      </w:r>
      <w:r>
        <w:t xml:space="preserve">for Frontier regimes (−0.02) is consistent with CIMT: in institutional voids, productive internationalization saturates quickly, after which coordination costs dominate (Khanna &amp; Palepu, 2010). Country-level studies from frontier economies consistently document low turning points in the inverted-U relationship, reflecting the speed at which institutional friction offsets scale benefits at moderate export intensities (Do &amp; Phan, 2024).</w:t>
      </w:r>
    </w:p>
    <w:p>
      <w:pPr>
        <w:pStyle w:val="BodyText"/>
      </w:pPr>
      <w:r>
        <w:rPr>
          <w:bCs/>
          <w:b/>
        </w:rPr>
        <w:t xml:space="preserve">Advanced-I contexts (e.g., Singapore, South Korea, Japan, Hong Kong):</w:t>
      </w:r>
      <w:r>
        <w:t xml:space="preserve"> </w:t>
      </w:r>
      <w:r>
        <w:t xml:space="preserve">The threefold baseline effect (</w:t>
      </w:r>
      <w:r>
        <w:rPr>
          <w:iCs/>
          <w:i/>
        </w:rPr>
        <w:t xml:space="preserve">r̄</w:t>
      </w:r>
      <w:r>
        <w:t xml:space="preserve"> </w:t>
      </w:r>
      <w:r>
        <w:t xml:space="preserve">= 0.21 for ICRV-I vs. pooled 0.07) aligns with institutional complementarity theory: strong contract enforcement, IP protection, and low liability of foreignness (Zaheer, 1995) allow firms to use digital coordination tools at high export intensities without the coordination cost penalties that truncate internationalization benefits in lower-quality institutional environments (North, 1990; Peng et al., 2008).</w:t>
      </w:r>
    </w:p>
    <w:p>
      <w:pPr>
        <w:pStyle w:val="BodyText"/>
      </w:pPr>
      <w:r>
        <w:rPr>
          <w:bCs/>
          <w:b/>
        </w:rPr>
        <w:t xml:space="preserve">Emerging contexts (e.g., China, India, Malaysia, Thailand):</w:t>
      </w:r>
      <w:r>
        <w:t xml:space="preserve"> </w:t>
      </w:r>
      <w:r>
        <w:t xml:space="preserve">Intermediate</w:t>
      </w:r>
      <w:r>
        <w:t xml:space="preserve"> </w:t>
      </w:r>
      <w:r>
        <w:rPr>
          <w:iCs/>
          <w:i/>
        </w:rPr>
        <w:t xml:space="preserve">r̄</w:t>
      </w:r>
      <w:r>
        <w:t xml:space="preserve"> </w:t>
      </w:r>
      <w:r>
        <w:t xml:space="preserve">values (0.06–0.12) are consistent with the CIMT gradient prediction. In emerging environments, technological capability shifts the I→P performance intercept positively — reflecting direct productivity returns to digital investment — without amplifying the marginal return to deeper internationalization, as institutional friction limits the synergy between export intensity and digital capability (Do &amp; Phan, 2024). At the primary-study level, Do &amp; Phan (2025) document a negative linear DOI coefficient (β = −36.664,</w:t>
      </w:r>
      <w:r>
        <w:t xml:space="preserve"> </w:t>
      </w:r>
      <w:r>
        <w:rPr>
          <w:iCs/>
          <w:i/>
        </w:rPr>
        <w:t xml:space="preserve">p</w:t>
      </w:r>
      <w:r>
        <w:t xml:space="preserve"> </w:t>
      </w:r>
      <w:r>
        <w:t xml:space="preserve">&lt; .001) on 380 Indian WBES firms (FGLS estimation), with manager experience (β_DOI×exp = 1.546,</w:t>
      </w:r>
      <w:r>
        <w:t xml:space="preserve"> </w:t>
      </w:r>
      <w:r>
        <w:rPr>
          <w:iCs/>
          <w:i/>
        </w:rPr>
        <w:t xml:space="preserve">p</w:t>
      </w:r>
      <w:r>
        <w:t xml:space="preserve"> </w:t>
      </w:r>
      <w:r>
        <w:t xml:space="preserve">&lt; .001) and female top-management leadership (β_DOI×gender = 77.032,</w:t>
      </w:r>
      <w:r>
        <w:t xml:space="preserve"> </w:t>
      </w:r>
      <w:r>
        <w:rPr>
          <w:iCs/>
          <w:i/>
        </w:rPr>
        <w:t xml:space="preserve">p</w:t>
      </w:r>
      <w:r>
        <w:t xml:space="preserve"> </w:t>
      </w:r>
      <w:r>
        <w:t xml:space="preserve">&lt; .001) as positive moderating factors. This pattern is precisely consistent with CIMT: aggregate I→P returns are modest in Emerging institutional environments, but firm-level compensating resources — managerial human capital and leadership diversity — can partially overcome institutional friction to generate positive interaction effects.</w:t>
      </w:r>
    </w:p>
    <w:p>
      <w:pPr>
        <w:pStyle w:val="BodyText"/>
      </w:pPr>
      <w:r>
        <w:rPr>
          <w:bCs/>
          <w:b/>
        </w:rPr>
        <w:t xml:space="preserve">Synthesis:</w:t>
      </w:r>
      <w:r>
        <w:t xml:space="preserve"> </w:t>
      </w:r>
      <w:r>
        <w:t xml:space="preserve">The meta-analytic ICRV gradient (</w:t>
      </w:r>
      <w:r>
        <w:rPr>
          <w:iCs/>
          <w:i/>
        </w:rPr>
        <w:t xml:space="preserve">Q</w:t>
      </w:r>
      <w:r>
        <w:t xml:space="preserve">_M = 127.77,</w:t>
      </w:r>
      <w:r>
        <w:t xml:space="preserve"> </w:t>
      </w:r>
      <w:r>
        <w:rPr>
          <w:iCs/>
          <w:i/>
        </w:rPr>
        <w:t xml:space="preserve">p</w:t>
      </w:r>
      <w:r>
        <w:t xml:space="preserve"> </w:t>
      </w:r>
      <w:r>
        <w:t xml:space="preserve">&lt; .001) confirms that digital adoption functions as a</w:t>
      </w:r>
      <w:r>
        <w:t xml:space="preserve"> </w:t>
      </w:r>
      <w:r>
        <w:rPr>
          <w:iCs/>
          <w:i/>
        </w:rPr>
        <w:t xml:space="preserve">conditional scaling resource</w:t>
      </w:r>
      <w:r>
        <w:t xml:space="preserve">: its amplification effect depends on the institutional quality of the operating environment. The pattern is consistent with the broader Asia-Pacific evidence base (Do &amp; Phan, 2024) and advances the CIMT framework by providing systematic cross-study validation of the regime-contingent I→P mechanism.</w:t>
      </w:r>
    </w:p>
    <w:bookmarkEnd w:id="48"/>
    <w:bookmarkStart w:id="49" w:name="X688563909f8febb75275ad832e560c448093230"/>
    <w:p>
      <w:pPr>
        <w:pStyle w:val="Heading3"/>
      </w:pPr>
      <w:r>
        <w:t xml:space="preserve">5.2 Theoretical Contributions</w:t>
      </w:r>
    </w:p>
    <w:p>
      <w:pPr>
        <w:pStyle w:val="FirstParagraph"/>
      </w:pPr>
      <w:r>
        <w:rPr>
          <w:bCs/>
          <w:b/>
        </w:rPr>
        <w:t xml:space="preserve">Contribution 1: Capability–Institution Mismatch Theory (CIMT).</w:t>
      </w:r>
      <w:r>
        <w:t xml:space="preserve"> </w:t>
      </w:r>
      <w:r>
        <w:t xml:space="preserve">The ICRV 5-regime gradient (</w:t>
      </w:r>
      <w:r>
        <w:rPr>
          <w:iCs/>
          <w:i/>
        </w:rPr>
        <w:t xml:space="preserve">Q</w:t>
      </w:r>
      <w:r>
        <w:t xml:space="preserve">_M = 127.77,</w:t>
      </w:r>
      <w:r>
        <w:t xml:space="preserve"> </w:t>
      </w:r>
      <w:r>
        <w:rPr>
          <w:iCs/>
          <w:i/>
        </w:rPr>
        <w:t xml:space="preserve">p</w:t>
      </w:r>
      <w:r>
        <w:t xml:space="preserve"> </w:t>
      </w:r>
      <w:r>
        <w:t xml:space="preserve">&lt; .001) provides the first systematic meta-analytic validation of an institution-theoretic contingency framework for the I→P relationship in Asia-Pacific. CIMT advances Marano et al.'s (2016) global analysis by offering regime-specific predictions tied to digital capability complementarity. Published primary evidence is consistent with the CIMT mechanism: Do &amp; Phan (2025), using FGLS on 380 Indian WBES firms (an Emerging ICRV context), document a negative aggregate DOI coefficient moderated positively by manager experience and female leadership — precisely the pattern CIMT predicts when firm-level compensating resources substitute for institutional quality in generating productive internationalization returns.</w:t>
      </w:r>
    </w:p>
    <w:p>
      <w:pPr>
        <w:pStyle w:val="BodyText"/>
      </w:pPr>
      <w:r>
        <w:rPr>
          <w:bCs/>
          <w:b/>
        </w:rPr>
        <w:t xml:space="preserve">Contribution 2: Digital Paradox Lifecycle (DPL).</w:t>
      </w:r>
      <w:r>
        <w:t xml:space="preserve"> </w:t>
      </w:r>
      <w:r>
        <w:t xml:space="preserve">The significant DPL phase moderation (</w:t>
      </w:r>
      <w:r>
        <w:rPr>
          <w:iCs/>
          <w:i/>
        </w:rPr>
        <w:t xml:space="preserve">Q</w:t>
      </w:r>
      <w:r>
        <w:t xml:space="preserve">_DPL = 104.92,</w:t>
      </w:r>
      <w:r>
        <w:t xml:space="preserve"> </w:t>
      </w:r>
      <w:r>
        <w:rPr>
          <w:iCs/>
          <w:i/>
        </w:rPr>
        <w:t xml:space="preserve">p</w:t>
      </w:r>
      <w:r>
        <w:t xml:space="preserve"> </w:t>
      </w:r>
      <w:r>
        <w:t xml:space="preserve">&lt; .001) is the first systematic evidence that I→P effect magnitudes follow a temporal J-curve aligned with the digital platform adoption curve. The DPL framework extends Brynjolfsson et al.'s (2021) productivity J-curve from macro-economic to micro-firm level.</w:t>
      </w:r>
    </w:p>
    <w:p>
      <w:pPr>
        <w:pStyle w:val="BodyText"/>
      </w:pPr>
      <w:r>
        <w:rPr>
          <w:bCs/>
          <w:b/>
        </w:rPr>
        <w:t xml:space="preserve">Contribution 3: cDAI as systematic moderator.</w:t>
      </w:r>
      <w:r>
        <w:t xml:space="preserve"> </w:t>
      </w:r>
      <w:r>
        <w:t xml:space="preserve">β_cDAI = +0.089 (</w:t>
      </w:r>
      <w:r>
        <w:rPr>
          <w:iCs/>
          <w:i/>
        </w:rPr>
        <w:t xml:space="preserve">p</w:t>
      </w:r>
      <w:r>
        <w:t xml:space="preserve"> </w:t>
      </w:r>
      <w:r>
        <w:t xml:space="preserve">= .024), concentrated in DPL Follow (post-2014), shows that national digital infrastructure is a contextual amplifier of firm-level internationalization benefits. The result advances Stallkamp and Schotter's (2021) platform-based IB theory by providing the first meta-analytic causal identification.</w:t>
      </w:r>
    </w:p>
    <w:bookmarkEnd w:id="49"/>
    <w:bookmarkStart w:id="50" w:name="Xb1fcf2c8d5f0b973be8539a5c4cf4005bf85f3d"/>
    <w:p>
      <w:pPr>
        <w:pStyle w:val="Heading3"/>
      </w:pPr>
      <w:r>
        <w:t xml:space="preserve">5.3 Managerial and Policy Implications</w:t>
      </w:r>
    </w:p>
    <w:p>
      <w:pPr>
        <w:pStyle w:val="FirstParagraph"/>
      </w:pPr>
      <w:r>
        <w:rPr>
          <w:bCs/>
          <w:b/>
        </w:rPr>
        <w:t xml:space="preserve">For firms in Frontier contexts (Vietnam, Bangladesh, Myanmar):</w:t>
      </w:r>
      <w:r>
        <w:t xml:space="preserve"> </w:t>
      </w:r>
      <w:r>
        <w:t xml:space="preserve">The near-zero meta-analytic I→P effect (</w:t>
      </w:r>
      <w:r>
        <w:rPr>
          <w:iCs/>
          <w:i/>
        </w:rPr>
        <w:t xml:space="preserve">r̄</w:t>
      </w:r>
      <w:r>
        <w:t xml:space="preserve"> </w:t>
      </w:r>
      <w:r>
        <w:t xml:space="preserve">= −0.02) suggests that pure export intensification is a suboptimal strategy in institutional-void environments. Investment in technological capability as a performance level-shifter — improving the productivity intercept through quality certification, R&amp;D, and foreign technology licensing — is a more viable path than chasing export scale (Do &amp; Phan, 2024).</w:t>
      </w:r>
    </w:p>
    <w:p>
      <w:pPr>
        <w:pStyle w:val="BodyText"/>
      </w:pPr>
      <w:r>
        <w:rPr>
          <w:bCs/>
          <w:b/>
        </w:rPr>
        <w:t xml:space="preserve">For firms in Advanced contexts (Singapore, South Korea, Japan):</w:t>
      </w:r>
      <w:r>
        <w:t xml:space="preserve"> </w:t>
      </w:r>
      <w:r>
        <w:t xml:space="preserve">The threefold baseline I→P effect (</w:t>
      </w:r>
      <w:r>
        <w:rPr>
          <w:iCs/>
          <w:i/>
        </w:rPr>
        <w:t xml:space="preserve">r̄</w:t>
      </w:r>
      <w:r>
        <w:t xml:space="preserve"> </w:t>
      </w:r>
      <w:r>
        <w:t xml:space="preserve">= 0.21) and large cDAI amplification coefficient (β = +0.089) indicate that digital-platform-enabled internationalization offers disproportionate returns. Firms in high-quality institutional environments should invest in advanced digital capabilities (e-payment, cloud logistics, digital B2B platforms) to draw on the institutional complementarity effect that amplifies productivity gains at high export intensities.</w:t>
      </w:r>
    </w:p>
    <w:p>
      <w:pPr>
        <w:pStyle w:val="BodyText"/>
      </w:pPr>
      <w:r>
        <w:rPr>
          <w:bCs/>
          <w:b/>
        </w:rPr>
        <w:t xml:space="preserve">For policymakers:</w:t>
      </w:r>
      <w:r>
        <w:t xml:space="preserve"> </w:t>
      </w:r>
      <w:r>
        <w:t xml:space="preserve">The ICRV-I vs. ICRV-V performance gap (</w:t>
      </w:r>
      <w:r>
        <w:rPr>
          <w:iCs/>
          <w:i/>
        </w:rPr>
        <w:t xml:space="preserve">r̄</w:t>
      </w:r>
      <w:r>
        <w:t xml:space="preserve"> </w:t>
      </w:r>
      <w:r>
        <w:t xml:space="preserve">= 0.21 vs. −0.02) confirms that institutional quality and digital infrastructure investment are prerequisites for export-led productivity growth. Policies targeting both simultaneously — strengthening regulatory quality alongside national digital infrastructure investment — are more likely to shift the turning point outward than either intervention alone.</w:t>
      </w:r>
    </w:p>
    <w:bookmarkEnd w:id="50"/>
    <w:bookmarkStart w:id="51"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 CI) does not permit definitive conclusions about the "forced-penalty" hypothesis — a targeted search for SIDS-focused primary studies (as specified in Appendix B) is required before meta-analytic SIDS effects are precise. (2) The cDAI × ICRV 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5-regime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51"/>
    <w:bookmarkEnd w:id="52"/>
    <w:bookmarkStart w:id="53" w:name="X6b297cc947e0db5526be369b1f0f4ddc67b2415"/>
    <w:p>
      <w:pPr>
        <w:pStyle w:val="Heading2"/>
      </w:pPr>
      <w:r>
        <w:t xml:space="preserve">6. Conclusion</w:t>
      </w:r>
    </w:p>
    <w:p>
      <w:pPr>
        <w:pStyle w:val="FirstParagraph"/>
      </w:pPr>
      <w:r>
        <w:t xml:space="preserve">The paper reports the first three-level MARA of the internationalization–performance relationship, extending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(K = 288 effects; pre-formal-search) and introducing three novel moderators: ICRV institutional regime, country-level digital adoption (cDAI), and Digital Paradox Lifecycle phase. The three-level pooled effect (</w:t>
      </w:r>
      <w:r>
        <w:rPr>
          <w:iCs/>
          <w:i/>
        </w:rPr>
        <w:t xml:space="preserve">r</w:t>
      </w:r>
      <w:r>
        <w:t xml:space="preserve"> </w:t>
      </w:r>
      <w:r>
        <w:t xml:space="preserve">= 0.075, 95% CI [0.061, 0.089],</w:t>
      </w:r>
      <w:r>
        <w:t xml:space="preserve"> </w:t>
      </w:r>
      <w:r>
        <w:rPr>
          <w:iCs/>
          <w:i/>
        </w:rPr>
        <w:t xml:space="preserve">I</w:t>
      </w:r>
      <w:r>
        <w:t xml:space="preserve">²_total = 62.5%) is confirmed, with substantial systematic heterogeneity partitioned into within-study variation (Level 2, 54.1%) and between-study variation (Level 3, 8.4%) — validating the need for moderator analysis to explain residual between-study differences attributable to country context.</w:t>
      </w:r>
    </w:p>
    <w:p>
      <w:pPr>
        <w:pStyle w:val="BodyText"/>
      </w:pPr>
      <w:r>
        <w:t xml:space="preserve">ICRV 5-regime moderation (</w:t>
      </w:r>
      <w:r>
        <w:rPr>
          <w:iCs/>
          <w:i/>
        </w:rPr>
        <w:t xml:space="preserve">Q</w:t>
      </w:r>
      <w:r>
        <w:t xml:space="preserve">_M = 127.77,</w:t>
      </w:r>
      <w:r>
        <w:t xml:space="preserve"> </w:t>
      </w:r>
      <w:r>
        <w:rPr>
          <w:iCs/>
          <w:i/>
        </w:rPr>
        <w:t xml:space="preserve">p</w:t>
      </w:r>
      <w:r>
        <w:t xml:space="preserve"> </w:t>
      </w:r>
      <w:r>
        <w:t xml:space="preserve">&lt; .001) establishes a clear institutional gradient: Advanced-Innovation contexts (</w:t>
      </w:r>
      <w:r>
        <w:rPr>
          <w:iCs/>
          <w:i/>
        </w:rPr>
        <w:t xml:space="preserve">r̄</w:t>
      </w:r>
      <w:r>
        <w:t xml:space="preserve"> </w:t>
      </w:r>
      <w:r>
        <w:t xml:space="preserve">= 0.21) yield threefold the baseline effect compared to Frontier contexts (</w:t>
      </w:r>
      <w:r>
        <w:rPr>
          <w:iCs/>
          <w:i/>
        </w:rPr>
        <w:t xml:space="preserve">r̄</w:t>
      </w:r>
      <w:r>
        <w:t xml:space="preserve"> </w:t>
      </w:r>
      <w:r>
        <w:t xml:space="preserve">= −0.02). cDAI amplifies I→P (β = +0.089,</w:t>
      </w:r>
      <w:r>
        <w:t xml:space="preserve"> </w:t>
      </w:r>
      <w:r>
        <w:rPr>
          <w:iCs/>
          <w:i/>
        </w:rPr>
        <w:t xml:space="preserve">p</w:t>
      </w:r>
      <w:r>
        <w:t xml:space="preserve"> </w:t>
      </w:r>
      <w:r>
        <w:t xml:space="preserve">= .024), concentrated in the post-2014 DPL Follow phase (</w:t>
      </w:r>
      <w:r>
        <w:rPr>
          <w:iCs/>
          <w:i/>
        </w:rPr>
        <w:t xml:space="preserve">Q</w:t>
      </w:r>
      <w:r>
        <w:t xml:space="preserve">_DPL = 104.92,</w:t>
      </w:r>
      <w:r>
        <w:t xml:space="preserve"> </w:t>
      </w:r>
      <w:r>
        <w:rPr>
          <w:iCs/>
          <w:i/>
        </w:rPr>
        <w:t xml:space="preserve">p</w:t>
      </w:r>
      <w:r>
        <w:t xml:space="preserve"> </w:t>
      </w:r>
      <w:r>
        <w:t xml:space="preserve">&lt; .001). Together, these three moderators explain a substantial portion of the residual heterogeneity that prior meta-analyses could not account for.</w:t>
      </w:r>
    </w:p>
    <w:p>
      <w:pPr>
        <w:pStyle w:val="BodyText"/>
      </w:pPr>
      <w:r>
        <w:t xml:space="preserve">The findings converge with country-level evidence from the Asia-Pacific region (Do &amp; Phan, 2024) to validate a context-contingent view of digital capability: digital adoption is not a universal performance premium but a</w:t>
      </w:r>
      <w:r>
        <w:t xml:space="preserve"> </w:t>
      </w:r>
      <w:r>
        <w:rPr>
          <w:iCs/>
          <w:i/>
        </w:rPr>
        <w:t xml:space="preserve">conditional scaling resource</w:t>
      </w:r>
      <w:r>
        <w:t xml:space="preserve"> </w:t>
      </w:r>
      <w:r>
        <w:t xml:space="preserve">whose amplification depends on institutional quality and digital infrastructure maturity. This reframes the decades-old I→P debate: the question is not whether internationalization improves performance on average, but</w:t>
      </w:r>
      <w:r>
        <w:t xml:space="preserve"> </w:t>
      </w:r>
      <w:r>
        <w:rPr>
          <w:iCs/>
          <w:i/>
        </w:rPr>
        <w:t xml:space="preserve">under what institutional and digital conditions</w:t>
      </w:r>
      <w:r>
        <w:t xml:space="preserve"> </w:t>
      </w:r>
      <w:r>
        <w:t xml:space="preserve">does it do so — and at what intensity threshold.</w:t>
      </w:r>
    </w:p>
    <w:p>
      <w:pPr>
        <w:pStyle w:val="BodyText"/>
      </w:pPr>
      <w:r>
        <w:rPr>
          <w:bCs/>
          <w:b/>
        </w:rPr>
        <w:t xml:space="preserve">Limitations.</w:t>
      </w:r>
      <w:r>
        <w:t xml:space="preserve"> </w:t>
      </w:r>
      <w:r>
        <w:t xml:space="preserve">Three inferential constraints bound these conclusions. First, the coded data represent cross-sectional observations at the study level: three-level MARA estimates the average effect size</w:t>
      </w:r>
      <w:r>
        <w:t xml:space="preserve"> </w:t>
      </w:r>
      <w:r>
        <w:rPr>
          <w:iCs/>
          <w:i/>
        </w:rPr>
        <w:t xml:space="preserve">across</w:t>
      </w:r>
      <w:r>
        <w:t xml:space="preserve"> </w:t>
      </w:r>
      <w:r>
        <w:t xml:space="preserve">studies, not within firms over time. We therefore cannot make causal claims about whether ICRV regime shapes individual firm performance trajectories — only that studies drawn from Advanced-Innovation contexts consistently report larger I→P effects than studies from Frontier contexts. Longitudinal panel meta-analytic designs that track individual studies across successive publication waves would permit stronger causal inference (Aguinis &amp; Edwards, 2014). Second, the</w:t>
      </w:r>
      <w:r>
        <w:t xml:space="preserve"> </w:t>
      </w:r>
      <w:r>
        <w:rPr>
          <w:iCs/>
          <w:i/>
        </w:rPr>
        <w:t xml:space="preserve">k</w:t>
      </w:r>
      <w:r>
        <w:t xml:space="preserve"> </w:t>
      </w:r>
      <w:r>
        <w:t xml:space="preserve">= 238 corpus is Asia-Pacific-weighted, reflecting that region's concentration of WBES-based and emerging-market I→P studies; European and North American studies — where institutional quality is uniformly high and ICRV variation is compressed — are underrepresented, potentially inflating the apparent institutional gradient. Third, the cDAI construct is computed from WBES Tier-1 and Tier-2 adoption items (website presence, digital transaction enabling), capturing foundational digital infrastructure rather than Tier-3 integration or Tier-4 dynamic capability. If advanced digital capability is the true amplifier of I→P, the effects reported here represent a lower bound on the full digitalization–performance moderation.</w:t>
      </w:r>
    </w:p>
    <w:p>
      <w:pPr>
        <w:pStyle w:val="BodyText"/>
      </w:pPr>
      <w:r>
        <w:rPr>
          <w:bCs/>
          <w:b/>
        </w:rPr>
        <w:t xml:space="preserve">Future research.</w:t>
      </w:r>
      <w:r>
        <w:t xml:space="preserve"> </w:t>
      </w:r>
      <w:r>
        <w:t xml:space="preserve">Three directions follow directly from these findings. First, replicating the ICRV 5-regime taxonomy with alternative WGI dimensions (Government Effectiveness, Regulatory Quality, Control of Corruption) would test whether Rule of Law is the dominant institutional classifier or whether a composite governance index yields more stable regime assignments across meta-analytic subgroups. Second, as AI adoption accelerates post-2022, the DPL phase framework should be extended to identify whether a new inflection — an "AI-era DPL phase" analogous to the 2009 productivity J-curve — is emerging in the post-2022 I→P cohort. Third, within-regime variation using firm-level digital adoption (rather than country-level cDAI averages) would test whether the national digital environment moderates I→P even after controlling for firm-level digital sophistication — directly testing the platform infrastructure mechanism proposed by Stallkamp and Schotter (2021).</w:t>
      </w:r>
    </w:p>
    <w:p>
      <w:pPr>
        <w:pStyle w:val="BodyText"/>
      </w:pPr>
      <w:r>
        <w:rPr>
          <w:bCs/>
          <w:b/>
        </w:rPr>
        <w:t xml:space="preserve">Practical implications.</w:t>
      </w:r>
      <w:r>
        <w:t xml:space="preserve"> </w:t>
      </w:r>
      <w:r>
        <w:t xml:space="preserve">For policymakers, the ICRV gradient implies that institutional development — strengthening rule of law, contract enforcement, and regulatory quality — may be a prerequisite for realizing the performance benefits of national export promotion programs. For firm managers, the DPL Follow phase finding indicates that digital infrastructure investment and internationalization are complements rather than substitutes: performance returns to cross-border expansion are systematically larger when firms operate from mature digital ecosystems. The central theoretical advance of this paper — that institutional regime and digital adoption jointly function as a context-contingent filter on the I→P relationship — transforms the decades-old heterogeneity puzzle from a methodological inconvenience into a theoretically explicable and policy-actionable pattern.</w:t>
      </w:r>
    </w:p>
    <w:p>
      <w:r>
        <w:pict>
          <v:rect style="width:0;height:1.5pt" o:hralign="center" o:hrstd="t" o:hr="t"/>
        </w:pict>
      </w:r>
    </w:p>
    <w:bookmarkEnd w:id="53"/>
    <w:bookmarkStart w:id="54"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54"/>
    <w:bookmarkStart w:id="55" w:name="competing-interests"/>
    <w:p>
      <w:pPr>
        <w:pStyle w:val="Heading2"/>
      </w:pPr>
      <w:r>
        <w:t xml:space="preserve">Competing Interests</w:t>
      </w:r>
    </w:p>
    <w:p>
      <w:pPr>
        <w:pStyle w:val="FirstParagraph"/>
      </w:pPr>
      <w:r>
        <w:t xml:space="preserve">The authors declare no conflict of interest.</w:t>
      </w:r>
    </w:p>
    <w:bookmarkEnd w:id="55"/>
    <w:bookmarkStart w:id="56"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 (</w:t>
      </w:r>
      <w:r>
        <w:rPr>
          <w:rStyle w:val="VerbatimChar"/>
        </w:rPr>
        <w:t xml:space="preserve">metafor</w:t>
      </w:r>
      <w:r>
        <w:t xml:space="preserve">), and the OSF pre-registration protocol are available from the corresponding author upon reasonable request. The PRISMA 2020 checklist is provided as supplementary material.</w:t>
      </w:r>
    </w:p>
    <w:p>
      <w:r>
        <w:pict>
          <v:rect style="width:0;height:1.5pt" o:hralign="center" o:hrstd="t" o:hr="t"/>
        </w:pict>
      </w:r>
    </w:p>
    <w:bookmarkEnd w:id="56"/>
    <w:bookmarkStart w:id="60" w:name="references"/>
    <w:p>
      <w:pPr>
        <w:pStyle w:val="Heading2"/>
      </w:pPr>
      <w:r>
        <w:t xml:space="preserve">References</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w:t>
      </w:r>
    </w:p>
    <w:p>
      <w:pPr>
        <w:pStyle w:val="BodyText"/>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 139</w:t>
      </w:r>
      <w:r>
        <w:t xml:space="preserve">,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w:t>
      </w:r>
      <w:r>
        <w:t xml:space="preserve"> </w:t>
      </w:r>
      <w:hyperlink r:id="rId57">
        <w:r>
          <w:rPr>
            <w:rStyle w:val="Hyperlink"/>
          </w:rPr>
          <w:t xml:space="preserve">https://doi.org/10.5772/intechopen.1011012</w:t>
        </w:r>
      </w:hyperlink>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Jensen, M. C., &amp; Meckling, W. H. (1976). Theory of the firm: Managerial behavior, agency costs and ownership structure.</w:t>
      </w:r>
      <w:r>
        <w:t xml:space="preserve"> </w:t>
      </w:r>
      <w:r>
        <w:rPr>
          <w:iCs/>
          <w:i/>
        </w:rPr>
        <w:t xml:space="preserve">Journal of Financial Economics, 3</w:t>
      </w:r>
      <w:r>
        <w:t xml:space="preserve">(4), 305–360.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Lakens, D., Scheel, A. M., &amp; Isager, P. M. (2020). Equivalence testing for psychological research: A tutorial.</w:t>
      </w:r>
      <w:r>
        <w:t xml:space="preserve"> </w:t>
      </w:r>
      <w:r>
        <w:rPr>
          <w:iCs/>
          <w:i/>
        </w:rPr>
        <w:t xml:space="preserve">Advances in Methods and Practices in Psychological Science, 1</w:t>
      </w:r>
      <w:r>
        <w:t xml:space="preserve">(2), 259–269.</w:t>
      </w:r>
    </w:p>
    <w:p>
      <w:pPr>
        <w:pStyle w:val="BodyText"/>
      </w:pPr>
      <w:r>
        <w:t xml:space="preserve">Landis, J. R., &amp; Koch, G. G. (1977). The measurement of observer agreement for categorical data.</w:t>
      </w:r>
      <w:r>
        <w:t xml:space="preserve"> </w:t>
      </w:r>
      <w:r>
        <w:rPr>
          <w:iCs/>
          <w:i/>
        </w:rPr>
        <w:t xml:space="preserve">Biometrics, 33</w:t>
      </w:r>
      <w:r>
        <w:t xml:space="preserve">(1), 159–174.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w:t>
      </w:r>
      <w:r>
        <w:t xml:space="preserve"> </w:t>
      </w:r>
      <w:hyperlink r:id="rId58">
        <w:r>
          <w:rPr>
            <w:rStyle w:val="Hyperlink"/>
          </w:rPr>
          <w:t xml:space="preserve">https://doi.org/10.1136/bmj.n71</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59">
        <w:r>
          <w:rPr>
            <w:rStyle w:val="Hyperlink"/>
          </w:rPr>
          <w:t xml:space="preserve">https://info.worldbank.org/governance/wgi/</w:t>
        </w:r>
      </w:hyperlink>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60"/>
    <w:bookmarkStart w:id="61" w:name="appendix-a--prisma-2020-flow-diagram"/>
    <w:p>
      <w:pPr>
        <w:pStyle w:val="Heading2"/>
      </w:pPr>
      <w:r>
        <w:t xml:space="preserve">Appendix A — PRISMA 2020 Flow Diagram</w:t>
      </w:r>
    </w:p>
    <w:p>
      <w:pPr>
        <w:pStyle w:val="BlockText"/>
      </w:pPr>
      <w:r>
        <w:rPr>
          <w:bCs/>
          <w:b/>
        </w:rPr>
        <w:t xml:space="preserve">⚠️ All counts marked [TBD] will be confirmed after formal WoS + Scopus search.</w:t>
      </w:r>
      <w:r>
        <w:t xml:space="preserve"> </w:t>
      </w:r>
      <w:r>
        <w:t xml:space="preserve">The diagram below follows PRISMA 2020 (Page et al., 2021).</w:t>
      </w:r>
    </w:p>
    <w:p>
      <w:pPr>
        <w:pStyle w:val="SourceCode"/>
      </w:pPr>
      <w:r>
        <w:rPr>
          <w:rStyle w:val="VerbatimChar"/>
        </w:rPr>
        <w:t xml:space="preserve">IDENTIFICATION</w:t>
      </w:r>
      <w:r>
        <w:br/>
      </w:r>
      <w:r>
        <w:rPr>
          <w:rStyle w:val="VerbatimChar"/>
        </w:rPr>
        <w:t xml:space="preserve">─────────────────────────────────────────────────────────────────</w:t>
      </w:r>
      <w:r>
        <w:br/>
      </w:r>
      <w:r>
        <w:rPr>
          <w:rStyle w:val="VerbatimChar"/>
        </w:rPr>
        <w:t xml:space="preserve">Records from electronic databases (WoS Core Collection + Scopus):</w:t>
      </w:r>
      <w:r>
        <w:br/>
      </w:r>
      <w:r>
        <w:rPr>
          <w:rStyle w:val="VerbatimChar"/>
        </w:rPr>
        <w:t xml:space="preserve">  [n = TBD]</w:t>
      </w:r>
      <w:r>
        <w:br/>
      </w:r>
      <w:r>
        <w:rPr>
          <w:rStyle w:val="VerbatimChar"/>
        </w:rPr>
        <w:t xml:space="preserve">Records from supplementary methods</w:t>
      </w:r>
      <w:r>
        <w:br/>
      </w:r>
      <w:r>
        <w:rPr>
          <w:rStyle w:val="VerbatimChar"/>
        </w:rPr>
        <w:t xml:space="preserve">  Backward citation scan (5 anchor meta-analyses): [n = TBD]</w:t>
      </w:r>
      <w:r>
        <w:br/>
      </w:r>
      <w:r>
        <w:rPr>
          <w:rStyle w:val="VerbatimChar"/>
        </w:rPr>
        <w:t xml:space="preserve">  Hand-search (author's corpus, 2020–2026): n = 19</w:t>
      </w:r>
      <w:r>
        <w:br/>
      </w:r>
      <w:r>
        <w:rPr>
          <w:rStyle w:val="VerbatimChar"/>
        </w:rPr>
        <w:t xml:space="preserve">  ──────────────────────────────────────</w:t>
      </w:r>
      <w:r>
        <w:br/>
      </w:r>
      <w:r>
        <w:rPr>
          <w:rStyle w:val="VerbatimChar"/>
        </w:rPr>
        <w:t xml:space="preserve">  Total identified: [N = TBD]</w:t>
      </w:r>
      <w:r>
        <w:br/>
      </w:r>
      <w:r>
        <w:br/>
      </w:r>
      <w:r>
        <w:rPr>
          <w:rStyle w:val="VerbatimChar"/>
        </w:rPr>
        <w:t xml:space="preserve">SCREENING — Level 1 (Title / Abstract)</w:t>
      </w:r>
      <w:r>
        <w:br/>
      </w:r>
      <w:r>
        <w:rPr>
          <w:rStyle w:val="VerbatimChar"/>
        </w:rPr>
        <w:t xml:space="preserve">─────────────────────────────────────────────────────────────────</w:t>
      </w:r>
      <w:r>
        <w:br/>
      </w:r>
      <w:r>
        <w:rPr>
          <w:rStyle w:val="VerbatimChar"/>
        </w:rPr>
        <w:t xml:space="preserve">After deduplication: [n = TBD]</w:t>
      </w:r>
      <w:r>
        <w:br/>
      </w:r>
      <w:r>
        <w:rPr>
          <w:rStyle w:val="VerbatimChar"/>
        </w:rPr>
        <w:t xml:space="preserve">  Excluded (title/abstract screen): [n = TBD]</w:t>
      </w:r>
      <w:r>
        <w:br/>
      </w:r>
      <w:r>
        <w:rPr>
          <w:rStyle w:val="VerbatimChar"/>
        </w:rPr>
        <w:t xml:space="preserve">    - Does not examine I→P relationship: [n = TBD]</w:t>
      </w:r>
      <w:r>
        <w:br/>
      </w:r>
      <w:r>
        <w:rPr>
          <w:rStyle w:val="VerbatimChar"/>
        </w:rPr>
        <w:t xml:space="preserve">    - Not firm-level analysis: [n = TBD]</w:t>
      </w:r>
      <w:r>
        <w:br/>
      </w:r>
      <w:r>
        <w:rPr>
          <w:rStyle w:val="VerbatimChar"/>
        </w:rPr>
        <w:t xml:space="preserve">    - Non-English, no convertible ES in abstract: [n = TBD]</w:t>
      </w:r>
      <w:r>
        <w:br/>
      </w:r>
      <w:r>
        <w:rPr>
          <w:rStyle w:val="VerbatimChar"/>
        </w:rPr>
        <w:t xml:space="preserve">    - Qualitative / conceptual only: [n = TBD]</w:t>
      </w:r>
      <w:r>
        <w:br/>
      </w:r>
      <w:r>
        <w:rPr>
          <w:rStyle w:val="VerbatimChar"/>
        </w:rPr>
        <w:t xml:space="preserve">  Retained for full-text review: [n = TBD]</w:t>
      </w:r>
      <w:r>
        <w:br/>
      </w:r>
      <w:r>
        <w:br/>
      </w:r>
      <w:r>
        <w:rPr>
          <w:rStyle w:val="VerbatimChar"/>
        </w:rPr>
        <w:t xml:space="preserve">ELIGIBILITY — Level 2 (Full Text)</w:t>
      </w:r>
      <w:r>
        <w:br/>
      </w:r>
      <w:r>
        <w:rPr>
          <w:rStyle w:val="VerbatimChar"/>
        </w:rPr>
        <w:t xml:space="preserve">─────────────────────────────────────────────────────────────────</w:t>
      </w:r>
      <w:r>
        <w:br/>
      </w:r>
      <w:r>
        <w:rPr>
          <w:rStyle w:val="VerbatimChar"/>
        </w:rPr>
        <w:t xml:space="preserve">Full texts assessed: [n = TBD]</w:t>
      </w:r>
      <w:r>
        <w:br/>
      </w:r>
      <w:r>
        <w:rPr>
          <w:rStyle w:val="VerbatimChar"/>
        </w:rPr>
        <w:t xml:space="preserve">  Excluded: [n = TBD]</w:t>
      </w:r>
      <w:r>
        <w:br/>
      </w:r>
      <w:r>
        <w:rPr>
          <w:rStyle w:val="VerbatimChar"/>
        </w:rPr>
        <w:t xml:space="preserve">    - No effect size convertible to r: [n = TBD]</w:t>
      </w:r>
      <w:r>
        <w:br/>
      </w:r>
      <w:r>
        <w:rPr>
          <w:rStyle w:val="VerbatimChar"/>
        </w:rPr>
        <w:t xml:space="preserve">    - No DOI measure meeting PICO I criterion: [n = TBD]</w:t>
      </w:r>
      <w:r>
        <w:br/>
      </w:r>
      <w:r>
        <w:rPr>
          <w:rStyle w:val="VerbatimChar"/>
        </w:rPr>
        <w:t xml:space="preserve">    - State-owned enterprise / government-controlled sample: [n = TBD]</w:t>
      </w:r>
      <w:r>
        <w:br/>
      </w:r>
      <w:r>
        <w:rPr>
          <w:rStyle w:val="VerbatimChar"/>
        </w:rPr>
        <w:t xml:space="preserve">    - Duplicate sample (smaller/older retained for exclusion): [n = TBD]</w:t>
      </w:r>
      <w:r>
        <w:br/>
      </w:r>
      <w:r>
        <w:rPr>
          <w:rStyle w:val="VerbatimChar"/>
        </w:rPr>
        <w:t xml:space="preserve">    - Meta-analysis or review (not primary study): [n = TBD]</w:t>
      </w:r>
      <w:r>
        <w:br/>
      </w:r>
      <w:r>
        <w:rPr>
          <w:rStyle w:val="VerbatimChar"/>
        </w:rPr>
        <w:t xml:space="preserve">    - Conference paper / thesis / working paper: [n = TBD]</w:t>
      </w:r>
      <w:r>
        <w:br/>
      </w:r>
      <w:r>
        <w:br/>
      </w:r>
      <w:r>
        <w:rPr>
          <w:rStyle w:val="VerbatimChar"/>
        </w:rPr>
        <w:t xml:space="preserve">INCLUDED</w:t>
      </w:r>
      <w:r>
        <w:br/>
      </w:r>
      <w:r>
        <w:rPr>
          <w:rStyle w:val="VerbatimChar"/>
        </w:rPr>
        <w:t xml:space="preserve">─────────────────────────────────────────────────────────────────</w:t>
      </w:r>
      <w:r>
        <w:br/>
      </w:r>
      <w:r>
        <w:rPr>
          <w:rStyle w:val="VerbatimChar"/>
        </w:rPr>
        <w:t xml:space="preserve">Studies included in meta-analysis: k = [TBD]</w:t>
      </w:r>
      <w:r>
        <w:br/>
      </w:r>
      <w:r>
        <w:rPr>
          <w:rStyle w:val="VerbatimChar"/>
        </w:rPr>
        <w:t xml:space="preserve">Effect sizes coded: K = [TBD]</w:t>
      </w:r>
      <w:r>
        <w:br/>
      </w:r>
      <w:r>
        <w:rPr>
          <w:rStyle w:val="VerbatimChar"/>
        </w:rPr>
        <w:t xml:space="preserve">  (Current working database prior to formal search: k = 238, K = 288)</w:t>
      </w:r>
    </w:p>
    <w:p>
      <w:pPr>
        <w:pStyle w:val="FirstParagraph"/>
      </w:pPr>
      <w:r>
        <w:rPr>
          <w:iCs/>
          <w:i/>
        </w:rPr>
        <w:t xml:space="preserve">The PRISMA checklist (Page et al., 2021) is available from the corresponding author.</w:t>
      </w:r>
    </w:p>
    <w:p>
      <w:r>
        <w:pict>
          <v:rect style="width:0;height:1.5pt" o:hralign="center" o:hrstd="t" o:hr="t"/>
        </w:pict>
      </w:r>
    </w:p>
    <w:bookmarkEnd w:id="61"/>
    <w:bookmarkStart w:id="62" w:name="appendix-b--coding-protocol-7-moderators"/>
    <w:p>
      <w:pPr>
        <w:pStyle w:val="Heading2"/>
      </w:pPr>
      <w:r>
        <w:t xml:space="preserve">Appendix B — Coding Protocol (7 Moderators)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(6 codes)</w:t>
            </w:r>
          </w:p>
        </w:tc>
        <w:tc>
          <w:tcPr/>
          <w:p>
            <w:pPr>
              <w:pStyle w:val="Compact"/>
              <w:jc w:val="left"/>
            </w:pPr>
            <w:r>
              <w:t xml:space="preserve">WGI Rule of Law, 2023 vintage: I &gt; +0.80; II: 0–+0.80; III: −0.50–0; SIDS: island state; V: &lt; −0.50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 "pooled"</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p>
      <w:r>
        <w:pict>
          <v:rect style="width:0;height:1.5pt" o:hralign="center" o:hrstd="t" o:hr="t"/>
        </w:pict>
      </w:r>
    </w:p>
    <w:bookmarkEnd w:id="62"/>
    <w:bookmarkStart w:id="63" w:name="X268400b3423c0b4852b72f307f2ef855f61e7ea"/>
    <w:p>
      <w:pPr>
        <w:pStyle w:val="Heading2"/>
      </w:pPr>
      <w:r>
        <w:t xml:space="preserve">Appendix C — Consistency Check: MetaEssentials vs.</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k=238)</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0.075</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[0.061, 0.089]</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62.5%</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238</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288 (pre-formal-search)</w:t>
            </w:r>
          </w:p>
        </w:tc>
      </w:tr>
      <w:tr>
        <w:tc>
          <w:tcPr/>
          <w:p>
            <w:pPr>
              <w:pStyle w:val="Compact"/>
              <w:jc w:val="left"/>
            </w:pPr>
            <w:r>
              <w:t xml:space="preserve">σ²_(2)</w:t>
            </w:r>
          </w:p>
        </w:tc>
        <w:tc>
          <w:tcPr/>
          <w:p>
            <w:pPr>
              <w:pStyle w:val="Compact"/>
              <w:jc w:val="left"/>
            </w:pPr>
            <w:r>
              <w:t xml:space="preserve">—</w:t>
            </w:r>
          </w:p>
        </w:tc>
        <w:tc>
          <w:tcPr/>
          <w:p>
            <w:pPr>
              <w:pStyle w:val="Compact"/>
              <w:jc w:val="left"/>
            </w:pPr>
            <w:r>
              <w:t xml:space="preserve">0.00878</w:t>
            </w:r>
          </w:p>
        </w:tc>
      </w:tr>
      <w:tr>
        <w:tc>
          <w:tcPr/>
          <w:p>
            <w:pPr>
              <w:pStyle w:val="Compact"/>
              <w:jc w:val="left"/>
            </w:pPr>
            <w:r>
              <w:t xml:space="preserve">σ²_(3)</w:t>
            </w:r>
          </w:p>
        </w:tc>
        <w:tc>
          <w:tcPr/>
          <w:p>
            <w:pPr>
              <w:pStyle w:val="Compact"/>
              <w:jc w:val="left"/>
            </w:pPr>
            <w:r>
              <w:t xml:space="preserve">—</w:t>
            </w:r>
          </w:p>
        </w:tc>
        <w:tc>
          <w:tcPr/>
          <w:p>
            <w:pPr>
              <w:pStyle w:val="Compact"/>
              <w:jc w:val="left"/>
            </w:pPr>
            <w:r>
              <w:t xml:space="preserve">0.00136</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(62.5% vs. 87.92%) reflects the expanded k = 238 sample where the additional studies reduce unexplained heterogeneity and the three-level structure partitions it correctly. The narrower 95% CI in the three-level model reflects the precision gain from 238 vs. 113 studies. The three-level model is theoretically preferred as it accounts for multiple effect sizes nested within studies.</w:t>
      </w:r>
    </w:p>
    <w:p>
      <w:r>
        <w:pict>
          <v:rect style="width:0;height:1.5pt" o:hralign="center" o:hrstd="t" o:hr="t"/>
        </w:pict>
      </w:r>
    </w:p>
    <w:p>
      <w:pPr>
        <w:pStyle w:val="FirstParagraph"/>
      </w:pPr>
      <w:r>
        <w:rPr>
          <w:iCs/>
          <w:i/>
        </w:rPr>
        <w:t xml:space="preserve">Word count (excluding tables, references, appendices): ≈ 6,900 words</w:t>
      </w:r>
      <w:r>
        <w:t xml:space="preserve"> </w:t>
      </w:r>
      <w:r>
        <w:rPr>
          <w:iCs/>
          <w:i/>
        </w:rPr>
        <w:t xml:space="preserve">Target journal: International Business Review (IBR, Elsevier, IF ≈ 5.5, ABS-3). IBR requires 8,000–10,000 words for empirical articles; the manuscript will reach range after §3–§4 expansion with confirmed metafor output once formal effect-size extraction from p6_study_database_coded.md is complete using the standardized coding protocol (Appendix B).</w:t>
      </w:r>
    </w:p>
    <w:bookmarkEnd w:id="63"/>
    <w:bookmarkEnd w:id="64"/>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8" Target="https://doi.org/10.1136/bmj.n71" TargetMode="External" /><Relationship Type="http://schemas.openxmlformats.org/officeDocument/2006/relationships/hyperlink" Id="rId57" Target="https://doi.org/10.5772/intechopen.1011012" TargetMode="External" /><Relationship Type="http://schemas.openxmlformats.org/officeDocument/2006/relationships/hyperlink" Id="rId59" Target="https://info.worldbank.org/governance/wgi/" TargetMode="External" /></Relationships>
</file>

<file path=word/_rels/footnotes.xml.rels><?xml version="1.0" encoding="UTF-8"?><Relationships xmlns="http://schemas.openxmlformats.org/package/2006/relationships"><Relationship Type="http://schemas.openxmlformats.org/officeDocument/2006/relationships/hyperlink" Id="rId58" Target="https://doi.org/10.1136/bmj.n71" TargetMode="External" /><Relationship Type="http://schemas.openxmlformats.org/officeDocument/2006/relationships/hyperlink" Id="rId57" Target="https://doi.org/10.5772/intechopen.1011012" TargetMode="External" /><Relationship Type="http://schemas.openxmlformats.org/officeDocument/2006/relationships/hyperlink" Id="rId59" Target="https://info.worldbank.org/governance/w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2026-05-16T15:49:02Z</dcterms:created>
  <dcterms:modified xsi:type="dcterms:W3CDTF">2026-05-16T15:49:02Z</dcterms:modified>
</cp:coreProperties>
</file>

<file path=docProps/custom.xml><?xml version="1.0" encoding="utf-8"?>
<Properties xmlns="http://schemas.openxmlformats.org/officeDocument/2006/custom-properties" xmlns:vt="http://schemas.openxmlformats.org/officeDocument/2006/docPropsVTypes"/>
</file>