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0c6e4d0da10b64d0e26e4f46cdf4d61de6495dd"/>
    <w:p>
      <w:pPr>
        <w:pStyle w:val="Heading1"/>
      </w:pPr>
      <w:r>
        <w:t xml:space="preserve">Does Country Context Shape the Internationalization–Performance Link? A Three-Level Meta-Analytic Investigation of Digital Adoption, Institutional Regimes, and the Digital Paradox Lifecycle</w:t>
      </w:r>
    </w:p>
    <w:p>
      <w:pPr>
        <w:pStyle w:val="FirstParagraph"/>
      </w:pPr>
      <w:r>
        <w:t xml:space="preserve">[Author 1] · [Institution]</w:t>
      </w:r>
      <w:r>
        <w:t xml:space="preserve"> </w:t>
      </w:r>
      <w:r>
        <w:t xml:space="preserve">[Author 2] · [Institution]</w:t>
      </w:r>
    </w:p>
    <w:p>
      <w:r>
        <w:pict>
          <v:rect style="width:0;height:1.5pt" o:hralign="center" o:hrstd="t" o:hr="t"/>
        </w:pict>
      </w:r>
    </w:p>
    <w:bookmarkStart w:id="20" w:name="abstract"/>
    <w:p>
      <w:pPr>
        <w:pStyle w:val="Heading2"/>
      </w:pPr>
      <w:r>
        <w:t xml:space="preserve">Abstract</w:t>
      </w:r>
    </w:p>
    <w:p>
      <w:pPr>
        <w:pStyle w:val="FirstParagraph"/>
      </w:pPr>
      <w:r>
        <w:rPr>
          <w:bCs/>
          <w:b/>
        </w:rPr>
        <w:t xml:space="preserve">Purpose:</w:t>
      </w:r>
      <w:r>
        <w:t xml:space="preserve"> </w:t>
      </w:r>
      <w:r>
        <w:t xml:space="preserve">We conduct a three-level meta-analytic regression analysis (MARA) to test three theoretically motivated moderators — country-level digital adoption (cDAI), institutional context regime (ICRV), and Digital Paradox Lifecycle (DPL) phase — that prior meta-analyses of the internationalization–performance (I→P) relationship have not examined.</w:t>
      </w:r>
      <w:r>
        <w:t xml:space="preserve"> </w:t>
      </w:r>
      <w:r>
        <w:rPr>
          <w:bCs/>
          <w:b/>
        </w:rPr>
        <w:t xml:space="preserve">Design/methodology/approach:</w:t>
      </w:r>
      <w:r>
        <w:t xml:space="preserve"> </w:t>
      </w:r>
      <w:r>
        <w:t xml:space="preserve">A systematic search following PRISMA 2020 protocols on Web of Science and Scopus (1977–2026) identifies</w:t>
      </w:r>
      <w:r>
        <w:t xml:space="preserve"> </w:t>
      </w:r>
      <w:r>
        <w:rPr>
          <w:iCs/>
          <w:i/>
        </w:rPr>
        <w:t xml:space="preserve">k</w:t>
      </w:r>
      <w:r>
        <w:t xml:space="preserve"> </w:t>
      </w:r>
      <w:r>
        <w:t xml:space="preserve">= 238 studies with</w:t>
      </w:r>
      <w:r>
        <w:t xml:space="preserve"> </w:t>
      </w:r>
      <w:r>
        <w:rPr>
          <w:iCs/>
          <w:i/>
        </w:rPr>
        <w:t xml:space="preserve">K</w:t>
      </w:r>
      <w:r>
        <w:t xml:space="preserve"> </w:t>
      </w:r>
      <w:r>
        <w:t xml:space="preserve">= 288 effect sizes. Three-level MARA (Cheung, 2014; Van den Noortgate et al., 2013) decomposes heterogeneity into within-study (</w:t>
      </w:r>
      <w:r>
        <w:rPr>
          <w:iCs/>
          <w:i/>
        </w:rPr>
        <w:t xml:space="preserve">Level 2</w:t>
      </w:r>
      <w:r>
        <w:t xml:space="preserve">) and between-study (</w:t>
      </w:r>
      <w:r>
        <w:rPr>
          <w:iCs/>
          <w:i/>
        </w:rPr>
        <w:t xml:space="preserve">Level 3</w:t>
      </w:r>
      <w:r>
        <w:t xml:space="preserve">) components using</w:t>
      </w:r>
      <w:r>
        <w:t xml:space="preserve"> </w:t>
      </w:r>
      <w:r>
        <w:rPr>
          <w:rStyle w:val="VerbatimChar"/>
        </w:rPr>
        <w:t xml:space="preserve">metafor</w:t>
      </w:r>
      <w:r>
        <w:t xml:space="preserve"> </w:t>
      </w:r>
      <w:r>
        <w:t xml:space="preserve">in R. Pre-registration on OSF precedes effect-size extraction; inter-coder reliability κ ≥ 0.70 on 20% double-coded subsample.</w:t>
      </w:r>
      <w:r>
        <w:t xml:space="preserve"> </w:t>
      </w:r>
      <w:r>
        <w:rPr>
          <w:bCs/>
          <w:b/>
        </w:rPr>
        <w:t xml:space="preserve">Findings:</w:t>
      </w:r>
      <w:r>
        <w:t xml:space="preserve"> </w:t>
      </w:r>
      <w:r>
        <w:t xml:space="preserve">The baseline pooled effect is</w:t>
      </w:r>
      <w:r>
        <w:t xml:space="preserve"> </w:t>
      </w:r>
      <w:r>
        <w:rPr>
          <w:iCs/>
          <w:i/>
        </w:rPr>
        <w:t xml:space="preserve">r</w:t>
      </w:r>
      <w:r>
        <w:t xml:space="preserve"> </w:t>
      </w:r>
      <w:r>
        <w:t xml:space="preserve">= 0.075 (95% CI [0.061, 0.089],</w:t>
      </w:r>
      <w:r>
        <w:t xml:space="preserve"> </w:t>
      </w:r>
      <w:r>
        <w:rPr>
          <w:iCs/>
          <w:i/>
        </w:rPr>
        <w:t xml:space="preserve">p</w:t>
      </w:r>
      <w:r>
        <w:t xml:space="preserve"> </w:t>
      </w:r>
      <w:r>
        <w:t xml:space="preserve">&lt; .001) with</w:t>
      </w:r>
      <w:r>
        <w:t xml:space="preserve"> </w:t>
      </w:r>
      <w:r>
        <w:rPr>
          <w:iCs/>
          <w:i/>
        </w:rPr>
        <w:t xml:space="preserve">I</w:t>
      </w:r>
      <w:r>
        <w:t xml:space="preserve">² = 62.5% (Level 2 within-study: 54.1%; Level 3 between-study: 8.4%). Three-level decomposition confirms substantial systematic heterogeneity beyond sampling error, with within-study variance (multiple specifications per paper) as the dominant component; between-study variance captures country-level differences that the three moderators are designed to explain. ICRV regime moderation is significant (</w:t>
      </w:r>
      <w:r>
        <w:rPr>
          <w:iCs/>
          <w:i/>
        </w:rPr>
        <w:t xml:space="preserve">Q</w:t>
      </w:r>
      <w:r>
        <w:t xml:space="preserve">_M = 127.77,</w:t>
      </w:r>
      <w:r>
        <w:t xml:space="preserve"> </w:t>
      </w:r>
      <w:r>
        <w:rPr>
          <w:iCs/>
          <w:i/>
        </w:rPr>
        <w:t xml:space="preserve">df</w:t>
      </w:r>
      <w:r>
        <w:t xml:space="preserve"> </w:t>
      </w:r>
      <w:r>
        <w:t xml:space="preserve">= 4,</w:t>
      </w:r>
      <w:r>
        <w:t xml:space="preserve"> </w:t>
      </w:r>
      <w:r>
        <w:rPr>
          <w:iCs/>
          <w:i/>
        </w:rPr>
        <w:t xml:space="preserve">p</w:t>
      </w:r>
      <w:r>
        <w:t xml:space="preserve"> </w:t>
      </w:r>
      <w:r>
        <w:t xml:space="preserve">&lt; .001), with a clear gradient from Advanced-Innovation contexts (</w:t>
      </w:r>
      <w:r>
        <w:rPr>
          <w:iCs/>
          <w:i/>
        </w:rPr>
        <w:t xml:space="preserve">r̄</w:t>
      </w:r>
      <w:r>
        <w:t xml:space="preserve"> </w:t>
      </w:r>
      <w:r>
        <w:t xml:space="preserve">= 0.21) to Frontier contexts (</w:t>
      </w:r>
      <w:r>
        <w:rPr>
          <w:iCs/>
          <w:i/>
        </w:rPr>
        <w:t xml:space="preserve">r̄</w:t>
      </w:r>
      <w:r>
        <w:t xml:space="preserve"> </w:t>
      </w:r>
      <w:r>
        <w:t xml:space="preserve">= −0.02). cDAI amplifies the I→P effect positively (β = +0.089,</w:t>
      </w:r>
      <w:r>
        <w:t xml:space="preserve"> </w:t>
      </w:r>
      <w:r>
        <w:rPr>
          <w:iCs/>
          <w:i/>
        </w:rPr>
        <w:t xml:space="preserve">p</w:t>
      </w:r>
      <w:r>
        <w:t xml:space="preserve"> </w:t>
      </w:r>
      <w:r>
        <w:t xml:space="preserve">= .024), concentrated in the DPL Follow phase (post-2014). DPL phasing itself shows significant temporal moderation (</w:t>
      </w:r>
      <w:r>
        <w:rPr>
          <w:iCs/>
          <w:i/>
        </w:rPr>
        <w:t xml:space="preserve">Q</w:t>
      </w:r>
      <w:r>
        <w:t xml:space="preserve">_DPL = 104.92,</w:t>
      </w:r>
      <w:r>
        <w:t xml:space="preserve"> </w:t>
      </w:r>
      <w:r>
        <w:rPr>
          <w:iCs/>
          <w:i/>
        </w:rPr>
        <w:t xml:space="preserve">df</w:t>
      </w:r>
      <w:r>
        <w:t xml:space="preserve"> </w:t>
      </w:r>
      <w:r>
        <w:t xml:space="preserve">= 2,</w:t>
      </w:r>
      <w:r>
        <w:t xml:space="preserve"> </w:t>
      </w:r>
      <w:r>
        <w:rPr>
          <w:iCs/>
          <w:i/>
        </w:rPr>
        <w:t xml:space="preserve">p</w:t>
      </w:r>
      <w:r>
        <w:t xml:space="preserve"> </w:t>
      </w:r>
      <w:r>
        <w:t xml:space="preserve">&lt; .001): Follow &gt; Span &gt; Precede.</w:t>
      </w:r>
      <w:r>
        <w:t xml:space="preserve"> </w:t>
      </w:r>
      <w:r>
        <w:rPr>
          <w:bCs/>
          <w:b/>
        </w:rPr>
        <w:t xml:space="preserve">Originality/value:</w:t>
      </w:r>
      <w:r>
        <w:t xml:space="preserve"> </w:t>
      </w:r>
      <w:r>
        <w:t xml:space="preserve">This is the first three-level MARA of I→P, the first to apply an ICRV 5-regime taxonomy to the Asia-Pacific literature, and the first to test DPL phase as a temporal moderator. Results confirm that digital capability is a</w:t>
      </w:r>
      <w:r>
        <w:t xml:space="preserve"> </w:t>
      </w:r>
      <w:r>
        <w:rPr>
          <w:iCs/>
          <w:i/>
        </w:rPr>
        <w:t xml:space="preserve">conditional scaling resource</w:t>
      </w:r>
      <w:r>
        <w:t xml:space="preserve"> </w:t>
      </w:r>
      <w:r>
        <w:t xml:space="preserve">— not a universal performance premium — whose amplification depends on the institutional quality of the host environment.</w:t>
      </w:r>
    </w:p>
    <w:p>
      <w:pPr>
        <w:pStyle w:val="BodyText"/>
      </w:pPr>
      <w:r>
        <w:rPr>
          <w:bCs/>
          <w:b/>
        </w:rPr>
        <w:t xml:space="preserve">Keywords:</w:t>
      </w:r>
      <w:r>
        <w:t xml:space="preserve"> </w:t>
      </w:r>
      <w:r>
        <w:t xml:space="preserve">internationalization–performance; meta-analysis; three-level model; digital adoption; institutional context; ICRV; Digital Paradox Lifecycle; Asia-Pacific</w:t>
      </w:r>
    </w:p>
    <w:p>
      <w:r>
        <w:pict>
          <v:rect style="width:0;height:1.5pt" o:hralign="center" o:hrstd="t" o:hr="t"/>
        </w:pict>
      </w:r>
    </w:p>
    <w:bookmarkEnd w:id="20"/>
    <w:bookmarkStart w:id="21" w:name="Xe3d0fc0bea9a42ce7605565d0964033d7f6ee47"/>
    <w:p>
      <w:pPr>
        <w:pStyle w:val="Heading2"/>
      </w:pPr>
      <w:r>
        <w:t xml:space="preserve">1. Introduction</w:t>
      </w:r>
    </w:p>
    <w:p>
      <w:pPr>
        <w:pStyle w:val="FirstParagraph"/>
      </w:pPr>
      <w:r>
        <w:t xml:space="preserve">Cross-border firm expansion has become one of the defining strategic imperatives of the modern economy. The past three decades have witnessed dramatic growth in outward foreign direct investment, export-oriented production, and global value chain participation, transforming internationalization from a strategy available primarily to large multinationals into a competitive consideration for firms across size classes and geographies (Dunning, 2000; Johanson &amp; Vahlne, 2009; Kafouros et al., 2012). Against this backdrop, the question of whether internationalization improves firm performance is not merely academic — it shapes investment decisions, government export promotion policy, and the strategic priorities of firms navigating an increasingly interconnected global economy (Hitt et al., 2006; Lu &amp; Beamish, 2004). For scholars, however, the record remains stubbornly inconclusive.</w:t>
      </w:r>
    </w:p>
    <w:p>
      <w:pPr>
        <w:pStyle w:val="BodyText"/>
      </w:pPr>
      <w:r>
        <w:t xml:space="preserve">The relationship between a firm's degree of internationalization and its performance (the "I→P relationship") is the most meta-analyzed question in international business (IB). Over four decades and six major meta-analyses (Bausch &amp; Krist, 2007; Kirca et al., 2012; Marano et al., 2016; Schwens et al., 2018; Wu et al., 2022; Arte &amp; Larimo, 2022), no consensus has emerged: pooled effects are consistently small and positive, yet</w:t>
      </w:r>
      <w:r>
        <w:t xml:space="preserve"> </w:t>
      </w:r>
      <w:r>
        <w:rPr>
          <w:iCs/>
          <w:i/>
        </w:rPr>
        <w:t xml:space="preserve">I</w:t>
      </w:r>
      <w:r>
        <w:t xml:space="preserve">² regularly exceeds 80%, signaling that context — not a universal mechanism — drives outcomes.</w:t>
      </w:r>
    </w:p>
    <w:p>
      <w:pPr>
        <w:pStyle w:val="BodyText"/>
      </w:pPr>
      <w:r>
        <w:t xml:space="preserve">The present study's starting point is the ICBEF 2025 baseline analysis (Do &amp; Phan, 2024):</w:t>
      </w:r>
      <w:r>
        <w:t xml:space="preserve"> </w:t>
      </w:r>
      <w:r>
        <w:rPr>
          <w:iCs/>
          <w:i/>
        </w:rPr>
        <w:t xml:space="preserve">k</w:t>
      </w:r>
      <w:r>
        <w:t xml:space="preserve"> </w:t>
      </w:r>
      <w:r>
        <w:t xml:space="preserve">= 113 studies, pooled</w:t>
      </w:r>
      <w:r>
        <w:t xml:space="preserve"> </w:t>
      </w:r>
      <w:r>
        <w:rPr>
          <w:iCs/>
          <w:i/>
        </w:rPr>
        <w:t xml:space="preserve">r</w:t>
      </w:r>
      <w:r>
        <w:t xml:space="preserve"> </w:t>
      </w:r>
      <w:r>
        <w:t xml:space="preserve">= 0.07 (</w:t>
      </w:r>
      <w:r>
        <w:rPr>
          <w:iCs/>
          <w:i/>
        </w:rPr>
        <w:t xml:space="preserve">p</w:t>
      </w:r>
      <w:r>
        <w:t xml:space="preserve"> </w:t>
      </w:r>
      <w:r>
        <w:t xml:space="preserve">&lt; .001),</w:t>
      </w:r>
      <w:r>
        <w:t xml:space="preserve"> </w:t>
      </w:r>
      <w:r>
        <w:rPr>
          <w:iCs/>
          <w:i/>
        </w:rPr>
        <w:t xml:space="preserve">I</w:t>
      </w:r>
      <w:r>
        <w:t xml:space="preserve">² = 87.92%. While confirming the positive average effect, this baseline identified that conventional moderators — country of origin, industry, performance measure type — leave approximately 70% of variance unexplained. Three theoretically grounded moderators, absent from all prior meta-analyses, motivate the present extension:</w:t>
      </w:r>
    </w:p>
    <w:p>
      <w:pPr>
        <w:pStyle w:val="BodyText"/>
      </w:pPr>
      <w:r>
        <w:rPr>
          <w:bCs/>
          <w:b/>
        </w:rPr>
        <w:t xml:space="preserve">Gap 1 — cDAI.</w:t>
      </w:r>
      <w:r>
        <w:t xml:space="preserve"> </w:t>
      </w:r>
      <w:r>
        <w:t xml:space="preserve">Country-level digital adoption (cDAI) has been proposed as a contextual amplifier of firm-level competitive advantages (Stallkamp &amp; Schotter, 2021; Verhoef et al., 2021), yet no meta-analysis has tested whether the national digital infrastructure environment moderates the I→P link.</w:t>
      </w:r>
    </w:p>
    <w:p>
      <w:pPr>
        <w:pStyle w:val="BodyText"/>
      </w:pPr>
      <w:r>
        <w:rPr>
          <w:bCs/>
          <w:b/>
        </w:rPr>
        <w:t xml:space="preserve">Gap 2 — ICRV 5-regime.</w:t>
      </w:r>
      <w:r>
        <w:t xml:space="preserve"> </w:t>
      </w:r>
      <w:r>
        <w:t xml:space="preserve">Marano et al. (2016) established that home-country institutions moderate I→P, but applied a coarse six-group global taxonomy. The Asia-Pacific region spans the widest institutional spectrum globally — from Singapore (World Governance Indicators Rule of Law score +1.84) to frontier economies (WGI &lt; −0.50; World Bank, 2023). An ICRV 5-regime classification tailored to this heterogeneity has not been tested meta-analytically.</w:t>
      </w:r>
    </w:p>
    <w:p>
      <w:pPr>
        <w:pStyle w:val="BodyText"/>
      </w:pPr>
      <w:r>
        <w:rPr>
          <w:bCs/>
          <w:b/>
        </w:rPr>
        <w:t xml:space="preserve">Gap 3 — DPL phase.</w:t>
      </w:r>
      <w:r>
        <w:t xml:space="preserve"> </w:t>
      </w:r>
      <w:r>
        <w:t xml:space="preserve">Brynjolfsson et al. (2021) identified 2009 as a productivity inflection point in the digital era (the "dynamo analogy" for AI: David, 1990). Studies examining data from before, spanning, or after this threshold should yield systematically different I→P effect sizes if digital platforms reshape internationalization economics. This temporal moderator has never been systematically coded in I→P meta-analyses.</w:t>
      </w:r>
    </w:p>
    <w:p>
      <w:pPr>
        <w:pStyle w:val="BodyText"/>
      </w:pPr>
      <w:r>
        <w:t xml:space="preserve">This paper addresses all three gaps through a fresh systematic search expanding the ICBEF 2025 baseline from</w:t>
      </w:r>
      <w:r>
        <w:t xml:space="preserve"> </w:t>
      </w:r>
      <w:r>
        <w:rPr>
          <w:iCs/>
          <w:i/>
        </w:rPr>
        <w:t xml:space="preserve">k</w:t>
      </w:r>
      <w:r>
        <w:t xml:space="preserve"> </w:t>
      </w:r>
      <w:r>
        <w:t xml:space="preserve">= 113 to</w:t>
      </w:r>
      <w:r>
        <w:t xml:space="preserve"> </w:t>
      </w:r>
      <w:r>
        <w:rPr>
          <w:iCs/>
          <w:i/>
        </w:rPr>
        <w:t xml:space="preserve">k</w:t>
      </w:r>
      <w:r>
        <w:t xml:space="preserve"> </w:t>
      </w:r>
      <w:r>
        <w:t xml:space="preserve">= 238, combined with three-level MARA that decomposes heterogeneity beyond what random-effects models allow.</w:t>
      </w:r>
    </w:p>
    <w:p>
      <w:pPr>
        <w:pStyle w:val="BodyText"/>
      </w:pPr>
      <w:r>
        <w:rPr>
          <w:bCs/>
          <w:b/>
        </w:rPr>
        <w:t xml:space="preserve">Contributions.</w:t>
      </w:r>
      <w:r>
        <w:t xml:space="preserve"> </w:t>
      </w:r>
      <w:r>
        <w:t xml:space="preserve">We make three methodological and three theoretical contributions:</w:t>
      </w:r>
      <w:r>
        <w:t xml:space="preserve"> </w:t>
      </w:r>
      <w:r>
        <w:rPr>
          <w:iCs/>
          <w:i/>
        </w:rPr>
        <w:t xml:space="preserve">(Methodological)</w:t>
      </w:r>
      <w:r>
        <w:t xml:space="preserve">: (1) First three-level MARA for the I→P literature; (2) first PRISMA-2020-compliant systematic search with OSF pre-registration for this topic; (3) first application of between-study</w:t>
      </w:r>
      <w:r>
        <w:t xml:space="preserve"> </w:t>
      </w:r>
      <w:r>
        <w:rPr>
          <w:iCs/>
          <w:i/>
        </w:rPr>
        <w:t xml:space="preserve">vs.</w:t>
      </w:r>
      <w:r>
        <w:t xml:space="preserve"> </w:t>
      </w:r>
      <w:r>
        <w:t xml:space="preserve">within-study heterogeneity decomposition to I→P.</w:t>
      </w:r>
      <w:r>
        <w:t xml:space="preserve"> </w:t>
      </w:r>
      <w:r>
        <w:rPr>
          <w:iCs/>
          <w:i/>
        </w:rPr>
        <w:t xml:space="preserve">(Theoretical)</w:t>
      </w:r>
      <w:r>
        <w:t xml:space="preserve">: (4) ICRV 5-regime provides the first institution-theoretic contingency framework tested meta-analytically for Asia-Pacific I→P; (5) cDAI shows that national digital infrastructure moderates aggregate I→P more strongly in the post-2014 DPL Follow phase; (6) DPL phase confirms a productivity-accumulation J-curve in the digitized internationalization literature.</w:t>
      </w:r>
    </w:p>
    <w:p>
      <w:pPr>
        <w:pStyle w:val="BodyText"/>
      </w:pPr>
      <w:r>
        <w:rPr>
          <w:bCs/>
          <w:b/>
        </w:rPr>
        <w:t xml:space="preserve">Key findings preview.</w:t>
      </w:r>
      <w:r>
        <w:t xml:space="preserve"> </w:t>
      </w:r>
      <w:r>
        <w:t xml:space="preserve">Among the principal results, the ICRV regime gradient emerges as the largest source of explained heterogeneity: Advanced-Innovation contexts (e.g., Singapore, Regime I) yield</w:t>
      </w:r>
      <w:r>
        <w:t xml:space="preserve"> </w:t>
      </w:r>
      <w:r>
        <w:rPr>
          <w:iCs/>
          <w:i/>
        </w:rPr>
        <w:t xml:space="preserve">r̄</w:t>
      </w:r>
      <w:r>
        <w:t xml:space="preserve"> </w:t>
      </w:r>
      <w:r>
        <w:t xml:space="preserve">= 0.21 — approximately threefold the pooled baseline — compared to Frontier contexts (</w:t>
      </w:r>
      <w:r>
        <w:rPr>
          <w:iCs/>
          <w:i/>
        </w:rPr>
        <w:t xml:space="preserve">r̄</w:t>
      </w:r>
      <w:r>
        <w:t xml:space="preserve"> </w:t>
      </w:r>
      <w:r>
        <w:t xml:space="preserve">= −0.02), collapsing what appears as a small-positive average effect into a spectrum ranging from meaningfully positive to effectively null. cDAI adds explanatory power concentrated in the DPL Follow phase (post-2014), where national digital infrastructure maturity amplifies I→P by β = +0.089 (</w:t>
      </w:r>
      <w:r>
        <w:rPr>
          <w:iCs/>
          <w:i/>
        </w:rPr>
        <w:t xml:space="preserve">p</w:t>
      </w:r>
      <w:r>
        <w:t xml:space="preserve"> </w:t>
      </w:r>
      <w:r>
        <w:t xml:space="preserve">= .024) per standardized unit of country adoption. DPL phase itself shows significant temporal moderation (</w:t>
      </w:r>
      <w:r>
        <w:rPr>
          <w:iCs/>
          <w:i/>
        </w:rPr>
        <w:t xml:space="preserve">Q</w:t>
      </w:r>
      <w:r>
        <w:t xml:space="preserve"> </w:t>
      </w:r>
      <w:r>
        <w:t xml:space="preserve">= 104.92,</w:t>
      </w:r>
      <w:r>
        <w:t xml:space="preserve"> </w:t>
      </w:r>
      <w:r>
        <w:rPr>
          <w:iCs/>
          <w:i/>
        </w:rPr>
        <w:t xml:space="preserve">p</w:t>
      </w:r>
      <w:r>
        <w:t xml:space="preserve"> </w:t>
      </w:r>
      <w:r>
        <w:t xml:space="preserve">&lt; .001), confirming that the post-2014 cohort of studies reports systematically larger effects than earlier decades. Taken together, these three moderators reframe the I→P puzzle: the question is not whether internationalization improves performance on average — it does — but</w:t>
      </w:r>
      <w:r>
        <w:t xml:space="preserve"> </w:t>
      </w:r>
      <w:r>
        <w:rPr>
          <w:iCs/>
          <w:i/>
        </w:rPr>
        <w:t xml:space="preserve">under what institutional and digital conditions</w:t>
      </w:r>
      <w:r>
        <w:t xml:space="preserve"> </w:t>
      </w:r>
      <w:r>
        <w:t xml:space="preserve">it does so, and at what intensity.</w:t>
      </w:r>
    </w:p>
    <w:p>
      <w:pPr>
        <w:pStyle w:val="BodyText"/>
      </w:pPr>
      <w:r>
        <w:rPr>
          <w:bCs/>
          <w:b/>
        </w:rPr>
        <w:t xml:space="preserve">Organization.</w:t>
      </w:r>
      <w:r>
        <w:t xml:space="preserve"> </w:t>
      </w:r>
      <w:r>
        <w:t xml:space="preserve">The paper proceeds as follows. Section 2 develops the theoretical framework and hypotheses, grounding each moderator in RBV, institutional theory, organizational learning theory, coordination cost theory, and the Foundational Digital Adoption Framework. Section 3 describes the systematic search protocol, coding procedure, and three-level MARA specification. Section 4 presents results, including the baseline model, three moderator analyses, and publication bias diagnostics. Section 5 discusses theoretical and practical implications, and Section 6 concludes with limitations and directions for future research.</w:t>
      </w:r>
    </w:p>
    <w:p>
      <w:r>
        <w:pict>
          <v:rect style="width:0;height:1.5pt" o:hralign="center" o:hrstd="t" o:hr="t"/>
        </w:pict>
      </w:r>
    </w:p>
    <w:bookmarkEnd w:id="21"/>
    <w:bookmarkStart w:id="28" w:name="Xce0b9068aa677089fdc23e66f61b75516af2bf7"/>
    <w:p>
      <w:pPr>
        <w:pStyle w:val="Heading2"/>
      </w:pPr>
      <w:r>
        <w:t xml:space="preserve">2. Theoretical Framework and Hypotheses</w:t>
      </w:r>
    </w:p>
    <w:bookmarkStart w:id="22" w:name="X3ef957228c2567a2a7acbf295337a0f0d698973"/>
    <w:p>
      <w:pPr>
        <w:pStyle w:val="Heading3"/>
      </w:pPr>
      <w:r>
        <w:t xml:space="preserve">2.1 Foundation Theories</w:t>
      </w:r>
    </w:p>
    <w:p>
      <w:pPr>
        <w:pStyle w:val="FirstParagraph"/>
      </w:pPr>
      <w:r>
        <w:t xml:space="preserve">Five theoretical perspectives ground the moderating hypotheses and connect the three new moderators to established predictions about the I→P relationship.</w:t>
      </w:r>
    </w:p>
    <w:p>
      <w:pPr>
        <w:pStyle w:val="BodyText"/>
      </w:pPr>
      <w:r>
        <w:rPr>
          <w:bCs/>
          <w:b/>
        </w:rPr>
        <w:t xml:space="preserve">Resource-Based View (RBV).</w:t>
      </w:r>
      <w:r>
        <w:t xml:space="preserve"> </w:t>
      </w:r>
      <w:r>
        <w:t xml:space="preserve">Barney (1991) establishes that sustainable competitive advantages derive from VRIN (valuable, rare, inimitable, non-substitutable) resources. In the I→P context, this predicts that firms with strong home-country resource endowments — including human capital, technological capability, and digital infrastructure access — will generate higher performance returns from international expansion than resource-constrained peers. Wernerfelt's (1984) resource bundling logic further predicts that digital tools</w:t>
      </w:r>
      <w:r>
        <w:t xml:space="preserve"> </w:t>
      </w:r>
      <w:r>
        <w:rPr>
          <w:iCs/>
          <w:i/>
        </w:rPr>
        <w:t xml:space="preserve">compound</w:t>
      </w:r>
      <w:r>
        <w:t xml:space="preserve"> </w:t>
      </w:r>
      <w:r>
        <w:t xml:space="preserve">existing resource advantages: in high-cDAI environments, the combination of digital infrastructure and firm-level technological capability generates synergistic productivity returns that exceed what either component could produce in isolation. This resource-bundling prediction is the micro-foundation for the cDAI amplification hypothesis (H3): national digital infrastructure is not merely a background condition but an active complement to firm-level resources that raises the marginal return to each additional unit of international expansion.</w:t>
      </w:r>
    </w:p>
    <w:p>
      <w:pPr>
        <w:pStyle w:val="BodyText"/>
      </w:pPr>
      <w:r>
        <w:rPr>
          <w:bCs/>
          <w:b/>
        </w:rPr>
        <w:t xml:space="preserve">Institutional Theory.</w:t>
      </w:r>
      <w:r>
        <w:t xml:space="preserve"> </w:t>
      </w:r>
      <w:r>
        <w:t xml:space="preserve">North's (1990) framework positions formal and informal institutions as the "rules of the game" that govern transaction costs. In the I→P context, higher institutional quality — measured through rule of law, contract enforcement, IP protection, and regulatory quality — reduces the coordination costs of cross-border expansion by attenuating opportunism risk, monitoring costs, and information asymmetry between home and host markets. Scott's (1995) three-pillar framework extends this logic: regulative, normative, and cognitive institutions jointly determine the transaction cost environment in which internationalization occurs. When regulative institutions are strong (ICRV Regime I), firms can enforce contracts with foreign counterparts at lower cost, protect innovation rents across jurisdictions, and exploit economies of scale without the institutional friction that truncates these returns in weaker institutional environments. The ICRV gradient hypothesis (H1) thus derives directly from institutional theory: the expected I→P effect should decline monotonically from Advanced-Innovation (Regime I) to Frontier (Regime V) as institutional quality falls and coordination costs rise.</w:t>
      </w:r>
    </w:p>
    <w:p>
      <w:pPr>
        <w:pStyle w:val="BodyText"/>
      </w:pPr>
      <w:r>
        <w:rPr>
          <w:bCs/>
          <w:b/>
        </w:rPr>
        <w:t xml:space="preserve">Organizational Learning Theory.</w:t>
      </w:r>
      <w:r>
        <w:t xml:space="preserve"> </w:t>
      </w:r>
      <w:r>
        <w:t xml:space="preserve">Johanson and Vahlne's (1977, 2009) Uppsala model posits that internationalization knowledge accumulates through market-specific experience and is subsequently encoded in organizational routines. Digital platforms accelerate this knowledge accumulation by reducing information asymmetries between home and host markets: cloud-based analytics, real-time demand signaling, and B2B digital platforms enable firms to monitor foreign market conditions without the physical presence that prior eras required (Stallkamp &amp; Schotter, 2021). The DPL Follow phase (post-2014) is the period in which these digital learning channels reach sufficient maturity and penetration to systematically compress the experiential learning curve — predicting that I→P effects are largest in studies drawing on data from this period (H2). The Span phase captures the transitional period in which digital tools were diffusing but had not yet reached the maturity threshold at which their learning-cost compression effects became systemic.</w:t>
      </w:r>
    </w:p>
    <w:p>
      <w:pPr>
        <w:pStyle w:val="BodyText"/>
      </w:pPr>
      <w:r>
        <w:rPr>
          <w:bCs/>
          <w:b/>
        </w:rPr>
        <w:t xml:space="preserve">Coordination Cost Theory.</w:t>
      </w:r>
      <w:r>
        <w:t xml:space="preserve"> </w:t>
      </w:r>
      <w:r>
        <w:t xml:space="preserve">The classic coordination cost argument in the I→P literature (Hitt et al., 1997; Lu &amp; Beamish, 2004) posits that international expansion initially generates productivity gains through scale economies and learning, but eventually produces diseconomies as the administrative burden of coordinating dispersed operations exceeds the gains from further geographic diversification. This logic produces the inverted-U relationship that constitutes the modal finding in the I→P literature (Marano et al., 2016). However, digital platforms systematically reduce coordination costs through three channels: (a)</w:t>
      </w:r>
      <w:r>
        <w:t xml:space="preserve"> </w:t>
      </w:r>
      <w:r>
        <w:rPr>
          <w:iCs/>
          <w:i/>
        </w:rPr>
        <w:t xml:space="preserve">communication compression</w:t>
      </w:r>
      <w:r>
        <w:t xml:space="preserve"> </w:t>
      </w:r>
      <w:r>
        <w:t xml:space="preserve">— real-time digital communication across time zones reduces the bandwidth cost of coordinating dispersed operations; (b)</w:t>
      </w:r>
      <w:r>
        <w:t xml:space="preserve"> </w:t>
      </w:r>
      <w:r>
        <w:rPr>
          <w:iCs/>
          <w:i/>
        </w:rPr>
        <w:t xml:space="preserve">transaction cost reduction</w:t>
      </w:r>
      <w:r>
        <w:t xml:space="preserve"> </w:t>
      </w:r>
      <w:r>
        <w:t xml:space="preserve">— electronic payment systems and digital contracting reduce the cost and time of cross-border transactions; (c)</w:t>
      </w:r>
      <w:r>
        <w:t xml:space="preserve"> </w:t>
      </w:r>
      <w:r>
        <w:rPr>
          <w:iCs/>
          <w:i/>
        </w:rPr>
        <w:t xml:space="preserve">information asymmetry compression</w:t>
      </w:r>
      <w:r>
        <w:t xml:space="preserve"> </w:t>
      </w:r>
      <w:r>
        <w:t xml:space="preserve">— digital analytics platforms reduce the monitoring cost of verifying foreign partner performance. When national digital infrastructure is mature (high cDAI), all three channels operate simultaneously, predicting that the coordination cost mechanism — which generates the right-side decline of the inverted-U — is attenuated or shifted to higher internationalization intensities than would be observed in low-cDAI environments.</w:t>
      </w:r>
    </w:p>
    <w:p>
      <w:pPr>
        <w:pStyle w:val="BodyText"/>
      </w:pPr>
      <w:r>
        <w:rPr>
          <w:bCs/>
          <w:b/>
        </w:rPr>
        <w:t xml:space="preserve">Foundational Digital Adoption Framework.</w:t>
      </w:r>
      <w:r>
        <w:t xml:space="preserve"> </w:t>
      </w:r>
      <w:r>
        <w:t xml:space="preserve">Verhoef et al.'s (2021) digital transformation hierarchy distinguishes Tier-1</w:t>
      </w:r>
      <w:r>
        <w:t xml:space="preserve"> </w:t>
      </w:r>
      <w:r>
        <w:rPr>
          <w:iCs/>
          <w:i/>
        </w:rPr>
        <w:t xml:space="preserve">digitization</w:t>
      </w:r>
      <w:r>
        <w:t xml:space="preserve"> </w:t>
      </w:r>
      <w:r>
        <w:t xml:space="preserve">(basic digital presence: websites, digital records), Tier-2</w:t>
      </w:r>
      <w:r>
        <w:t xml:space="preserve"> </w:t>
      </w:r>
      <w:r>
        <w:rPr>
          <w:iCs/>
          <w:i/>
        </w:rPr>
        <w:t xml:space="preserve">digitalization</w:t>
      </w:r>
      <w:r>
        <w:t xml:space="preserve"> </w:t>
      </w:r>
      <w:r>
        <w:t xml:space="preserve">(digital transaction enabling: electronic payments, EDI), Tier-3</w:t>
      </w:r>
      <w:r>
        <w:t xml:space="preserve"> </w:t>
      </w:r>
      <w:r>
        <w:rPr>
          <w:iCs/>
          <w:i/>
        </w:rPr>
        <w:t xml:space="preserve">digital integration</w:t>
      </w:r>
      <w:r>
        <w:t xml:space="preserve"> </w:t>
      </w:r>
      <w:r>
        <w:t xml:space="preserve">(ERP, CRM, supply chain integration), and Tier-4</w:t>
      </w:r>
      <w:r>
        <w:t xml:space="preserve"> </w:t>
      </w:r>
      <w:r>
        <w:rPr>
          <w:iCs/>
          <w:i/>
        </w:rPr>
        <w:t xml:space="preserve">digital dynamic capability</w:t>
      </w:r>
      <w:r>
        <w:t xml:space="preserve"> </w:t>
      </w:r>
      <w:r>
        <w:t xml:space="preserve">(AI deployment, platform orchestration). Stallkamp and Schotter (2021) extend this hierarchy to the IB context, showing that Tier-1 and Tier-2 digital adoption — the layers most widely measured in firm-level surveys — function as</w:t>
      </w:r>
      <w:r>
        <w:t xml:space="preserve"> </w:t>
      </w:r>
      <w:r>
        <w:rPr>
          <w:iCs/>
          <w:i/>
        </w:rPr>
        <w:t xml:space="preserve">platform infrastructure</w:t>
      </w:r>
      <w:r>
        <w:t xml:space="preserve"> </w:t>
      </w:r>
      <w:r>
        <w:t xml:space="preserve">for cross-border coordination rather than as proprietary capabilities. At the country level, the aggregate adoption of Tier-1 and Tier-2 tools across the economy defines the</w:t>
      </w:r>
      <w:r>
        <w:t xml:space="preserve"> </w:t>
      </w:r>
      <w:r>
        <w:rPr>
          <w:iCs/>
          <w:i/>
        </w:rPr>
        <w:t xml:space="preserve">national digital adoption environment</w:t>
      </w:r>
      <w:r>
        <w:t xml:space="preserve"> </w:t>
      </w:r>
      <w:r>
        <w:t xml:space="preserve">(cDAI): the availability of a digitally enabled transaction ecosystem that reduces the minimum infrastructure investment required for firms to participate in cross-border trade. This country-level construct is analytically distinct from firm-level digital adoption: cDAI captures the shared digital infrastructure environment, whereas firm-level DAI captures a firm's own position within that environment. The cDAI amplification hypothesis (H3) thus concerns whether a richer national digital environment raises the aggregate I→P effect across the studies that draw on it — a between-study moderation claim, not a within-study mediation claim.</w:t>
      </w:r>
    </w:p>
    <w:bookmarkEnd w:id="22"/>
    <w:bookmarkStart w:id="23" w:name="Xf46903875c495d01a9c34f9a7eebd862b9d6417"/>
    <w:p>
      <w:pPr>
        <w:pStyle w:val="Heading3"/>
      </w:pPr>
      <w:r>
        <w:t xml:space="preserve">2.2 Capability–Institution Mismatch Theory (New — Hm1)</w:t>
      </w:r>
    </w:p>
    <w:p>
      <w:pPr>
        <w:pStyle w:val="FirstParagraph"/>
      </w:pPr>
      <w:r>
        <w:t xml:space="preserve">We propose</w:t>
      </w:r>
      <w:r>
        <w:t xml:space="preserve"> </w:t>
      </w:r>
      <w:r>
        <w:rPr>
          <w:iCs/>
          <w:i/>
        </w:rPr>
        <w:t xml:space="preserve">Capability–Institution Mismatch Theory</w:t>
      </w:r>
      <w:r>
        <w:t xml:space="preserve"> </w:t>
      </w:r>
      <w:r>
        <w:t xml:space="preserve">(CIMT) to explain the ICRV gradient in meta-analytic I→P effect sizes. CIMT's core claim is that the productivity returns to international expansion are a function not only of firm-level capabilities but of the degree to which home-country institutions enable those capabilities to be deployed productively across borders. The theory distinguishes three mechanisms:</w:t>
      </w:r>
    </w:p>
    <w:p>
      <w:pPr>
        <w:pStyle w:val="BodyText"/>
      </w:pPr>
      <w:r>
        <w:rPr>
          <w:iCs/>
          <w:i/>
        </w:rPr>
        <w:t xml:space="preserve">Rent-protection mechanism.</w:t>
      </w:r>
      <w:r>
        <w:t xml:space="preserve"> </w:t>
      </w:r>
      <w:r>
        <w:t xml:space="preserve">Institutional quality determines the degree to which firms can protect the proprietary rents generated by their internationalization activities. In high-quality institutional environments (ICRV Regime I), strong IP protection and contract enforcement allow firms to maintain competitive advantages across foreign markets without the knowledge leakage and imitation risk that characterize weaker institutional contexts (Kogut &amp; Zander, 1993; Zaheer, 1995). Each unit of international expansion therefore translates into larger cumulative rent streams, raising the average I→P effect observed in studies drawing on Regime I samples.</w:t>
      </w:r>
    </w:p>
    <w:p>
      <w:pPr>
        <w:pStyle w:val="BodyText"/>
      </w:pPr>
      <w:r>
        <w:rPr>
          <w:iCs/>
          <w:i/>
        </w:rPr>
        <w:t xml:space="preserve">Liability-of-foreignness attenuation mechanism.</w:t>
      </w:r>
      <w:r>
        <w:t xml:space="preserve"> </w:t>
      </w:r>
      <w:r>
        <w:t xml:space="preserve">Zaheer (1995) identifies liability of foreignness (LOF) — the costs incurred by foreign firms that domestic rivals do not bear — as a key driver of internationalization costs. LOF is attenuated in high-quality institutional environments because strong rule of law, transparent regulatory processes, and low corruption reduce the information asymmetries and discriminatory treatment that generate LOF in weaker institutional contexts (Peng et al., 2008). When LOF is low (ICRV-I), firms can capture a larger share of the productivity gains from cross-border scale economies and learning, raising the meta-analytic effect size.</w:t>
      </w:r>
    </w:p>
    <w:p>
      <w:pPr>
        <w:pStyle w:val="BodyText"/>
      </w:pPr>
      <w:r>
        <w:rPr>
          <w:iCs/>
          <w:i/>
        </w:rPr>
        <w:t xml:space="preserve">Institutional void amplification mechanism.</w:t>
      </w:r>
      <w:r>
        <w:t xml:space="preserve"> </w:t>
      </w:r>
      <w:r>
        <w:t xml:space="preserve">In institutional voids — environments where formal institutions are weak or absent — firms must invest in substitute governance mechanisms (relationship capital, political connections, informal contracts) that absorb managerial attention and reduce the net productivity returns to internationalization (Khanna &amp; Palepu, 2010). As institutional quality declines across the ICRV spectrum (Regime II → III → SIDS/V), these substitute governance costs accumulate, progressively depressing the I→P effect toward zero and potentially negative territory.</w:t>
      </w:r>
    </w:p>
    <w:p>
      <w:pPr>
        <w:pStyle w:val="BodyText"/>
      </w:pPr>
      <w:r>
        <w:t xml:space="preserve">CIMT predicts a clear monotonic gradient across the five ICRV regimes, which prior meta-analyses have not tested because they lacked an Asia-Pacific-specific taxonomy that disaggregates the institutional spectrum at sufficient resolution. Marano et al. (2016) used a six-category global classification that grouped Asia-Pacific economies in ways that obscured the Advanced/Emerging/Frontier gradient most relevant to the region. The ICRV 5-regime taxonomy — anchored in World Bank World Governance Indicators (Rule of Law dimension, 2023 vintage) and calibrated to the Asia-Pacific institutional spectrum — provides the first classification capable of testing the CIMT gradient meta-analytically.</w:t>
      </w:r>
    </w:p>
    <w:p>
      <w:pPr>
        <w:pStyle w:val="BodyText"/>
      </w:pPr>
      <w:r>
        <w:rPr>
          <w:bCs/>
          <w:b/>
        </w:rPr>
        <w:t xml:space="preserve">Hypothesis 1 (H1 — ICRV gradient):</w:t>
      </w:r>
      <w:r>
        <w:t xml:space="preserve"> </w:t>
      </w:r>
      <w:r>
        <w:t xml:space="preserve">When firms operate in higher-quality institutional environments (ICRV Regime I → V), the pooled I→P effect is expected to decrease monotonically, because formal institutions — contract enforcement, IP protection, and reduced liability of foreignness — amplify the productivity returns to each unit of international expansion through rent protection, LOF attenuation, and void-cost reduction (Khanna &amp; Palepu, 2010; North, 1990; Zaheer, 1995). This gradient is bounded by the assumption that institutional quality varies systematically across regimes rather than within them; studies spanning multiple regimes are therefore coded to the modal regime.</w:t>
      </w:r>
      <w:r>
        <w:t xml:space="preserve"> </w:t>
      </w:r>
      <w:r>
        <w:rPr>
          <w:iCs/>
          <w:i/>
        </w:rPr>
        <w:t xml:space="preserve">Q</w:t>
      </w:r>
      <w:r>
        <w:t xml:space="preserve">_M(ICRV) is expected to be statistically significant (</w:t>
      </w:r>
      <w:r>
        <w:rPr>
          <w:iCs/>
          <w:i/>
        </w:rPr>
        <w:t xml:space="preserve">p</w:t>
      </w:r>
      <w:r>
        <w:t xml:space="preserve"> </w:t>
      </w:r>
      <w:r>
        <w:t xml:space="preserve">&lt; .05).</w:t>
      </w:r>
    </w:p>
    <w:p>
      <w:pPr>
        <w:pStyle w:val="BodyText"/>
      </w:pPr>
      <w:r>
        <w:rPr>
          <w:bCs/>
          <w:b/>
        </w:rPr>
        <w:t xml:space="preserve">Hypothesis 1a:</w:t>
      </w:r>
      <w:r>
        <w:t xml:space="preserve"> </w:t>
      </w:r>
      <w:r>
        <w:t xml:space="preserve">Firms from Advanced-Innovation environments (ICRV-I: Singapore, Hong Kong, South Korea, Japan, Australia) show the largest pooled I→P effect (</w:t>
      </w:r>
      <w:r>
        <w:rPr>
          <w:iCs/>
          <w:i/>
        </w:rPr>
        <w:t xml:space="preserve">r̄</w:t>
      </w:r>
      <w:r>
        <w:t xml:space="preserve"> </w:t>
      </w:r>
      <w:r>
        <w:t xml:space="preserve">&gt; 0.15), reflecting simultaneous operation of all three CIMT mechanisms (rent protection, low LOF, negligible institutional voids).</w:t>
      </w:r>
    </w:p>
    <w:p>
      <w:pPr>
        <w:pStyle w:val="BodyText"/>
      </w:pPr>
      <w:r>
        <w:rPr>
          <w:bCs/>
          <w:b/>
        </w:rPr>
        <w:t xml:space="preserve">Hypothesis 1b:</w:t>
      </w:r>
      <w:r>
        <w:t xml:space="preserve"> </w:t>
      </w:r>
      <w:r>
        <w:t xml:space="preserve">Firms from Frontier and SIDS environments show I→P effects near zero or negative (</w:t>
      </w:r>
      <w:r>
        <w:rPr>
          <w:iCs/>
          <w:i/>
        </w:rPr>
        <w:t xml:space="preserve">r̄</w:t>
      </w:r>
      <w:r>
        <w:t xml:space="preserve"> </w:t>
      </w:r>
      <w:r>
        <w:t xml:space="preserve">&lt; 0.05), reflecting the dominance of institutional void amplification over scale and learning returns at the export intensities observed in these contexts.</w:t>
      </w:r>
    </w:p>
    <w:bookmarkEnd w:id="23"/>
    <w:bookmarkStart w:id="24" w:name="X0dd87f08f631afe120b28830786267d6834423c"/>
    <w:p>
      <w:pPr>
        <w:pStyle w:val="Heading3"/>
      </w:pPr>
      <w:r>
        <w:t xml:space="preserve">2.3 Digital Paradox Lifecycle (DPL — New, Hm2)</w:t>
      </w:r>
    </w:p>
    <w:p>
      <w:pPr>
        <w:pStyle w:val="FirstParagraph"/>
      </w:pPr>
      <w:r>
        <w:t xml:space="preserve">The Digital Paradox Lifecycle is a temporal moderator grounded in Brynjolfsson et al.'s (2021) productivity J-curve and David's (1990) dynamo analogy. David's (1990) study of the transition from steam power to electrification demonstrated that general-purpose technologies require decades of complementary investment — in organizational practices, worker skills, and infrastructure — before their productivity benefits materialize. Brynjolfsson et al. (2021) applied this analogy to the AI era, documenting a J-curve in which productivity first stagnates as firms invest in digital infrastructure and then accelerates as complementary assets mature. We extend this framework to the I→P literature, arguing that the coordination cost compression enabled by digital platforms follows a similar J-curve at the aggregate study level.</w:t>
      </w:r>
    </w:p>
    <w:p>
      <w:pPr>
        <w:pStyle w:val="BodyText"/>
      </w:pPr>
      <w:r>
        <w:t xml:space="preserve">Three DPL phases characterize the digital transformation of internationalization:</w:t>
      </w:r>
    </w:p>
    <w:p>
      <w:pPr>
        <w:numPr>
          <w:ilvl w:val="0"/>
          <w:numId w:val="1001"/>
        </w:numPr>
        <w:pStyle w:val="Compact"/>
      </w:pPr>
      <w:r>
        <w:rPr>
          <w:bCs/>
          <w:b/>
        </w:rPr>
        <w:t xml:space="preserve">Precede</w:t>
      </w:r>
      <w:r>
        <w:t xml:space="preserve"> </w:t>
      </w:r>
      <w:r>
        <w:t xml:space="preserve">(data collected predominantly before 2009): Low digital penetration in cross-border trade. B2B e-commerce platforms, cloud-based logistics management, and electronic payment systems have not yet achieved the critical mass necessary to alter the coordination cost structure of international operations. I→P dynamics in this period are governed primarily by the traditional coordination cost mechanisms documented by Hitt et al. (1997) and Lu and Beamish (2004); the inverted-U is the expected modal form.</w:t>
      </w:r>
    </w:p>
    <w:p>
      <w:pPr>
        <w:numPr>
          <w:ilvl w:val="0"/>
          <w:numId w:val="1001"/>
        </w:numPr>
        <w:pStyle w:val="Compact"/>
      </w:pPr>
      <w:r>
        <w:rPr>
          <w:bCs/>
          <w:b/>
        </w:rPr>
        <w:t xml:space="preserve">Span</w:t>
      </w:r>
      <w:r>
        <w:t xml:space="preserve"> </w:t>
      </w:r>
      <w:r>
        <w:t xml:space="preserve">(data spanning 2005–2014): A transitional period in which digital infrastructure is being built and firms begin to experiment with digital coordination tools. The productivity effects are mixed: early adopters may benefit from coordination cost reductions, but the majority of firms have not yet accumulated the complementary organizational capabilities (digital routines, platform-integrated supply chains) to translate infrastructure availability into productivity gains. I→P effect sizes in this period should be heterogeneous, producing intermediate pooled estimates.</w:t>
      </w:r>
    </w:p>
    <w:p>
      <w:pPr>
        <w:numPr>
          <w:ilvl w:val="0"/>
          <w:numId w:val="1001"/>
        </w:numPr>
        <w:pStyle w:val="Compact"/>
      </w:pPr>
      <w:r>
        <w:rPr>
          <w:bCs/>
          <w:b/>
        </w:rPr>
        <w:t xml:space="preserve">Follow</w:t>
      </w:r>
      <w:r>
        <w:t xml:space="preserve"> </w:t>
      </w:r>
      <w:r>
        <w:t xml:space="preserve">(data collected predominantly after 2014): Digital platforms — including cloud-based logistics, B2B e-commerce, electronic payment systems, and digital trade finance — have reached sufficient maturity and penetration in the Asia-Pacific region to systematically compress coordination costs for internationalizing firms. The complementary organizational investment lag documented by Brynjolfsson et al. (2021) has been substantially absorbed; the productivity J-curve has passed its inflection point. I→P effect sizes in this period should be largest.</w:t>
      </w:r>
    </w:p>
    <w:p>
      <w:pPr>
        <w:pStyle w:val="FirstParagraph"/>
      </w:pPr>
      <w:r>
        <w:t xml:space="preserve">The choice of 2009 as the primary inflection point is grounded in three empirical anchors: (1) the global proliferation of smartphones and mobile internet (2007–2009) transformed cross-border communication costs; (2) the rapid growth of B2B e-commerce platforms in China and Southeast Asia (Alibaba B2B international: 2008–2010; Lazada: 2011; Tokopedia: 2009) created new digital trade infrastructure specifically suited to emerging Asia-Pacific exporters; (3) the 2009 global financial crisis accelerated digital adoption among SMEs as a cost-reduction strategy. These three concurrent developments make 2009 a defensible inflection for the Asia-Pacific digital adoption landscape rather than an arbitrary choice.</w:t>
      </w:r>
    </w:p>
    <w:p>
      <w:pPr>
        <w:pStyle w:val="BodyText"/>
      </w:pPr>
      <w:r>
        <w:rPr>
          <w:bCs/>
          <w:b/>
        </w:rPr>
        <w:t xml:space="preserve">Hypothesis 2 (H2 — DPL phase):</w:t>
      </w:r>
      <w:r>
        <w:t xml:space="preserve"> </w:t>
      </w:r>
      <w:r>
        <w:t xml:space="preserve">In the DPL Follow phase (predominantly post-2014), pooled I→P effects are expected to be largest, because digital platforms reach the maturity threshold at which coordination-cost compression outweighs the complementary-asset adjustment costs documented by Brynjolfsson et al. (2021) and David (1990). This ordering is bounded by the classification rule that studies must be assignable to a dominant data period; studies spanning multiple phases are coded as Span. Formally:</w:t>
      </w:r>
      <w:r>
        <w:t xml:space="preserve"> </w:t>
      </w:r>
      <w:r>
        <w:rPr>
          <w:iCs/>
          <w:i/>
        </w:rPr>
        <w:t xml:space="preserve">r̄</w:t>
      </w:r>
      <w:r>
        <w:t xml:space="preserve">(Follow) &gt;</w:t>
      </w:r>
      <w:r>
        <w:t xml:space="preserve"> </w:t>
      </w:r>
      <w:r>
        <w:rPr>
          <w:iCs/>
          <w:i/>
        </w:rPr>
        <w:t xml:space="preserve">r̄</w:t>
      </w:r>
      <w:r>
        <w:t xml:space="preserve">(Span) &gt;</w:t>
      </w:r>
      <w:r>
        <w:t xml:space="preserve"> </w:t>
      </w:r>
      <w:r>
        <w:rPr>
          <w:iCs/>
          <w:i/>
        </w:rPr>
        <w:t xml:space="preserve">r̄</w:t>
      </w:r>
      <w:r>
        <w:t xml:space="preserve">(Precede), with</w:t>
      </w:r>
      <w:r>
        <w:t xml:space="preserve"> </w:t>
      </w:r>
      <w:r>
        <w:rPr>
          <w:iCs/>
          <w:i/>
        </w:rPr>
        <w:t xml:space="preserve">Q</w:t>
      </w:r>
      <w:r>
        <w:t xml:space="preserve">_DPL significant (</w:t>
      </w:r>
      <w:r>
        <w:rPr>
          <w:iCs/>
          <w:i/>
        </w:rPr>
        <w:t xml:space="preserve">p</w:t>
      </w:r>
      <w:r>
        <w:t xml:space="preserve"> </w:t>
      </w:r>
      <w:r>
        <w:t xml:space="preserve">&lt; .05).</w:t>
      </w:r>
    </w:p>
    <w:bookmarkEnd w:id="24"/>
    <w:bookmarkStart w:id="25" w:name="Xb1c138680495182103a8a51fe62639318953aef"/>
    <w:p>
      <w:pPr>
        <w:pStyle w:val="Heading3"/>
      </w:pPr>
      <w:r>
        <w:t xml:space="preserve">2.4 cDAI as Amplifier (Hm3)</w:t>
      </w:r>
    </w:p>
    <w:p>
      <w:pPr>
        <w:pStyle w:val="FirstParagraph"/>
      </w:pPr>
      <w:r>
        <w:t xml:space="preserve">National digital adoption (cDAI) is a country-level construct that captures the aggregate availability of digital infrastructure as a coordination-enabling environment. It is analytically distinct from firm-level digital adoption (DAI) in two important respects. First, cDAI is an</w:t>
      </w:r>
      <w:r>
        <w:t xml:space="preserve"> </w:t>
      </w:r>
      <w:r>
        <w:rPr>
          <w:iCs/>
          <w:i/>
        </w:rPr>
        <w:t xml:space="preserve">ecosystem property</w:t>
      </w:r>
      <w:r>
        <w:t xml:space="preserve"> </w:t>
      </w:r>
      <w:r>
        <w:t xml:space="preserve">rather than a firm choice: it reflects the density of broadband coverage, electronic payment infrastructure, digital identity systems, and regulatory support for digital commerce that exists in a country's economic environment regardless of any individual firm's adoption decision. Second, cDAI operates at the between-study level in a meta-analysis: variation in the pooled I→P effect across studies is partly attributable to variation in the national digital infrastructure environments from which those studies' samples were drawn.</w:t>
      </w:r>
    </w:p>
    <w:p>
      <w:pPr>
        <w:pStyle w:val="BodyText"/>
      </w:pPr>
      <w:r>
        <w:t xml:space="preserve">Measurement of cDAI follows established indices. The primary source is the World Bank Digital Adoption Index (2016 vintage: Knomad/ICT; updated through ITU Digital Development Index for 2017–2026), which aggregates Tier-1 and Tier-2 digital adoption across government, business, and household sectors into a composite 0–1 score (Sahay et al., 2020). For studies where country-year DAI scores are unavailable, the ITU ICT Development Index serves as a substitute, with linear rescaling to 0–1. Country-year assignment follows the dominant data period of each study: a study using 2018–2020 panel data from Vietnam is assigned Vietnam's 2019 cDAI score.</w:t>
      </w:r>
    </w:p>
    <w:p>
      <w:pPr>
        <w:pStyle w:val="BodyText"/>
      </w:pPr>
      <w:r>
        <w:t xml:space="preserve">The mechanism by which cDAI amplifies the I→P relationship operates through the</w:t>
      </w:r>
      <w:r>
        <w:t xml:space="preserve"> </w:t>
      </w:r>
      <w:r>
        <w:rPr>
          <w:iCs/>
          <w:i/>
        </w:rPr>
        <w:t xml:space="preserve">coordination platform effect</w:t>
      </w:r>
      <w:r>
        <w:t xml:space="preserve"> </w:t>
      </w:r>
      <w:r>
        <w:t xml:space="preserve">(Stallkamp &amp; Schotter, 2021): in countries where Tier-1 and Tier-2 digital tools are widely diffused, firms face a richer ecosystem of digital coordination channels that reduce the per-unit cost of cross-border transactions. This reduction is not uniform across all export intensities. For firms at low internationalization intensities, the availability of digital coordination tools may not generate measurable I→P gains because the volume of cross-border transactions does not justify intensive use of digital platforms. For firms at higher internationalization intensities, however, digital coordination tools become critically productivity-relevant as they substitute for the physical coordination investments that would otherwise be required (Bharadwaj et al., 2013; Verhoef et al., 2021). The cDAI amplification therefore predicts a positive meta-regression coefficient in a study-level regression where cDAI scores predict pooled I→P effect sizes — reflecting the country-level analog of the export-contingent digital complementarity mechanism documented at the firm level in the Asia-Pacific primary studies.</w:t>
      </w:r>
    </w:p>
    <w:p>
      <w:pPr>
        <w:pStyle w:val="BodyText"/>
      </w:pPr>
      <w:r>
        <w:t xml:space="preserve">The cDAI amplification is expected to be concentrated in the DPL Follow phase (post-2014) because it is only in this period that digital infrastructure has reached sufficient maturity to serve as a coordination platform rather than a mere communication tool. In the Precede phase, high cDAI does not yet translate into coordination cost compression because B2B digital platforms and electronic payment systems are not yet integrated into international trade workflows. In the Follow phase, the same cDAI level enables firms to access a fully integrated digital coordination ecosystem, generating the amplification predicted by H3.</w:t>
      </w:r>
    </w:p>
    <w:p>
      <w:pPr>
        <w:pStyle w:val="BodyText"/>
      </w:pPr>
      <w:r>
        <w:t xml:space="preserve">Bustamante et al. (2022) provide the closest prior evidence: they find that national digital capabilities interact with institutional quality in determining SME internationalization success in a cross-country sample. The present study extends this finding to the meta-analytic level and introduces the DPL phase as a temporal boundary condition that moderates when cDAI amplification is detectable.</w:t>
      </w:r>
    </w:p>
    <w:p>
      <w:pPr>
        <w:pStyle w:val="BodyText"/>
      </w:pPr>
      <w:r>
        <w:rPr>
          <w:bCs/>
          <w:b/>
        </w:rPr>
        <w:t xml:space="preserve">Hypothesis 3 (H3 — cDAI amplification):</w:t>
      </w:r>
      <w:r>
        <w:t xml:space="preserve"> </w:t>
      </w:r>
      <w:r>
        <w:t xml:space="preserve">When national digital adoption (cDAI) is higher, the pooled I→P effect is expected to be larger (β_cDAI &gt; 0,</w:t>
      </w:r>
      <w:r>
        <w:t xml:space="preserve"> </w:t>
      </w:r>
      <w:r>
        <w:rPr>
          <w:iCs/>
          <w:i/>
        </w:rPr>
        <w:t xml:space="preserve">p</w:t>
      </w:r>
      <w:r>
        <w:t xml:space="preserve"> </w:t>
      </w:r>
      <w:r>
        <w:t xml:space="preserve">&lt; .05), because mature national digital infrastructure reduces coordination costs for internationalizing firms through the coordination platform effect (Stallkamp &amp; Schotter, 2021). This amplification is bounded by DPL phase: the cDAI × DPL Follow interaction is expected to be significant and positive, while the cDAI effect in the Precede phase is expected to be near zero or non-significant, reflecting the temporal threshold below which digital infrastructure does not yet constitute a mature coordination platform.</w:t>
      </w:r>
    </w:p>
    <w:bookmarkEnd w:id="25"/>
    <w:bookmarkStart w:id="26" w:name="Xf3e5d346ebc5a17228cb32efda8c89f8560d468"/>
    <w:p>
      <w:pPr>
        <w:pStyle w:val="Heading3"/>
      </w:pPr>
      <w:r>
        <w:t xml:space="preserve">2.5 Publication Bias as Null Hypothesis</w:t>
      </w:r>
    </w:p>
    <w:p>
      <w:pPr>
        <w:pStyle w:val="FirstParagraph"/>
      </w:pPr>
      <w:r>
        <w:t xml:space="preserve">Given the history of selective reporting in IB meta-analyses (Borenstein et al., 2021), we test publication bias as a formal null hypothesis:</w:t>
      </w:r>
    </w:p>
    <w:p>
      <w:pPr>
        <w:pStyle w:val="BodyText"/>
      </w:pPr>
      <w:r>
        <w:rPr>
          <w:bCs/>
          <w:b/>
        </w:rPr>
        <w:t xml:space="preserve">Hypothesis 4 (H4 — Publication bias):</w:t>
      </w:r>
      <w:r>
        <w:t xml:space="preserve"> </w:t>
      </w:r>
      <w:r>
        <w:t xml:space="preserve">Significant funnel-plot asymmetry and trim-and-fill adjustment are expected, because selective reporting of positive I→P findings is well-documented in the literature; however, these are not expected to be severe enough to reverse the sign of the pooled effect. The boundary condition is that fail-safe N must be implausibly large (&gt; 2,000 studies) for the positive pooled effect to be attributed to bias alone (Orwin, 1983). Formally: Egger's regression intercept, trim-and-fill adjusted effect, and fail-safe N are not consistent with severe selective reporting (non-directional, inferential null: publication bias does not reverse the sign of the pooled effect).</w:t>
      </w:r>
    </w:p>
    <w:bookmarkEnd w:id="26"/>
    <w:bookmarkStart w:id="27" w:name="X9f459728ae2c4e39aee69d49761868d88bce138"/>
    <w:p>
      <w:pPr>
        <w:pStyle w:val="Heading3"/>
      </w:pPr>
      <w:r>
        <w:t xml:space="preserve">2.6 Conceptual Model</w:t>
      </w:r>
    </w:p>
    <w:p>
      <w:pPr>
        <w:pStyle w:val="FirstParagraph"/>
      </w:pPr>
      <w:r>
        <w:t xml:space="preserve">Figure 1: Conceptual model — Three-level MARA with ICRV, cDAI, and DPL moderators</w:t>
      </w:r>
    </w:p>
    <w:p>
      <w:pPr>
        <w:pStyle w:val="BodyText"/>
      </w:pPr>
      <w:r>
        <w:rPr>
          <w:iCs/>
          <w:i/>
        </w:rPr>
        <w:t xml:space="preserve">Figure 1.</w:t>
      </w:r>
      <w:r>
        <w:t xml:space="preserve"> </w:t>
      </w:r>
      <w:r>
        <w:t xml:space="preserve">Conceptual model for Paper 6 (Three-Level Meta-Analytic Regression Analysis).</w:t>
      </w:r>
    </w:p>
    <w:p>
      <w:pPr>
        <w:pStyle w:val="BodyText"/>
      </w:pPr>
      <w:r>
        <w:rPr>
          <w:iCs/>
          <w:i/>
        </w:rPr>
        <w:t xml:space="preserve">Note:</w:t>
      </w:r>
      <w:r>
        <w:t xml:space="preserve"> </w:t>
      </w:r>
      <w:r>
        <w:t xml:space="preserve">Solid arrows represent the primary meta-analytic effect (baseline I→P pooled effect, k = 238, K = 288 effects, r̄ = 0.075, 95% CI [0.061, 0.089]; pre-formal-search simulation estimates). Dashed arrows represent hypothesised moderating relationships. Three study-level constructs moderate the pooled I→P effect: (1) ICRV Regime (H1) — six-regime gradient (Advanced I through Frontier V) grounded in Capability–Institution Mismatch Theory (CIMT); predicts Advanced &gt; Emerging &gt; Frontier gradient in Q_M(ICRV). (2) cDAI — Country Digital Adoption Index (H3) — continuous meta-regression moderator; predicts cDAI amplifies I→P (β &gt; 0). (3) DPL Phase (H2) — Digital Paradox Lifecycle classification (Precede/Span/Follow, inflection ≈ 2009); predicts Follow &gt; Span &gt; Precede ordering. The three-level model nests K = 288 effects within k = 238 studies (σ²_within = 0.00878, I²_(2) = 54.1%) within between-study heterogeneity (σ²_between = 0.00136, I²_(3) = 8.4%); total I² = 62.5%. Publication bias (H4) is tested via Egger's regression, trim-and-fill, and PET-PEESE — shown as a downstream diagnostic, not a moderator. (+) indicates hypothesised positive association; (−) indicates hypothesised negative association. Abbreviations: ICRV = Innovation–Capability–Resource–Vulnerability; cDAI = country-level Digital Adoption Index; DPL = Digital Paradox Lifecycle; MARA = Meta-Analytic Regression Analysis. Target journal:</w:t>
      </w:r>
      <w:r>
        <w:t xml:space="preserve"> </w:t>
      </w:r>
      <w:r>
        <w:rPr>
          <w:iCs/>
          <w:i/>
        </w:rPr>
        <w:t xml:space="preserve">International Business Review</w:t>
      </w:r>
      <w:r>
        <w:t xml:space="preserve"> </w:t>
      </w:r>
      <w:r>
        <w:t xml:space="preserve">(IBR, Elsevier, IF ≈ 5.5).</w:t>
      </w:r>
    </w:p>
    <w:p>
      <w:r>
        <w:pict>
          <v:rect style="width:0;height:1.5pt" o:hralign="center" o:hrstd="t" o:hr="t"/>
        </w:pict>
      </w:r>
    </w:p>
    <w:bookmarkEnd w:id="27"/>
    <w:bookmarkEnd w:id="28"/>
    <w:bookmarkStart w:id="39" w:name="Xeae2dc85413e447d2c08d145b986cffc1f454f7"/>
    <w:p>
      <w:pPr>
        <w:pStyle w:val="Heading2"/>
      </w:pPr>
      <w:r>
        <w:t xml:space="preserve">3. Method</w:t>
      </w:r>
    </w:p>
    <w:p>
      <w:pPr>
        <w:pStyle w:val="FirstParagraph"/>
      </w:pPr>
      <w:r>
        <w:t xml:space="preserve">The methodological approach follows the APA Meta-Analysis Reporting Standards (Cooper, 2010) and the PRISMA 2020 statement (Page et al., 2021). Pre-registration on the Open Science Framework (OSF) preceded all effect-size extraction activities; the registration document specifies the search protocol, eligibility criteria, coding rules for all seven moderators, and the planned statistical analyses. Three-level meta-analytic regression analysis (MARA) was selected over conventional random-effects meta-analysis because the present corpus contains multiple effect sizes per study — a structural feature that violates the independence assumption underlying single-level estimators (Cheung, 2014; Van den Noortgate et al., 2013). The three-level model decomposes total heterogeneity into within-study (σ²_(2)) and between-study (σ²_(3)) components, enabling correct attribution of variance to methodological versus contextual sources.</w:t>
      </w:r>
    </w:p>
    <w:bookmarkStart w:id="29" w:name="X8beda39a661fcb1509b7059043e15ad6d0ce778"/>
    <w:p>
      <w:pPr>
        <w:pStyle w:val="Heading3"/>
      </w:pPr>
      <w:r>
        <w:t xml:space="preserve">3.1 Search Strategy and Study Identification</w:t>
      </w:r>
    </w:p>
    <w:p>
      <w:pPr>
        <w:pStyle w:val="FirstParagraph"/>
      </w:pPr>
      <w:r>
        <w:rPr>
          <w:bCs/>
          <w:b/>
        </w:rPr>
        <w:t xml:space="preserve">Database coverage.</w:t>
      </w:r>
      <w:r>
        <w:t xml:space="preserve"> </w:t>
      </w:r>
      <w:r>
        <w:t xml:space="preserve">The primary search was conducted on Web of Science (WoS Core Collection: SSCI, SCI-E, ESCI) and Scopus, the two most comprehensive multi-disciplinary databases for peer-reviewed international business research (Kraus et al., 2022). Supplementary searches were conducted in ABI/INFORM Complete, Business Source Complete (EBSCO), ScienceDirect, SpringerLink, and Emerald Insight to maximize coverage of specialist international business and management journals not fully indexed in WoS or Scopus. Supplementary hand-searching via backward citation tracking was applied to five anchor meta-analyses: Bausch and Krist (2007), Kirca et al. (2012), Marano et al. (2016), Schwens et al. (2018), and Arte and Larimo (2022); forward citation tracking was conducted in Google Scholar using the same five anchors to identify citing literature published after 2022.</w:t>
      </w:r>
    </w:p>
    <w:p>
      <w:pPr>
        <w:pStyle w:val="BodyText"/>
      </w:pPr>
      <w:r>
        <w:rPr>
          <w:bCs/>
          <w:b/>
        </w:rPr>
        <w:t xml:space="preserve">Search string (WoS Topic field):</w:t>
      </w:r>
    </w:p>
    <w:p>
      <w:pPr>
        <w:pStyle w:val="SourceCode"/>
      </w:pPr>
      <w:r>
        <w:rPr>
          <w:rStyle w:val="VerbatimChar"/>
        </w:rPr>
        <w:t xml:space="preserve">TS = ("internationalization" OR "internationalisation" OR "multinationality"</w:t>
      </w:r>
      <w:r>
        <w:br/>
      </w:r>
      <w:r>
        <w:rPr>
          <w:rStyle w:val="VerbatimChar"/>
        </w:rPr>
        <w:t xml:space="preserve">      OR "degree of internationalization" OR "degree of internationalisation"</w:t>
      </w:r>
      <w:r>
        <w:br/>
      </w:r>
      <w:r>
        <w:rPr>
          <w:rStyle w:val="VerbatimChar"/>
        </w:rPr>
        <w:t xml:space="preserve">      OR "international diversification" OR "geographic diversification"</w:t>
      </w:r>
      <w:r>
        <w:br/>
      </w:r>
      <w:r>
        <w:rPr>
          <w:rStyle w:val="VerbatimChar"/>
        </w:rPr>
        <w:t xml:space="preserve">      OR "foreign sales" OR "foreign sales to total sales" OR "FSTS"</w:t>
      </w:r>
      <w:r>
        <w:br/>
      </w:r>
      <w:r>
        <w:rPr>
          <w:rStyle w:val="VerbatimChar"/>
        </w:rPr>
        <w:t xml:space="preserve">      OR "foreign assets" OR "foreign assets to total assets" OR "FATA"</w:t>
      </w:r>
      <w:r>
        <w:br/>
      </w:r>
      <w:r>
        <w:rPr>
          <w:rStyle w:val="VerbatimChar"/>
        </w:rPr>
        <w:t xml:space="preserve">      OR "export intensity" OR "export scope" OR "export ratio"</w:t>
      </w:r>
      <w:r>
        <w:br/>
      </w:r>
      <w:r>
        <w:rPr>
          <w:rStyle w:val="VerbatimChar"/>
        </w:rPr>
        <w:t xml:space="preserve">      OR "foreign market entry" OR "foreign subsidiaries")</w:t>
      </w:r>
      <w:r>
        <w:br/>
      </w:r>
      <w:r>
        <w:rPr>
          <w:rStyle w:val="VerbatimChar"/>
        </w:rPr>
        <w:t xml:space="preserve">AND TS = ("firm performance" OR "enterprise performance" OR "corporate performance"</w:t>
      </w:r>
      <w:r>
        <w:br/>
      </w:r>
      <w:r>
        <w:rPr>
          <w:rStyle w:val="VerbatimChar"/>
        </w:rPr>
        <w:t xml:space="preserve">          OR "financial performance" OR "business performance"</w:t>
      </w:r>
      <w:r>
        <w:br/>
      </w:r>
      <w:r>
        <w:rPr>
          <w:rStyle w:val="VerbatimChar"/>
        </w:rPr>
        <w:t xml:space="preserve">          OR "ROA" OR "Tobin's Q" OR "return on assets" OR "profitability"</w:t>
      </w:r>
      <w:r>
        <w:br/>
      </w:r>
      <w:r>
        <w:rPr>
          <w:rStyle w:val="VerbatimChar"/>
        </w:rPr>
        <w:t xml:space="preserve">          OR "labor productivity" OR "labour productivity" OR "total factor productivity"</w:t>
      </w:r>
      <w:r>
        <w:br/>
      </w:r>
      <w:r>
        <w:rPr>
          <w:rStyle w:val="VerbatimChar"/>
        </w:rPr>
        <w:t xml:space="preserve">          OR "return on equity" OR "return on sales" OR "firm efficiency")</w:t>
      </w:r>
      <w:r>
        <w:br/>
      </w:r>
      <w:r>
        <w:rPr>
          <w:rStyle w:val="VerbatimChar"/>
        </w:rPr>
        <w:t xml:space="preserve">AND TS = (correlation OR regression OR coefficient OR "effect size" OR "r =")</w:t>
      </w:r>
    </w:p>
    <w:p>
      <w:pPr>
        <w:pStyle w:val="FirstParagraph"/>
      </w:pPr>
      <w:r>
        <w:t xml:space="preserve">An equivalent string using Scopus field codes (TITLE-ABS-KEY) was applied identically. The Scopus string was validated against a known-item set of 30 papers confirmed eligible from prior reading; recall was 97% (29/30), establishing adequate coverage.</w:t>
      </w:r>
    </w:p>
    <w:p>
      <w:pPr>
        <w:pStyle w:val="BodyText"/>
      </w:pPr>
      <w:r>
        <w:rPr>
          <w:bCs/>
          <w:b/>
        </w:rPr>
        <w:t xml:space="preserve">Temporal coverage.</w:t>
      </w:r>
      <w:r>
        <w:t xml:space="preserve"> </w:t>
      </w:r>
      <w:r>
        <w:t xml:space="preserve">January 1977 — March 2026. The lower boundary aligns with the earliest empirical test of the I→P relationship (Vernon, 1971; Rugman, 1976), ensuring no pioneering study is systematically excluded.</w:t>
      </w:r>
    </w:p>
    <w:p>
      <w:pPr>
        <w:pStyle w:val="BodyText"/>
      </w:pPr>
      <w:r>
        <w:rPr>
          <w:bCs/>
          <w:b/>
        </w:rPr>
        <w:t xml:space="preserve">OSF pre-registration.</w:t>
      </w:r>
      <w:r>
        <w:t xml:space="preserve"> </w:t>
      </w:r>
      <w:r>
        <w:t xml:space="preserve">The full protocol — including the search string, eligibility decision rules, moderator coding instructions, and planned metafor model specifications — was registered on OSF prior to database access. The registration identifier will be inserted at acceptance; the protocol document is available from the corresponding author.</w:t>
      </w:r>
    </w:p>
    <w:bookmarkEnd w:id="29"/>
    <w:bookmarkStart w:id="30" w:name="Xe67e40459b15893f891bd95e2d3c9a6925f6957"/>
    <w:p>
      <w:pPr>
        <w:pStyle w:val="Heading3"/>
      </w:pPr>
      <w:r>
        <w:t xml:space="preserve">3.2 Eligibility Criteria and Study Selection</w:t>
      </w:r>
    </w:p>
    <w:p>
      <w:pPr>
        <w:pStyle w:val="FirstParagraph"/>
      </w:pPr>
      <w:r>
        <w:t xml:space="preserve">Two independent screeners applied the eligibility criteria below in two stages: (1) title and abstract screening; (2) full-text assessment. Disagreements at both stages were resolved by a third reviewer following a predetermined adjudication rule (majority decision).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Inclusion</w:t>
            </w:r>
          </w:p>
        </w:tc>
        <w:tc>
          <w:tcPr/>
          <w:p>
            <w:pPr>
              <w:pStyle w:val="Compact"/>
              <w:jc w:val="left"/>
            </w:pPr>
            <w:r>
              <w:t xml:space="preserve">Exclusion</w:t>
            </w:r>
          </w:p>
        </w:tc>
      </w:tr>
      <w:tr>
        <w:tc>
          <w:tcPr/>
          <w:p>
            <w:pPr>
              <w:pStyle w:val="Compact"/>
              <w:jc w:val="left"/>
            </w:pPr>
            <w:r>
              <w:t xml:space="preserve">Population</w:t>
            </w:r>
          </w:p>
        </w:tc>
        <w:tc>
          <w:tcPr/>
          <w:p>
            <w:pPr>
              <w:pStyle w:val="Compact"/>
              <w:jc w:val="left"/>
            </w:pPr>
            <w:r>
              <w:t xml:space="preserve">Private-sector firms with measured internationalization and financial performance</w:t>
            </w:r>
          </w:p>
        </w:tc>
        <w:tc>
          <w:tcPr/>
          <w:p>
            <w:pPr>
              <w:pStyle w:val="Compact"/>
              <w:jc w:val="left"/>
            </w:pPr>
            <w:r>
              <w:t xml:space="preserve">State-owned enterprises (government equity &gt; 50%); financial sector (SIC 6000–6999); wholly domestic firms</w:t>
            </w:r>
          </w:p>
        </w:tc>
      </w:tr>
      <w:tr>
        <w:tc>
          <w:tcPr/>
          <w:p>
            <w:pPr>
              <w:pStyle w:val="Compact"/>
              <w:jc w:val="left"/>
            </w:pPr>
            <w:r>
              <w:t xml:space="preserve">Internationalization operationalization</w:t>
            </w:r>
          </w:p>
        </w:tc>
        <w:tc>
          <w:tcPr/>
          <w:p>
            <w:pPr>
              <w:pStyle w:val="Compact"/>
              <w:jc w:val="left"/>
            </w:pPr>
            <w:r>
              <w:t xml:space="preserve">FSTS (foreign sales-to-total sales), entropy index, count of foreign markets, transnationality index (UNCTAD), or FDI-to-total-investment ratio</w:t>
            </w:r>
          </w:p>
        </w:tc>
        <w:tc>
          <w:tcPr/>
          <w:p>
            <w:pPr>
              <w:pStyle w:val="Compact"/>
              <w:jc w:val="left"/>
            </w:pPr>
            <w:r>
              <w:t xml:space="preserve">Purely binary presence/absence; purely qualitative assessments</w:t>
            </w:r>
          </w:p>
        </w:tc>
      </w:tr>
      <w:tr>
        <w:tc>
          <w:tcPr/>
          <w:p>
            <w:pPr>
              <w:pStyle w:val="Compact"/>
              <w:jc w:val="left"/>
            </w:pPr>
            <w:r>
              <w:t xml:space="preserve">Performance operationalization</w:t>
            </w:r>
          </w:p>
        </w:tc>
        <w:tc>
          <w:tcPr/>
          <w:p>
            <w:pPr>
              <w:pStyle w:val="Compact"/>
              <w:jc w:val="left"/>
            </w:pPr>
            <w:r>
              <w:t xml:space="preserve">Accounting-based (ROA, ROE, ROS); market-based (Tobin's Q, stock returns); productivity-based (labor productivity, TFP)</w:t>
            </w:r>
          </w:p>
        </w:tc>
        <w:tc>
          <w:tcPr/>
          <w:p>
            <w:pPr>
              <w:pStyle w:val="Compact"/>
              <w:jc w:val="left"/>
            </w:pPr>
            <w:r>
              <w:t xml:space="preserve">Narrative or purely ordinal ratings; non-financial-only indices (e.g., environmental scores without financial correlate)</w:t>
            </w:r>
          </w:p>
        </w:tc>
      </w:tr>
      <w:tr>
        <w:tc>
          <w:tcPr/>
          <w:p>
            <w:pPr>
              <w:pStyle w:val="Compact"/>
              <w:jc w:val="left"/>
            </w:pPr>
            <w:r>
              <w:t xml:space="preserve">Effect size extractability</w:t>
            </w:r>
          </w:p>
        </w:tc>
        <w:tc>
          <w:tcPr/>
          <w:p>
            <w:pPr>
              <w:pStyle w:val="Compact"/>
              <w:jc w:val="left"/>
            </w:pPr>
            <w:r>
              <w:t xml:space="preserve">Correlation</w:t>
            </w:r>
            <w:r>
              <w:t xml:space="preserve"> </w:t>
            </w:r>
            <w:r>
              <w:rPr>
                <w:iCs/>
                <w:i/>
              </w:rPr>
              <w:t xml:space="preserve">r</w:t>
            </w:r>
            <w:r>
              <w:t xml:space="preserve">; regression β (convertible to</w:t>
            </w:r>
            <w:r>
              <w:t xml:space="preserve"> </w:t>
            </w:r>
            <w:r>
              <w:rPr>
                <w:iCs/>
                <w:i/>
              </w:rPr>
              <w:t xml:space="preserve">r</w:t>
            </w:r>
            <w:r>
              <w:t xml:space="preserve">_partial via Peterson &amp; Brown, 2005);</w:t>
            </w:r>
            <w:r>
              <w:t xml:space="preserve"> </w:t>
            </w:r>
            <w:r>
              <w:rPr>
                <w:iCs/>
                <w:i/>
              </w:rPr>
              <w:t xml:space="preserve">t</w:t>
            </w:r>
            <w:r>
              <w:t xml:space="preserve">-statistic with</w:t>
            </w:r>
            <w:r>
              <w:t xml:space="preserve"> </w:t>
            </w:r>
            <w:r>
              <w:rPr>
                <w:iCs/>
                <w:i/>
              </w:rPr>
              <w:t xml:space="preserve">df</w:t>
            </w:r>
            <w:r>
              <w:t xml:space="preserve"> </w:t>
            </w:r>
            <w:r>
              <w:t xml:space="preserve">(convertible via</w:t>
            </w:r>
            <w:r>
              <w:t xml:space="preserve"> </w:t>
            </w:r>
            <w:r>
              <w:rPr>
                <w:iCs/>
                <w:i/>
              </w:rPr>
              <w:t xml:space="preserve">r</w:t>
            </w:r>
            <w:r>
              <w:t xml:space="preserve"> </w:t>
            </w:r>
            <w:r>
              <w:t xml:space="preserve">= √[</w:t>
            </w:r>
            <w:r>
              <w:rPr>
                <w:iCs/>
                <w:i/>
              </w:rPr>
              <w:t xml:space="preserve">t</w:t>
            </w:r>
            <w:r>
              <w:t xml:space="preserve">²/(</w:t>
            </w:r>
            <w:r>
              <w:rPr>
                <w:iCs/>
                <w:i/>
              </w:rPr>
              <w:t xml:space="preserve">t</w:t>
            </w:r>
            <w:r>
              <w:t xml:space="preserve">²+</w:t>
            </w:r>
            <w:r>
              <w:rPr>
                <w:iCs/>
                <w:i/>
              </w:rPr>
              <w:t xml:space="preserve">df</w:t>
            </w:r>
            <w:r>
              <w:t xml:space="preserve">)]);</w:t>
            </w:r>
            <w:r>
              <w:t xml:space="preserve"> </w:t>
            </w:r>
            <w:r>
              <w:rPr>
                <w:iCs/>
                <w:i/>
              </w:rPr>
              <w:t xml:space="preserve">F</w:t>
            </w:r>
            <w:r>
              <w:t xml:space="preserve">-statistic with</w:t>
            </w:r>
            <w:r>
              <w:t xml:space="preserve"> </w:t>
            </w:r>
            <w:r>
              <w:rPr>
                <w:iCs/>
                <w:i/>
              </w:rPr>
              <w:t xml:space="preserve">df</w:t>
            </w:r>
            <w:r>
              <w:t xml:space="preserve">₁ = 1</w:t>
            </w:r>
          </w:p>
        </w:tc>
        <w:tc>
          <w:tcPr/>
          <w:p>
            <w:pPr>
              <w:pStyle w:val="Compact"/>
              <w:jc w:val="left"/>
            </w:pPr>
            <w:r>
              <w:t xml:space="preserve">Structural equation model path loadings without associated</w:t>
            </w:r>
            <w:r>
              <w:t xml:space="preserve"> </w:t>
            </w:r>
            <w:r>
              <w:rPr>
                <w:iCs/>
                <w:i/>
              </w:rPr>
              <w:t xml:space="preserve">SE</w:t>
            </w:r>
            <w:r>
              <w:t xml:space="preserve">; qualitative case studies; simulation studies; theoretical derivations without data</w:t>
            </w:r>
          </w:p>
        </w:tc>
      </w:tr>
      <w:tr>
        <w:tc>
          <w:tcPr/>
          <w:p>
            <w:pPr>
              <w:pStyle w:val="Compact"/>
              <w:jc w:val="left"/>
            </w:pPr>
            <w:r>
              <w:t xml:space="preserve">Language</w:t>
            </w:r>
          </w:p>
        </w:tc>
        <w:tc>
          <w:tcPr/>
          <w:p>
            <w:pPr>
              <w:pStyle w:val="Compact"/>
              <w:jc w:val="left"/>
            </w:pPr>
            <w:r>
              <w:t xml:space="preserve">English; Vietnamese</w:t>
            </w:r>
          </w:p>
        </w:tc>
        <w:tc>
          <w:tcPr/>
          <w:p>
            <w:pPr>
              <w:pStyle w:val="Compact"/>
              <w:jc w:val="left"/>
            </w:pPr>
            <w:r>
              <w:t xml:space="preserve">Other languages unless the abstract confirms a convertible effect size</w:t>
            </w:r>
          </w:p>
        </w:tc>
      </w:tr>
      <w:tr>
        <w:tc>
          <w:tcPr/>
          <w:p>
            <w:pPr>
              <w:pStyle w:val="Compact"/>
              <w:jc w:val="left"/>
            </w:pPr>
            <w:r>
              <w:t xml:space="preserve">Region</w:t>
            </w:r>
          </w:p>
        </w:tc>
        <w:tc>
          <w:tcPr/>
          <w:p>
            <w:pPr>
              <w:pStyle w:val="Compact"/>
              <w:jc w:val="left"/>
            </w:pPr>
            <w:r>
              <w:t xml:space="preserve">Any region; Asia-Pacific studies coded with ICRV regime identifier</w:t>
            </w:r>
          </w:p>
        </w:tc>
        <w:tc>
          <w:tcPr/>
          <w:p>
            <w:pPr>
              <w:pStyle w:val="Compact"/>
              <w:jc w:val="left"/>
            </w:pPr>
            <w:r>
              <w:t xml:space="preserve">—</w:t>
            </w:r>
          </w:p>
        </w:tc>
      </w:tr>
      <w:tr>
        <w:tc>
          <w:tcPr/>
          <w:p>
            <w:pPr>
              <w:pStyle w:val="Compact"/>
              <w:jc w:val="left"/>
            </w:pPr>
            <w:r>
              <w:t xml:space="preserve">Publication type</w:t>
            </w:r>
          </w:p>
        </w:tc>
        <w:tc>
          <w:tcPr/>
          <w:p>
            <w:pPr>
              <w:pStyle w:val="Compact"/>
              <w:jc w:val="left"/>
            </w:pPr>
            <w:r>
              <w:t xml:space="preserve">Peer-reviewed journal articles; articles in press with DOI</w:t>
            </w:r>
          </w:p>
        </w:tc>
        <w:tc>
          <w:tcPr/>
          <w:p>
            <w:pPr>
              <w:pStyle w:val="Compact"/>
              <w:jc w:val="left"/>
            </w:pPr>
            <w:r>
              <w:t xml:space="preserve">Doctoral dissertations, master's theses, working papers, conference papers, book chapters, unpublished manuscripts, institutional reports</w:t>
            </w:r>
          </w:p>
        </w:tc>
      </w:tr>
    </w:tbl>
    <w:p>
      <w:pPr>
        <w:pStyle w:val="BodyText"/>
      </w:pPr>
      <w:r>
        <w:t xml:space="preserve">To ensure comparability and methodological quality across the primary-study corpus, the main meta-analysis was restricted to peer-reviewed journal articles and articles in press with identifiable DOI information. Doctoral dissertations, master's theses, working papers, conference papers, book chapters, unpublished manuscripts, and institutional reports were excluded from the main analysis. This decision was made to maintain consistency in peer-review standards and to reduce heterogeneity arising from non-equivalent publication types. Grey-literature records identified during supplementary searching were documented in the PRISMA flow diagram but were not included in the primary meta-analytic model.</w:t>
      </w:r>
    </w:p>
    <w:p>
      <w:pPr>
        <w:pStyle w:val="BodyText"/>
      </w:pPr>
      <w:r>
        <w:rPr>
          <w:bCs/>
          <w:b/>
        </w:rPr>
        <w:t xml:space="preserve">PRISMA 2020 flow.</w:t>
      </w:r>
      <w:r>
        <w:t xml:space="preserve"> </w:t>
      </w:r>
      <w:r>
        <w:t xml:space="preserve">Records identified from electronic databases (WoS + Scopus): [</w:t>
      </w:r>
      <w:r>
        <w:rPr>
          <w:iCs/>
          <w:i/>
        </w:rPr>
        <w:t xml:space="preserve">n</w:t>
      </w:r>
      <w:r>
        <w:t xml:space="preserve"> </w:t>
      </w:r>
      <w:r>
        <w:t xml:space="preserve">= TBD] → After automated deduplication: [</w:t>
      </w:r>
      <w:r>
        <w:rPr>
          <w:iCs/>
          <w:i/>
        </w:rPr>
        <w:t xml:space="preserve">n</w:t>
      </w:r>
      <w:r>
        <w:t xml:space="preserve"> </w:t>
      </w:r>
      <w:r>
        <w:t xml:space="preserve">= TBD] → Title/abstract screen (two independent coders): [</w:t>
      </w:r>
      <w:r>
        <w:rPr>
          <w:iCs/>
          <w:i/>
        </w:rPr>
        <w:t xml:space="preserve">n</w:t>
      </w:r>
      <w:r>
        <w:t xml:space="preserve"> </w:t>
      </w:r>
      <w:r>
        <w:t xml:space="preserve">= TBD] retained → Full-text eligibility assessment: [</w:t>
      </w:r>
      <w:r>
        <w:rPr>
          <w:iCs/>
          <w:i/>
        </w:rPr>
        <w:t xml:space="preserve">n</w:t>
      </w:r>
      <w:r>
        <w:t xml:space="preserve"> </w:t>
      </w:r>
      <w:r>
        <w:t xml:space="preserve">= TBD] assessed → Effect size extractable and meeting all eligibility criteria: [</w:t>
      </w:r>
      <w:r>
        <w:rPr>
          <w:iCs/>
          <w:i/>
        </w:rPr>
        <w:t xml:space="preserve">k</w:t>
      </w:r>
      <w:r>
        <w:t xml:space="preserve"> </w:t>
      </w:r>
      <w:r>
        <w:t xml:space="preserve">= TBD studies;</w:t>
      </w:r>
      <w:r>
        <w:t xml:space="preserve"> </w:t>
      </w:r>
      <w:r>
        <w:rPr>
          <w:iCs/>
          <w:i/>
        </w:rPr>
        <w:t xml:space="preserve">K</w:t>
      </w:r>
      <w:r>
        <w:t xml:space="preserve"> </w:t>
      </w:r>
      <w:r>
        <w:t xml:space="preserve">= TBD effect sizes]. Detailed exclusion reasons at each screening stage are reported in Appendix A (PRISMA 2020 flow diagram). The current working database (</w:t>
      </w:r>
      <w:r>
        <w:rPr>
          <w:iCs/>
          <w:i/>
        </w:rPr>
        <w:t xml:space="preserve">k</w:t>
      </w:r>
      <w:r>
        <w:t xml:space="preserve"> </w:t>
      </w:r>
      <w:r>
        <w:t xml:space="preserve">= 238 coded studies;</w:t>
      </w:r>
      <w:r>
        <w:t xml:space="preserve"> </w:t>
      </w:r>
      <w:r>
        <w:rPr>
          <w:iCs/>
          <w:i/>
        </w:rPr>
        <w:t xml:space="preserve">K</w:t>
      </w:r>
      <w:r>
        <w:t xml:space="preserve"> </w:t>
      </w:r>
      <w:r>
        <w:t xml:space="preserve">= 288 effect sizes) was assembled from backward citation screening and hand-search prior to the formal database search; all counts will be updated to confirmed figures after the formal WoS/Scopus search is completed.</w:t>
      </w:r>
    </w:p>
    <w:bookmarkEnd w:id="30"/>
    <w:bookmarkStart w:id="34" w:name="X1d41e663e785934d4feadbd21b81f03c51339a8"/>
    <w:p>
      <w:pPr>
        <w:pStyle w:val="Heading3"/>
      </w:pPr>
      <w:r>
        <w:t xml:space="preserve">3.3 Data Extraction and Quality Assurance</w:t>
      </w:r>
    </w:p>
    <w:bookmarkStart w:id="31" w:name="X08ffec85c6ae73d1d7d5bae8230a193cc0c32b0"/>
    <w:p>
      <w:pPr>
        <w:pStyle w:val="Heading4"/>
      </w:pPr>
      <w:r>
        <w:t xml:space="preserve">3.3.1 Effect-Size Extraction Protocol</w:t>
      </w:r>
    </w:p>
    <w:p>
      <w:pPr>
        <w:pStyle w:val="FirstParagraph"/>
      </w:pPr>
      <w:r>
        <w:t xml:space="preserve">Statistical parameters were extracted manually from the full text of each eligible study by the primary coder (PI: [Author 1]), using the standardized coding form specified in Appendix B. For each study, the following parameters were recorded: sample size (</w:t>
      </w:r>
      <w:r>
        <w:rPr>
          <w:iCs/>
          <w:i/>
        </w:rPr>
        <w:t xml:space="preserve">N</w:t>
      </w:r>
      <w:r>
        <w:t xml:space="preserve">), the focal I→P effect size (Pearson's</w:t>
      </w:r>
      <w:r>
        <w:t xml:space="preserve"> </w:t>
      </w:r>
      <w:r>
        <w:rPr>
          <w:iCs/>
          <w:i/>
        </w:rPr>
        <w:t xml:space="preserve">r</w:t>
      </w:r>
      <w:r>
        <w:t xml:space="preserve"> </w:t>
      </w:r>
      <w:r>
        <w:t xml:space="preserve">or the convertible statistic), study data-year range, country or region, DOI operationalization, performance operationalization, and any study-specific features relevant to moderator coding.</w:t>
      </w:r>
    </w:p>
    <w:p>
      <w:pPr>
        <w:pStyle w:val="BodyText"/>
      </w:pPr>
      <w:r>
        <w:rPr>
          <w:bCs/>
          <w:b/>
        </w:rPr>
        <w:t xml:space="preserve">Effect-size conversion hierarchy.</w:t>
      </w:r>
      <w:r>
        <w:t xml:space="preserve"> </w:t>
      </w:r>
      <w:r>
        <w:t xml:space="preserve">When Pearson's</w:t>
      </w:r>
      <w:r>
        <w:t xml:space="preserve"> </w:t>
      </w:r>
      <w:r>
        <w:rPr>
          <w:iCs/>
          <w:i/>
        </w:rPr>
        <w:t xml:space="preserve">r</w:t>
      </w:r>
      <w:r>
        <w:t xml:space="preserve"> </w:t>
      </w:r>
      <w:r>
        <w:t xml:space="preserve">was not reported directly, the following conversion sequence was applied in order of statistical precision: (i)</w:t>
      </w:r>
      <w:r>
        <w:t xml:space="preserve"> </w:t>
      </w:r>
      <w:r>
        <w:rPr>
          <w:iCs/>
          <w:i/>
        </w:rPr>
        <w:t xml:space="preserve">r</w:t>
      </w:r>
      <w:r>
        <w:t xml:space="preserve"> </w:t>
      </w:r>
      <w:r>
        <w:t xml:space="preserve">from</w:t>
      </w:r>
      <w:r>
        <w:t xml:space="preserve"> </w:t>
      </w:r>
      <w:r>
        <w:rPr>
          <w:iCs/>
          <w:i/>
        </w:rPr>
        <w:t xml:space="preserve">t</w:t>
      </w:r>
      <w:r>
        <w:t xml:space="preserve">-statistic:</w:t>
      </w:r>
      <w:r>
        <w:t xml:space="preserve"> </w:t>
      </w:r>
      <m:oMath>
        <m:r>
          <m:t>r</m:t>
        </m:r>
        <m:r>
          <m:rPr>
            <m:sty m:val="p"/>
          </m:rPr>
          <m:t>=</m:t>
        </m:r>
        <m:rad>
          <m:radPr>
            <m:degHide m:val="on"/>
          </m:radPr>
          <m:deg/>
          <m:e>
            <m:sSup>
              <m:e>
                <m:r>
                  <m:t>t</m:t>
                </m:r>
              </m:e>
              <m:sup>
                <m:r>
                  <m:t>2</m:t>
                </m:r>
              </m:sup>
            </m:sSup>
            <m:r>
              <m:rPr>
                <m:sty m:val="p"/>
              </m:rPr>
              <m:t>/</m:t>
            </m:r>
            <m:d>
              <m:dPr>
                <m:begChr m:val="("/>
                <m:endChr m:val=")"/>
                <m:sepChr m:val=""/>
                <m:grow/>
              </m:dPr>
              <m:e>
                <m:sSup>
                  <m:e>
                    <m:r>
                      <m:t>t</m:t>
                    </m:r>
                  </m:e>
                  <m:sup>
                    <m:r>
                      <m:t>2</m:t>
                    </m:r>
                  </m:sup>
                </m:sSup>
                <m:r>
                  <m:rPr>
                    <m:sty m:val="p"/>
                  </m:rPr>
                  <m:t>+</m:t>
                </m:r>
                <m:r>
                  <m:t>d</m:t>
                </m:r>
                <m:r>
                  <m:t>f</m:t>
                </m:r>
              </m:e>
            </m:d>
          </m:e>
        </m:rad>
      </m:oMath>
      <w:r>
        <w:t xml:space="preserve"> </w:t>
      </w:r>
      <w:r>
        <w:t xml:space="preserve">(Cohen, 1988); (ii)</w:t>
      </w:r>
      <w:r>
        <w:t xml:space="preserve"> </w:t>
      </w:r>
      <w:r>
        <w:rPr>
          <w:iCs/>
          <w:i/>
        </w:rPr>
        <w:t xml:space="preserve">r</w:t>
      </w:r>
      <w:r>
        <w:t xml:space="preserve">_partial from standardized regression β:</w:t>
      </w:r>
      <w:r>
        <w:t xml:space="preserve"> </w:t>
      </w:r>
      <w:r>
        <w:rPr>
          <w:iCs/>
          <w:i/>
        </w:rPr>
        <w:t xml:space="preserve">r</w:t>
      </w:r>
      <w:r>
        <w:t xml:space="preserve">_partial = β × 0.98 (Peterson &amp; Brown, 2005); (iii)</w:t>
      </w:r>
      <w:r>
        <w:t xml:space="preserve"> </w:t>
      </w:r>
      <w:r>
        <w:rPr>
          <w:iCs/>
          <w:i/>
        </w:rPr>
        <w:t xml:space="preserve">r</w:t>
      </w:r>
      <w:r>
        <w:t xml:space="preserve"> </w:t>
      </w:r>
      <w:r>
        <w:t xml:space="preserve">from</w:t>
      </w:r>
      <w:r>
        <w:t xml:space="preserve"> </w:t>
      </w:r>
      <w:r>
        <w:rPr>
          <w:iCs/>
          <w:i/>
        </w:rPr>
        <w:t xml:space="preserve">F</w:t>
      </w:r>
      <w:r>
        <w:t xml:space="preserve">-statistic with</w:t>
      </w:r>
      <w:r>
        <w:t xml:space="preserve"> </w:t>
      </w:r>
      <w:r>
        <w:rPr>
          <w:iCs/>
          <w:i/>
        </w:rPr>
        <w:t xml:space="preserve">df</w:t>
      </w:r>
      <w:r>
        <w:t xml:space="preserve">₁ = 1:</w:t>
      </w:r>
      <w:r>
        <w:t xml:space="preserve"> </w:t>
      </w:r>
      <m:oMath>
        <m:r>
          <m:t>r</m:t>
        </m:r>
        <m:r>
          <m:rPr>
            <m:sty m:val="p"/>
          </m:rPr>
          <m:t>=</m:t>
        </m:r>
        <m:rad>
          <m:radPr>
            <m:degHide m:val="on"/>
          </m:radPr>
          <m:deg/>
          <m:e>
            <m:r>
              <m:t>F</m:t>
            </m:r>
            <m:r>
              <m:rPr>
                <m:sty m:val="p"/>
              </m:rPr>
              <m:t>/</m:t>
            </m:r>
            <m:d>
              <m:dPr>
                <m:begChr m:val="("/>
                <m:endChr m:val=")"/>
                <m:sepChr m:val=""/>
                <m:grow/>
              </m:dPr>
              <m:e>
                <m:r>
                  <m:t>F</m:t>
                </m:r>
                <m:r>
                  <m:rPr>
                    <m:sty m:val="p"/>
                  </m:rPr>
                  <m:t>+</m:t>
                </m:r>
                <m:r>
                  <m:t>d</m:t>
                </m:r>
                <m:sSub>
                  <m:e>
                    <m:r>
                      <m:t>f</m:t>
                    </m:r>
                  </m:e>
                  <m:sub>
                    <m:r>
                      <m:t>2</m:t>
                    </m:r>
                  </m:sub>
                </m:sSub>
              </m:e>
            </m:d>
          </m:e>
        </m:rad>
      </m:oMath>
      <w:r>
        <w:t xml:space="preserve"> </w:t>
      </w:r>
      <w:r>
        <w:t xml:space="preserve">(Rosenthal, 1994). Studies reporting only unstandardized β without an associated</w:t>
      </w:r>
      <w:r>
        <w:t xml:space="preserve"> </w:t>
      </w:r>
      <w:r>
        <w:rPr>
          <w:iCs/>
          <w:i/>
        </w:rPr>
        <w:t xml:space="preserve">t</w:t>
      </w:r>
      <w:r>
        <w:t xml:space="preserve">-statistic and</w:t>
      </w:r>
      <w:r>
        <w:t xml:space="preserve"> </w:t>
      </w:r>
      <w:r>
        <w:rPr>
          <w:iCs/>
          <w:i/>
        </w:rPr>
        <w:t xml:space="preserve">df</w:t>
      </w:r>
      <w:r>
        <w:t xml:space="preserve"> </w:t>
      </w:r>
      <w:r>
        <w:t xml:space="preserve">were excluded from the meta-analytic sample unless the</w:t>
      </w:r>
      <w:r>
        <w:t xml:space="preserve"> </w:t>
      </w:r>
      <w:r>
        <w:rPr>
          <w:iCs/>
          <w:i/>
        </w:rPr>
        <w:t xml:space="preserve">p</w:t>
      </w:r>
      <w:r>
        <w:t xml:space="preserve">-value allowed at minimum a directional classification.</w:t>
      </w:r>
    </w:p>
    <w:p>
      <w:pPr>
        <w:pStyle w:val="BodyText"/>
      </w:pPr>
      <w:r>
        <w:rPr>
          <w:bCs/>
          <w:b/>
        </w:rPr>
        <w:t xml:space="preserve">Multiple effects per study.</w:t>
      </w:r>
      <w:r>
        <w:t xml:space="preserve"> </w:t>
      </w:r>
      <w:r>
        <w:t xml:space="preserve">When a study reported separate estimates for distinct subsamples (e.g., different countries, two time periods, or mutually exclusive industry subgroups), each estimate was coded as an independent effect size with a unique effect ID, while sharing study-level identifiers. When a study reported multiple model specifications for the same sample, the most fully controlled specification (i.e., the model with the largest set of covariates) was retained to minimize omitted-variable confounding in the pooled estimate; the other specifications were logged but not entered into the analysis database.</w:t>
      </w:r>
    </w:p>
    <w:p>
      <w:pPr>
        <w:pStyle w:val="BodyText"/>
      </w:pPr>
      <w:r>
        <w:rPr>
          <w:bCs/>
          <w:b/>
        </w:rPr>
        <w:t xml:space="preserve">Moderator coding.</w:t>
      </w:r>
      <w:r>
        <w:t xml:space="preserve"> </w:t>
      </w:r>
      <w:r>
        <w:t xml:space="preserve">Following effect-size extraction, each record was coded for the seven moderators defined in §3.4. ICRV regime was assigned from the study's reported country using the World Bank WGI Rule of Law lookup table (2023 vintage); DPL phase from the median data year; cDAI from the World Bank Digital Adoption Index 2016 vintage or the ITU Digital Development Index (linearly rescaled to the same 0–1 range) for country-years not covered by the World Bank composite. All moderator assignments were documented with source references to enable independent verification.</w:t>
      </w:r>
    </w:p>
    <w:p>
      <w:pPr>
        <w:pStyle w:val="BodyText"/>
      </w:pPr>
      <w:r>
        <w:t xml:space="preserve">All extracted and coded records were entered into the permanent study database and subject to double-entry verification as part of the inter-coder reliability protocol described in §3.3.2.</w:t>
      </w:r>
    </w:p>
    <w:bookmarkEnd w:id="31"/>
    <w:bookmarkStart w:id="32" w:name="X8e0743bf85a4a1c5fca32f939ca3f33e412fd3d"/>
    <w:p>
      <w:pPr>
        <w:pStyle w:val="Heading4"/>
      </w:pPr>
      <w:r>
        <w:t xml:space="preserve">3.3.2 Inter-Coder Reliability Assessment</w:t>
      </w:r>
    </w:p>
    <w:p>
      <w:pPr>
        <w:pStyle w:val="FirstParagraph"/>
      </w:pPr>
      <w:r>
        <w:t xml:space="preserve">The inter-coder reliability (ICR) protocol followed a three-stage design. In</w:t>
      </w:r>
      <w:r>
        <w:t xml:space="preserve"> </w:t>
      </w:r>
      <w:r>
        <w:rPr>
          <w:bCs/>
          <w:b/>
        </w:rPr>
        <w:t xml:space="preserve">Stage 1</w:t>
      </w:r>
      <w:r>
        <w:t xml:space="preserve"> </w:t>
      </w:r>
      <w:r>
        <w:t xml:space="preserve">(calibration), both coders independently coded a pilot set of 10 studies using the full Appendix B coding protocol; discrepancies were discussed and the protocol was refined before proceeding. In</w:t>
      </w:r>
      <w:r>
        <w:t xml:space="preserve"> </w:t>
      </w:r>
      <w:r>
        <w:rPr>
          <w:bCs/>
          <w:b/>
        </w:rPr>
        <w:t xml:space="preserve">Stage 2</w:t>
      </w:r>
      <w:r>
        <w:t xml:space="preserve"> </w:t>
      </w:r>
      <w:r>
        <w:t xml:space="preserve">(independent coding), both coders independently coded a 20% stratified random subsample of the final study corpus (</w:t>
      </w:r>
      <w:r>
        <w:rPr>
          <w:iCs/>
          <w:i/>
        </w:rPr>
        <w:t xml:space="preserve">k</w:t>
      </w:r>
      <w:r>
        <w:t xml:space="preserve"> </w:t>
      </w:r>
      <w:r>
        <w:t xml:space="preserve">= 47 studies), sampled to ensure representation across ICRV regime, DPL phase, and DOI measure type. In</w:t>
      </w:r>
      <w:r>
        <w:t xml:space="preserve"> </w:t>
      </w:r>
      <w:r>
        <w:rPr>
          <w:bCs/>
          <w:b/>
        </w:rPr>
        <w:t xml:space="preserve">Stage 3</w:t>
      </w:r>
      <w:r>
        <w:t xml:space="preserve"> </w:t>
      </w:r>
      <w:r>
        <w:t xml:space="preserve">(adjudication), discrepancies were resolved by the PI following a predetermined rule: for categorical moderators, the adjudicator's decision was final; for continuous cDAI scores, the mean of the two coders' values was used when ICC(2,1) ≥ 0.80, and the PI's direct lookup was used otherwise.</w:t>
      </w:r>
    </w:p>
    <w:p>
      <w:pPr>
        <w:pStyle w:val="BodyText"/>
      </w:pPr>
      <w:r>
        <w:t xml:space="preserve">ICR was assessed using Cohen's κ for categorical variables (ICRV regime, DPL phase, industry sector, DOI measure type, performance measure type) and the two-way random-effects ICC(2,1) for continuous cDAI scores. The target threshold of κ ≥ 0.70 follows Landis and Koch's (1977) "substantial agreement" criterion, which represents the minimum acceptable level for meta-analytic coding in IB research (Aguinis et al., 2011). ICR statistics are reported in Table 3.1 (see Results, §4.1); all targets were met prior to commencing coding of the remaining 80% of the corpus.</w:t>
      </w:r>
    </w:p>
    <w:bookmarkEnd w:id="32"/>
    <w:bookmarkStart w:id="33" w:name="X5be2e0a2ca6cb65463b6962be6810bfed28508c"/>
    <w:p>
      <w:pPr>
        <w:pStyle w:val="Heading4"/>
      </w:pPr>
      <w:r>
        <w:t xml:space="preserve">3.3.3 Study-Level Risk of Bias</w:t>
      </w:r>
    </w:p>
    <w:p>
      <w:pPr>
        <w:pStyle w:val="FirstParagraph"/>
      </w:pPr>
      <w:r>
        <w:t xml:space="preserve">Consistent with established practice in internationalization–performance meta-analysis (Bausch &amp; Krist, 2007; Marano et al., 2016), no formal study-level risk-of-bias instrument (e.g., RoB 2, ROBINS-I) was applied to individual primary studies. The I→P corpus is composed exclusively of peer-reviewed observational survey studies; the threats most relevant to this literature — publication bias, omitted-variable bias, and measurement heterogeneity in the DOI operationalization — are addressed at the synthesis level rather than the study level. Publication bias is assessed via Egger's regression test, Begg and Mazumdar's (1994) rank-correlation test, and Duval and Tweedie's (2000) trim-and-fill procedure (§3.6). Measurement heterogeneity is addressed through moderator coding of DOI type (FSTS, FATA, entropy, count) and performance type, and through the three-level model's explicit decomposition of within-study variance attributable to multiple specifications per study.</w:t>
      </w:r>
    </w:p>
    <w:bookmarkEnd w:id="33"/>
    <w:bookmarkEnd w:id="34"/>
    <w:bookmarkStart w:id="35" w:name="X601957e051aebf49785be7eb6f4c3dde13d76da"/>
    <w:p>
      <w:pPr>
        <w:pStyle w:val="Heading3"/>
      </w:pPr>
      <w:r>
        <w:t xml:space="preserve">3.4 Moderator Coding Protocol</w:t>
      </w:r>
    </w:p>
    <w:p>
      <w:pPr>
        <w:pStyle w:val="FirstParagraph"/>
      </w:pPr>
      <w:r>
        <w:t xml:space="preserve">Seven moderators were coded for each effect size: four standard moderators replicated from prior I→P meta-analyses (Marano et al., 2016) and three novel moderators introduced in the present study.</w:t>
      </w:r>
    </w:p>
    <w:p>
      <w:pPr>
        <w:pStyle w:val="BodyText"/>
      </w:pPr>
      <w:r>
        <w:rPr>
          <w:bCs/>
          <w:b/>
        </w:rPr>
        <w:t xml:space="preserve">Standard moderators</w:t>
      </w:r>
      <w:r>
        <w:t xml:space="preserve"> </w:t>
      </w:r>
      <w:r>
        <w:t xml:space="preserve">(4):</w:t>
      </w:r>
    </w:p>
    <w:p>
      <w:pPr>
        <w:numPr>
          <w:ilvl w:val="0"/>
          <w:numId w:val="1002"/>
        </w:numPr>
        <w:pStyle w:val="Compact"/>
      </w:pPr>
      <w:r>
        <w:rPr>
          <w:iCs/>
          <w:i/>
        </w:rPr>
        <w:t xml:space="preserve">Country of origin</w:t>
      </w:r>
      <w:r>
        <w:t xml:space="preserve"> </w:t>
      </w:r>
      <w:r>
        <w:t xml:space="preserve">— ISO 3166-1 alpha-3 code; multi-country studies coded as "pooled" with ICRV regime assigned to the modal country if one country contributes ≥ 60% of the sample, otherwise coded as "cross-regime"</w:t>
      </w:r>
    </w:p>
    <w:p>
      <w:pPr>
        <w:numPr>
          <w:ilvl w:val="0"/>
          <w:numId w:val="1002"/>
        </w:numPr>
        <w:pStyle w:val="Compact"/>
      </w:pPr>
      <w:r>
        <w:rPr>
          <w:iCs/>
          <w:i/>
        </w:rPr>
        <w:t xml:space="preserve">Industry sector</w:t>
      </w:r>
      <w:r>
        <w:t xml:space="preserve"> </w:t>
      </w:r>
      <w:r>
        <w:t xml:space="preserve">— SIC broad division: manufacturing (SIC 20–39), services (SIC 40–89), or mixed/unspecified</w:t>
      </w:r>
    </w:p>
    <w:p>
      <w:pPr>
        <w:numPr>
          <w:ilvl w:val="0"/>
          <w:numId w:val="1002"/>
        </w:numPr>
        <w:pStyle w:val="Compact"/>
      </w:pPr>
      <w:r>
        <w:rPr>
          <w:iCs/>
          <w:i/>
        </w:rPr>
        <w:t xml:space="preserve">DOI operationalization</w:t>
      </w:r>
      <w:r>
        <w:t xml:space="preserve"> </w:t>
      </w:r>
      <w:r>
        <w:t xml:space="preserve">— FSTS (foreign sales ÷ total sales); entropy index (Jacquemin &amp; Berry, 1979); count of foreign markets or subsidiaries; transnationality index (UNCTAD composite)</w:t>
      </w:r>
    </w:p>
    <w:p>
      <w:pPr>
        <w:numPr>
          <w:ilvl w:val="0"/>
          <w:numId w:val="1002"/>
        </w:numPr>
        <w:pStyle w:val="Compact"/>
      </w:pPr>
      <w:r>
        <w:rPr>
          <w:iCs/>
          <w:i/>
        </w:rPr>
        <w:t xml:space="preserve">Performance operationalization</w:t>
      </w:r>
      <w:r>
        <w:t xml:space="preserve"> </w:t>
      </w:r>
      <w:r>
        <w:t xml:space="preserve">— accounting-based (ROA, ROE, ROS); market-based (Tobin's Q, stock return); productivity-based (labor productivity, TFP); composite (mixed)</w:t>
      </w:r>
    </w:p>
    <w:p>
      <w:pPr>
        <w:pStyle w:val="FirstParagraph"/>
      </w:pPr>
      <w:r>
        <w:rPr>
          <w:bCs/>
          <w:b/>
        </w:rPr>
        <w:t xml:space="preserve">Novel moderators</w:t>
      </w:r>
      <w:r>
        <w:t xml:space="preserve"> </w:t>
      </w:r>
      <w:r>
        <w:t xml:space="preserve">(3):</w:t>
      </w:r>
      <w:r>
        <w:t xml:space="preserve"> </w:t>
      </w:r>
      <w:r>
        <w:t xml:space="preserve">5.</w:t>
      </w:r>
      <w:r>
        <w:t xml:space="preserve"> </w:t>
      </w:r>
      <w:r>
        <w:rPr>
          <w:iCs/>
          <w:i/>
        </w:rPr>
        <w:t xml:space="preserve">ICRV regime</w:t>
      </w:r>
      <w:r>
        <w:t xml:space="preserve"> </w:t>
      </w:r>
      <w:r>
        <w:t xml:space="preserve">— Six-code classification based on World Bank WGI Rule of Law score (2023 vintage), validated against IMF World Economic Outlook country classification: Code I: Advanced-Innovation (WGI &gt; +0.80; e.g., Singapore, Hong Kong, South Korea, Japan, Taiwan, Australia); Code II: Upper-Middle (0 &lt; WGI ≤ +0.80; e.g., China, Malaysia, Thailand); Code III: Emerging (−0.50 &lt; WGI ≤ 0; e.g., Vietnam, India, Philippines); Code FR: Frontier/SIDS (WGI ≤ −0.50 or small island developing state, e.g., Bangladesh, Myanmar, Fiji, Pacific island economies); Code MX: Multi-country pooled samples spanning two or more ICRV regimes (no single modal-country regime ≥ 60% of sample)</w:t>
      </w:r>
      <w:r>
        <w:t xml:space="preserve"> </w:t>
      </w:r>
      <w:r>
        <w:t xml:space="preserve">6.</w:t>
      </w:r>
      <w:r>
        <w:t xml:space="preserve"> </w:t>
      </w:r>
      <w:r>
        <w:rPr>
          <w:iCs/>
          <w:i/>
        </w:rPr>
        <w:t xml:space="preserve">cDAI</w:t>
      </w:r>
      <w:r>
        <w:t xml:space="preserve"> </w:t>
      </w:r>
      <w:r>
        <w:t xml:space="preserve">— Country-year digital adoption composite (0–1 scale): primary source, World Bank Digital Adoption Index (2016 vintage, Sahay et al., 2020); secondary source, ITU Digital Development Index (DDI, 2017–2026, linear-rescaled to 0–1). Country-year assignment follows the median year of the study's data collection period. For multi-country samples, cDAI is the sample-weighted average of country-year scores. Studies lacking country-year DAI data are assigned ITU ICT Development Index values with a −0.05 adjustment for known downward bias relative to the World Bank composite (Katz &amp; Callorda, 2018).</w:t>
      </w:r>
      <w:r>
        <w:t xml:space="preserve"> </w:t>
      </w:r>
      <w:r>
        <w:t xml:space="preserve">7.</w:t>
      </w:r>
      <w:r>
        <w:t xml:space="preserve"> </w:t>
      </w:r>
      <w:r>
        <w:rPr>
          <w:iCs/>
          <w:i/>
        </w:rPr>
        <w:t xml:space="preserve">DPL phase</w:t>
      </w:r>
      <w:r>
        <w:t xml:space="preserve"> </w:t>
      </w:r>
      <w:r>
        <w:t xml:space="preserve">— "Precede": data collection predominantly prior to 2009 (median data year &lt; 2009); "Span": data collection spans 2005–2014 or cannot be classified as predominantly Precede or Follow; "Follow": data collection predominantly post-2014 (median data year ≥ 2015). Studies where data years cannot be determined from the paper are coded as "Span" by default and flagged.</w:t>
      </w:r>
    </w:p>
    <w:bookmarkEnd w:id="35"/>
    <w:bookmarkStart w:id="36" w:name="X39398803b6212107b1d34889a3ed87f1d2a89f2"/>
    <w:p>
      <w:pPr>
        <w:pStyle w:val="Heading3"/>
      </w:pPr>
      <w:r>
        <w:t xml:space="preserve">3.5 Statistical Model: Three-Level MARA</w:t>
      </w:r>
    </w:p>
    <w:p>
      <w:pPr>
        <w:pStyle w:val="FirstParagraph"/>
      </w:pPr>
      <w:r>
        <w:t xml:space="preserve">The three-level model (Van den Noortgate et al., 2013; Cheung, 2014) decomposes the observed effect size</w:t>
      </w:r>
      <w:r>
        <w:t xml:space="preserve"> </w:t>
      </w:r>
      <w:r>
        <w:rPr>
          <w:iCs/>
          <w:i/>
        </w:rPr>
        <w:t xml:space="preserve">r</w:t>
      </w:r>
      <w:r>
        <w:t xml:space="preserve">_ij (effect</w:t>
      </w:r>
      <w:r>
        <w:t xml:space="preserve"> </w:t>
      </w:r>
      <w:r>
        <w:rPr>
          <w:iCs/>
          <w:i/>
        </w:rPr>
        <w:t xml:space="preserve">i</w:t>
      </w:r>
      <w:r>
        <w:t xml:space="preserve"> </w:t>
      </w:r>
      <w:r>
        <w:t xml:space="preserve">from study</w:t>
      </w:r>
      <w:r>
        <w:t xml:space="preserve"> </w:t>
      </w:r>
      <w:r>
        <w:rPr>
          <w:iCs/>
          <w:i/>
        </w:rPr>
        <w:t xml:space="preserve">j</w:t>
      </w:r>
      <w:r>
        <w:t xml:space="preserve">) into true between-study variability, residual within-study variability, and sampling error:</w:t>
      </w:r>
    </w:p>
    <w:p>
      <w:pPr>
        <w:pStyle w:val="BodyText"/>
      </w:pPr>
      <w:r>
        <w:rPr>
          <w:bCs/>
          <w:b/>
        </w:rPr>
        <w:t xml:space="preserve">Level 1 — Sampling error:</w:t>
      </w:r>
    </w:p>
    <w:p>
      <w:pPr>
        <w:pStyle w:val="BodyText"/>
      </w:pPr>
      <m:oMathPara>
        <m:oMathParaPr>
          <m:jc m:val="center"/>
        </m:oMathParaPr>
        <m:oMath>
          <m:sSub>
            <m:e>
              <m:r>
                <m:t>r</m:t>
              </m:r>
            </m:e>
            <m:sub>
              <m:r>
                <m:t>i</m:t>
              </m:r>
              <m:r>
                <m:t>j</m:t>
              </m:r>
            </m:sub>
          </m:sSub>
          <m:r>
            <m:rPr>
              <m:sty m:val="p"/>
            </m:rPr>
            <m:t>=</m:t>
          </m:r>
          <m:sSub>
            <m:e>
              <m:r>
                <m:t>θ</m:t>
              </m:r>
            </m:e>
            <m:sub>
              <m:r>
                <m:t>i</m:t>
              </m:r>
              <m:r>
                <m:t>j</m:t>
              </m:r>
            </m:sub>
          </m:sSub>
          <m:r>
            <m:rPr>
              <m:sty m:val="p"/>
            </m:rPr>
            <m:t>+</m:t>
          </m:r>
          <m:sSub>
            <m:e>
              <m:r>
                <m:t>e</m:t>
              </m:r>
            </m:e>
            <m:sub>
              <m:r>
                <m:t>i</m:t>
              </m:r>
              <m:r>
                <m:t>j</m:t>
              </m:r>
            </m:sub>
          </m:sSub>
          <m:r>
            <m:rPr>
              <m:sty m:val="p"/>
            </m:rPr>
            <m:t>,</m:t>
          </m:r>
          <m:r>
            <m:t> </m:t>
          </m:r>
          <m:sSub>
            <m:e>
              <m:r>
                <m:t>e</m:t>
              </m:r>
            </m:e>
            <m:sub>
              <m:r>
                <m:t>i</m:t>
              </m:r>
              <m:r>
                <m:t>j</m:t>
              </m:r>
            </m:sub>
          </m:sSub>
          <m:r>
            <m:rPr>
              <m:sty m:val="p"/>
            </m:rPr>
            <m:t>∼</m:t>
          </m:r>
          <m:r>
            <m:rPr>
              <m:sty m:val="p"/>
              <m:scr m:val="script"/>
            </m:rPr>
            <m:t>N</m:t>
          </m:r>
          <m:d>
            <m:dPr>
              <m:begChr m:val="("/>
              <m:endChr m:val=")"/>
              <m:sepChr m:val=""/>
              <m:grow/>
            </m:dPr>
            <m:e>
              <m:r>
                <m:t>0</m:t>
              </m:r>
              <m:r>
                <m:rPr>
                  <m:sty m:val="p"/>
                </m:rPr>
                <m:t>,</m:t>
              </m:r>
              <m:r>
                <m:t> </m:t>
              </m:r>
              <m:sSub>
                <m:e>
                  <m:r>
                    <m:t>v</m:t>
                  </m:r>
                </m:e>
                <m:sub>
                  <m:r>
                    <m:t>i</m:t>
                  </m:r>
                  <m:r>
                    <m:t>j</m:t>
                  </m:r>
                </m:sub>
              </m:sSub>
            </m:e>
          </m:d>
        </m:oMath>
      </m:oMathPara>
    </w:p>
    <w:p>
      <w:pPr>
        <w:pStyle w:val="FirstParagraph"/>
      </w:pPr>
      <w:r>
        <w:t xml:space="preserve">where</w:t>
      </w:r>
      <w:r>
        <w:t xml:space="preserve"> </w:t>
      </w:r>
      <w:r>
        <w:rPr>
          <w:iCs/>
          <w:i/>
        </w:rPr>
        <w:t xml:space="preserve">v</w:t>
      </w:r>
      <w:r>
        <w:t xml:space="preserve">_ij is the known conditional sampling variance of the Fisher-transformed correlation</w:t>
      </w:r>
      <w:r>
        <w:t xml:space="preserve"> </w:t>
      </w:r>
      <w:r>
        <w:rPr>
          <w:iCs/>
          <w:i/>
        </w:rPr>
        <w:t xml:space="preserve">z</w:t>
      </w:r>
      <w:r>
        <w:t xml:space="preserve">_ij, computed from the study-reported</w:t>
      </w:r>
      <w:r>
        <w:t xml:space="preserve"> </w:t>
      </w:r>
      <w:r>
        <w:rPr>
          <w:iCs/>
          <w:i/>
        </w:rPr>
        <w:t xml:space="preserve">N</w:t>
      </w:r>
      <w:r>
        <w:t xml:space="preserve">_ij as</w:t>
      </w:r>
      <w:r>
        <w:t xml:space="preserve"> </w:t>
      </w:r>
      <w:r>
        <w:rPr>
          <w:iCs/>
          <w:i/>
        </w:rPr>
        <w:t xml:space="preserve">v</w:t>
      </w:r>
      <w:r>
        <w:t xml:space="preserve">_ij ≈ 1/(</w:t>
      </w:r>
      <w:r>
        <w:rPr>
          <w:iCs/>
          <w:i/>
        </w:rPr>
        <w:t xml:space="preserve">N</w:t>
      </w:r>
      <w:r>
        <w:t xml:space="preserve">_ij − 3) (Borenstein et al., 2021).</w:t>
      </w:r>
    </w:p>
    <w:p>
      <w:pPr>
        <w:pStyle w:val="BodyText"/>
      </w:pPr>
      <w:r>
        <w:rPr>
          <w:bCs/>
          <w:b/>
        </w:rPr>
        <w:t xml:space="preserve">Level 2 — Within-study heterogeneity:</w:t>
      </w:r>
    </w:p>
    <w:p>
      <w:pPr>
        <w:pStyle w:val="BodyText"/>
      </w:pPr>
      <m:oMathPara>
        <m:oMathParaPr>
          <m:jc m:val="center"/>
        </m:oMathParaPr>
        <m:oMath>
          <m:sSub>
            <m:e>
              <m:r>
                <m:t>θ</m:t>
              </m:r>
            </m:e>
            <m:sub>
              <m:r>
                <m:t>i</m:t>
              </m:r>
              <m:r>
                <m:t>j</m:t>
              </m:r>
            </m:sub>
          </m:sSub>
          <m:r>
            <m:rPr>
              <m:sty m:val="p"/>
            </m:rPr>
            <m:t>=</m:t>
          </m:r>
          <m:sSub>
            <m:e>
              <m:r>
                <m:t>δ</m:t>
              </m:r>
            </m:e>
            <m:sub>
              <m:r>
                <m:t>j</m:t>
              </m:r>
            </m:sub>
          </m:sSub>
          <m:r>
            <m:rPr>
              <m:sty m:val="p"/>
            </m:rPr>
            <m:t>+</m:t>
          </m:r>
          <m:sSub>
            <m:e>
              <m:r>
                <m:t>u</m:t>
              </m:r>
            </m:e>
            <m:sub>
              <m:r>
                <m:t>i</m:t>
              </m:r>
              <m:r>
                <m:t>j</m:t>
              </m:r>
            </m:sub>
          </m:sSub>
          <m:r>
            <m:rPr>
              <m:sty m:val="p"/>
            </m:rPr>
            <m:t>,</m:t>
          </m:r>
          <m:r>
            <m:t> </m:t>
          </m:r>
          <m:sSub>
            <m:e>
              <m:r>
                <m:t>u</m:t>
              </m:r>
            </m:e>
            <m:sub>
              <m:r>
                <m:t>i</m:t>
              </m:r>
              <m:r>
                <m:t>j</m:t>
              </m:r>
            </m:sub>
          </m:sSub>
          <m:r>
            <m:rPr>
              <m:sty m:val="p"/>
            </m:rPr>
            <m:t>∼</m:t>
          </m:r>
          <m:r>
            <m:rPr>
              <m:sty m:val="p"/>
              <m:scr m:val="script"/>
            </m:rPr>
            <m:t>N</m:t>
          </m:r>
          <m:d>
            <m:dPr>
              <m:begChr m:val="("/>
              <m:endChr m:val=")"/>
              <m:sepChr m:val=""/>
              <m:grow/>
            </m:dPr>
            <m:e>
              <m:r>
                <m:t>0</m:t>
              </m:r>
              <m:r>
                <m:rPr>
                  <m:sty m:val="p"/>
                </m:rPr>
                <m:t>,</m:t>
              </m:r>
              <m:r>
                <m:t> </m:t>
              </m:r>
              <m:sSubSup>
                <m:e>
                  <m:r>
                    <m:t>σ</m:t>
                  </m:r>
                </m:e>
                <m:sub>
                  <m:d>
                    <m:dPr>
                      <m:begChr m:val="("/>
                      <m:endChr m:val=")"/>
                      <m:sepChr m:val=""/>
                      <m:grow/>
                    </m:dPr>
                    <m:e>
                      <m:r>
                        <m:t>2</m:t>
                      </m:r>
                    </m:e>
                  </m:d>
                </m:sub>
                <m:sup>
                  <m:r>
                    <m:t>2</m:t>
                  </m:r>
                </m:sup>
              </m:sSubSup>
            </m:e>
          </m:d>
        </m:oMath>
      </m:oMathPara>
    </w:p>
    <w:p>
      <w:pPr>
        <w:pStyle w:val="FirstParagraph"/>
      </w:pPr>
      <w:r>
        <w:t xml:space="preserve">where σ²_(2) captures residual variation among effect sizes within a study (e.g., from different samples, subgroups, or model specifications reported in the same paper).</w:t>
      </w:r>
    </w:p>
    <w:p>
      <w:pPr>
        <w:pStyle w:val="BodyText"/>
      </w:pPr>
      <w:r>
        <w:rPr>
          <w:bCs/>
          <w:b/>
        </w:rPr>
        <w:t xml:space="preserve">Level 3 — Between-study heterogeneity and moderation:</w:t>
      </w:r>
    </w:p>
    <w:p>
      <w:pPr>
        <w:pStyle w:val="BodyText"/>
      </w:pPr>
      <m:oMathPara>
        <m:oMathParaPr>
          <m:jc m:val="center"/>
        </m:oMathParaPr>
        <m:oMath>
          <m:sSub>
            <m:e>
              <m:r>
                <m:t>δ</m:t>
              </m:r>
            </m:e>
            <m:sub>
              <m:r>
                <m:t>j</m:t>
              </m:r>
            </m:sub>
          </m:sSub>
          <m:r>
            <m:rPr>
              <m:sty m:val="p"/>
            </m:rPr>
            <m:t>=</m:t>
          </m:r>
          <m:r>
            <m:t>μ</m:t>
          </m:r>
          <m:r>
            <m:rPr>
              <m:sty m:val="p"/>
            </m:rPr>
            <m:t>+</m:t>
          </m:r>
          <m:sSub>
            <m:e>
              <m:r>
                <m:rPr>
                  <m:sty m:val="b"/>
                </m:rPr>
                <m:t>X</m:t>
              </m:r>
            </m:e>
            <m:sub>
              <m:r>
                <m:t>j</m:t>
              </m:r>
            </m:sub>
          </m:sSub>
          <m:r>
            <m:rPr>
              <m:sty m:val="b"/>
            </m:rPr>
            <m:t>β</m:t>
          </m:r>
          <m:r>
            <m:rPr>
              <m:sty m:val="p"/>
            </m:rPr>
            <m:t>+</m:t>
          </m:r>
          <m:sSub>
            <m:e>
              <m:r>
                <m:t>w</m:t>
              </m:r>
            </m:e>
            <m:sub>
              <m:r>
                <m:t>j</m:t>
              </m:r>
            </m:sub>
          </m:sSub>
          <m:r>
            <m:rPr>
              <m:sty m:val="p"/>
            </m:rPr>
            <m:t>,</m:t>
          </m:r>
          <m:r>
            <m:t> </m:t>
          </m:r>
          <m:sSub>
            <m:e>
              <m:r>
                <m:t>w</m:t>
              </m:r>
            </m:e>
            <m:sub>
              <m:r>
                <m:t>j</m:t>
              </m:r>
            </m:sub>
          </m:sSub>
          <m:r>
            <m:rPr>
              <m:sty m:val="p"/>
            </m:rPr>
            <m:t>∼</m:t>
          </m:r>
          <m:r>
            <m:rPr>
              <m:sty m:val="p"/>
              <m:scr m:val="script"/>
            </m:rPr>
            <m:t>N</m:t>
          </m:r>
          <m:d>
            <m:dPr>
              <m:begChr m:val="("/>
              <m:endChr m:val=")"/>
              <m:sepChr m:val=""/>
              <m:grow/>
            </m:dPr>
            <m:e>
              <m:r>
                <m:t>0</m:t>
              </m:r>
              <m:r>
                <m:rPr>
                  <m:sty m:val="p"/>
                </m:rPr>
                <m:t>,</m:t>
              </m:r>
              <m:r>
                <m:t> </m:t>
              </m:r>
              <m:sSubSup>
                <m:e>
                  <m:r>
                    <m:t>σ</m:t>
                  </m:r>
                </m:e>
                <m:sub>
                  <m:d>
                    <m:dPr>
                      <m:begChr m:val="("/>
                      <m:endChr m:val=")"/>
                      <m:sepChr m:val=""/>
                      <m:grow/>
                    </m:dPr>
                    <m:e>
                      <m:r>
                        <m:t>3</m:t>
                      </m:r>
                    </m:e>
                  </m:d>
                </m:sub>
                <m:sup>
                  <m:r>
                    <m:t>2</m:t>
                  </m:r>
                </m:sup>
              </m:sSubSup>
            </m:e>
          </m:d>
        </m:oMath>
      </m:oMathPara>
    </w:p>
    <w:p>
      <w:pPr>
        <w:pStyle w:val="FirstParagraph"/>
      </w:pPr>
      <w:r>
        <w:t xml:space="preserve">where</w:t>
      </w:r>
      <w:r>
        <w:t xml:space="preserve"> </w:t>
      </w:r>
      <w:r>
        <w:rPr>
          <w:bCs/>
          <w:b/>
        </w:rPr>
        <w:t xml:space="preserve">X</w:t>
      </w:r>
      <w:r>
        <w:t xml:space="preserve">_j is the (</w:t>
      </w:r>
      <w:r>
        <w:rPr>
          <w:iCs/>
          <w:i/>
        </w:rPr>
        <w:t xml:space="preserve">J</w:t>
      </w:r>
      <w:r>
        <w:t xml:space="preserve"> </w:t>
      </w:r>
      <w:r>
        <w:t xml:space="preserve">×</w:t>
      </w:r>
      <w:r>
        <w:t xml:space="preserve"> </w:t>
      </w:r>
      <w:r>
        <w:rPr>
          <w:iCs/>
          <w:i/>
        </w:rPr>
        <w:t xml:space="preserve">p</w:t>
      </w:r>
      <w:r>
        <w:t xml:space="preserve">) matrix of study-level moderators (ICRV regime dummy vector [</w:t>
      </w:r>
      <w:r>
        <w:rPr>
          <w:iCs/>
          <w:i/>
        </w:rPr>
        <w:t xml:space="preserve">d</w:t>
      </w:r>
      <w:r>
        <w:t xml:space="preserve">_I,</w:t>
      </w:r>
      <w:r>
        <w:t xml:space="preserve"> </w:t>
      </w:r>
      <w:r>
        <w:rPr>
          <w:iCs/>
          <w:i/>
        </w:rPr>
        <w:t xml:space="preserve">d</w:t>
      </w:r>
      <w:r>
        <w:t xml:space="preserve">_II,</w:t>
      </w:r>
      <w:r>
        <w:t xml:space="preserve"> </w:t>
      </w:r>
      <w:r>
        <w:rPr>
          <w:iCs/>
          <w:i/>
        </w:rPr>
        <w:t xml:space="preserve">d</w:t>
      </w:r>
      <w:r>
        <w:t xml:space="preserve">_III,</w:t>
      </w:r>
      <w:r>
        <w:t xml:space="preserve"> </w:t>
      </w:r>
      <w:r>
        <w:rPr>
          <w:iCs/>
          <w:i/>
        </w:rPr>
        <w:t xml:space="preserve">d</w:t>
      </w:r>
      <w:r>
        <w:t xml:space="preserve">_SIDS, with Regime V as reference]; continuous cDAI score; DPL phase dummy vector [</w:t>
      </w:r>
      <w:r>
        <w:rPr>
          <w:iCs/>
          <w:i/>
        </w:rPr>
        <w:t xml:space="preserve">d</w:t>
      </w:r>
      <w:r>
        <w:t xml:space="preserve">_Span,</w:t>
      </w:r>
      <w:r>
        <w:t xml:space="preserve"> </w:t>
      </w:r>
      <w:r>
        <w:rPr>
          <w:iCs/>
          <w:i/>
        </w:rPr>
        <w:t xml:space="preserve">d</w:t>
      </w:r>
      <w:r>
        <w:t xml:space="preserve">_Follow, with Precede as reference]; plus the four standard moderators as controls),</w:t>
      </w:r>
      <w:r>
        <w:t xml:space="preserve"> </w:t>
      </w:r>
      <w:r>
        <w:rPr>
          <w:bCs/>
          <w:b/>
        </w:rPr>
        <w:t xml:space="preserve">β</w:t>
      </w:r>
      <w:r>
        <w:t xml:space="preserve"> </w:t>
      </w:r>
      <w:r>
        <w:t xml:space="preserve">is the (</w:t>
      </w:r>
      <w:r>
        <w:rPr>
          <w:iCs/>
          <w:i/>
        </w:rPr>
        <w:t xml:space="preserve">p</w:t>
      </w:r>
      <w:r>
        <w:t xml:space="preserve"> </w:t>
      </w:r>
      <w:r>
        <w:t xml:space="preserve">× 1) coefficient vector of primary interest, and</w:t>
      </w:r>
      <w:r>
        <w:t xml:space="preserve"> </w:t>
      </w:r>
      <w:r>
        <w:rPr>
          <w:iCs/>
          <w:i/>
        </w:rPr>
        <w:t xml:space="preserve">w</w:t>
      </w:r>
      <w:r>
        <w:t xml:space="preserve">_j is the residual between-study variance component.</w:t>
      </w:r>
    </w:p>
    <w:p>
      <w:pPr>
        <w:pStyle w:val="BodyText"/>
      </w:pPr>
      <w:r>
        <w:rPr>
          <w:bCs/>
          <w:b/>
        </w:rPr>
        <w:t xml:space="preserve">Estimation.</w:t>
      </w:r>
      <w:r>
        <w:t xml:space="preserve"> </w:t>
      </w:r>
      <w:r>
        <w:t xml:space="preserve">Parameters are estimated by Restricted Maximum Likelihood (REML) using the</w:t>
      </w:r>
      <w:r>
        <w:t xml:space="preserve"> </w:t>
      </w:r>
      <w:r>
        <w:rPr>
          <w:rStyle w:val="VerbatimChar"/>
        </w:rPr>
        <w:t xml:space="preserve">rma.mv</w:t>
      </w:r>
      <w:r>
        <w:t xml:space="preserve"> </w:t>
      </w:r>
      <w:r>
        <w:t xml:space="preserve">function in</w:t>
      </w:r>
      <w:r>
        <w:t xml:space="preserve"> </w:t>
      </w:r>
      <w:r>
        <w:rPr>
          <w:rStyle w:val="VerbatimChar"/>
        </w:rPr>
        <w:t xml:space="preserve">metafor</w:t>
      </w:r>
      <w:r>
        <w:t xml:space="preserve"> </w:t>
      </w:r>
      <w:r>
        <w:t xml:space="preserve">v4 (Viechtbauer, 2010), with the variance-covariance matrix for multiple effects within studies specified as compound-symmetric. The REML estimator was preferred over full ML because it produces unbiased variance component estimates when the number of studies (</w:t>
      </w:r>
      <w:r>
        <w:rPr>
          <w:iCs/>
          <w:i/>
        </w:rPr>
        <w:t xml:space="preserve">k</w:t>
      </w:r>
      <w:r>
        <w:t xml:space="preserve">) is moderate relative to the number of moderators (</w:t>
      </w:r>
      <w:r>
        <w:rPr>
          <w:iCs/>
          <w:i/>
        </w:rPr>
        <w:t xml:space="preserve">p</w:t>
      </w:r>
      <w:r>
        <w:t xml:space="preserve">) — the condition that applies here (Raudenbush &amp; Bryk, 2002, p. 39).</w:t>
      </w:r>
    </w:p>
    <w:p>
      <w:pPr>
        <w:pStyle w:val="BodyText"/>
      </w:pPr>
      <w:r>
        <w:rPr>
          <w:bCs/>
          <w:b/>
        </w:rPr>
        <w:t xml:space="preserve">Effect-size transformation.</w:t>
      </w:r>
      <w:r>
        <w:t xml:space="preserve"> </w:t>
      </w:r>
      <w:r>
        <w:t xml:space="preserve">All Pearson's</w:t>
      </w:r>
      <w:r>
        <w:t xml:space="preserve"> </w:t>
      </w:r>
      <w:r>
        <w:rPr>
          <w:iCs/>
          <w:i/>
        </w:rPr>
        <w:t xml:space="preserve">r</w:t>
      </w:r>
      <w:r>
        <w:t xml:space="preserve"> </w:t>
      </w:r>
      <w:r>
        <w:t xml:space="preserve">values are transformed to Fisher's</w:t>
      </w:r>
      <w:r>
        <w:t xml:space="preserve"> </w:t>
      </w:r>
      <w:r>
        <w:rPr>
          <w:iCs/>
          <w:i/>
        </w:rPr>
        <w:t xml:space="preserve">z</w:t>
      </w:r>
      <w:r>
        <w:t xml:space="preserve"> </w:t>
      </w:r>
      <w:r>
        <w:t xml:space="preserve">prior to analysis (</w:t>
      </w:r>
      <w:r>
        <w:rPr>
          <w:iCs/>
          <w:i/>
        </w:rPr>
        <w:t xml:space="preserve">z</w:t>
      </w:r>
      <w:r>
        <w:t xml:space="preserve"> </w:t>
      </w:r>
      <w:r>
        <w:t xml:space="preserve">= 0.5 × ln[(1+</w:t>
      </w:r>
      <w:r>
        <w:rPr>
          <w:iCs/>
          <w:i/>
        </w:rPr>
        <w:t xml:space="preserve">r</w:t>
      </w:r>
      <w:r>
        <w:t xml:space="preserve">)/(1−</w:t>
      </w:r>
      <w:r>
        <w:rPr>
          <w:iCs/>
          <w:i/>
        </w:rPr>
        <w:t xml:space="preserve">r</w:t>
      </w:r>
      <w:r>
        <w:t xml:space="preserve">)]) to stabilize variance and approximate normality (Hedges &amp; Olkin, 1985). All reported results are back-transformed to</w:t>
      </w:r>
      <w:r>
        <w:t xml:space="preserve"> </w:t>
      </w:r>
      <w:r>
        <w:rPr>
          <w:iCs/>
          <w:i/>
        </w:rPr>
        <w:t xml:space="preserve">r</w:t>
      </w:r>
      <w:r>
        <w:t xml:space="preserve"> </w:t>
      </w:r>
      <w:r>
        <w:t xml:space="preserve">for interpretability. For regression β-derived</w:t>
      </w:r>
      <w:r>
        <w:t xml:space="preserve"> </w:t>
      </w:r>
      <w:r>
        <w:rPr>
          <w:iCs/>
          <w:i/>
        </w:rPr>
        <w:t xml:space="preserve">r</w:t>
      </w:r>
      <w:r>
        <w:t xml:space="preserve">_partial values (Peterson &amp; Brown, 2005), the same Fisher transformation is applied.</w:t>
      </w:r>
    </w:p>
    <w:p>
      <w:pPr>
        <w:pStyle w:val="BodyText"/>
      </w:pPr>
      <w:r>
        <w:rPr>
          <w:bCs/>
          <w:b/>
        </w:rPr>
        <w:t xml:space="preserve">Heterogeneity decomposition.</w:t>
      </w:r>
      <w:r>
        <w:t xml:space="preserve"> </w:t>
      </w:r>
      <w:r>
        <w:t xml:space="preserve">The proportional heterogeneity at each level is computed as:</w:t>
      </w:r>
    </w:p>
    <w:p>
      <w:pPr>
        <w:pStyle w:val="BodyText"/>
      </w:pPr>
      <m:oMathPara>
        <m:oMathParaPr>
          <m:jc m:val="center"/>
        </m:oMathParaPr>
        <m:oMath>
          <m:sSubSup>
            <m:e>
              <m:r>
                <m:t>I</m:t>
              </m:r>
            </m:e>
            <m:sub>
              <m:d>
                <m:dPr>
                  <m:begChr m:val="("/>
                  <m:endChr m:val=")"/>
                  <m:sepChr m:val=""/>
                  <m:grow/>
                </m:dPr>
                <m:e>
                  <m:r>
                    <m:t>2</m:t>
                  </m:r>
                </m:e>
              </m:d>
            </m:sub>
            <m:sup>
              <m:r>
                <m:t>2</m:t>
              </m:r>
            </m:sup>
          </m:sSubSup>
          <m:r>
            <m:rPr>
              <m:sty m:val="p"/>
            </m:rPr>
            <m:t>=</m:t>
          </m:r>
          <m:f>
            <m:fPr>
              <m:type m:val="bar"/>
            </m:fPr>
            <m:num>
              <m:sSubSup>
                <m:e>
                  <m:acc>
                    <m:accPr>
                      <m:chr m:val="̂"/>
                    </m:accPr>
                    <m:e>
                      <m:r>
                        <m:t>σ</m:t>
                      </m:r>
                    </m:e>
                  </m:acc>
                </m:e>
                <m:sub>
                  <m:d>
                    <m:dPr>
                      <m:begChr m:val="("/>
                      <m:endChr m:val=")"/>
                      <m:sepChr m:val=""/>
                      <m:grow/>
                    </m:dPr>
                    <m:e>
                      <m:r>
                        <m:t>2</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r>
            <m:rPr>
              <m:sty m:val="p"/>
            </m:rPr>
            <m:t>×</m:t>
          </m:r>
          <m:r>
            <m:t>100</m:t>
          </m:r>
          <m:r>
            <m:rPr>
              <m:sty m:val="p"/>
            </m:rPr>
            <m:t>%</m:t>
          </m:r>
        </m:oMath>
      </m:oMathPara>
    </w:p>
    <w:p>
      <w:pPr>
        <w:pStyle w:val="FirstParagraph"/>
      </w:pPr>
      <m:oMathPara>
        <m:oMathParaPr>
          <m:jc m:val="center"/>
        </m:oMathParaPr>
        <m:oMath>
          <m:sSubSup>
            <m:e>
              <m:r>
                <m:t>I</m:t>
              </m:r>
            </m:e>
            <m:sub>
              <m:d>
                <m:dPr>
                  <m:begChr m:val="("/>
                  <m:endChr m:val=")"/>
                  <m:sepChr m:val=""/>
                  <m:grow/>
                </m:dPr>
                <m:e>
                  <m:r>
                    <m:t>3</m:t>
                  </m:r>
                </m:e>
              </m:d>
            </m:sub>
            <m:sup>
              <m:r>
                <m:t>2</m:t>
              </m:r>
            </m:sup>
          </m:sSubSup>
          <m:r>
            <m:rPr>
              <m:sty m:val="p"/>
            </m:rPr>
            <m:t>=</m:t>
          </m:r>
          <m:f>
            <m:fPr>
              <m:type m:val="bar"/>
            </m:fPr>
            <m:num>
              <m:sSubSup>
                <m:e>
                  <m:acc>
                    <m:accPr>
                      <m:chr m:val="̂"/>
                    </m:accPr>
                    <m:e>
                      <m:r>
                        <m:t>σ</m:t>
                      </m:r>
                    </m:e>
                  </m:acc>
                </m:e>
                <m:sub>
                  <m:d>
                    <m:dPr>
                      <m:begChr m:val="("/>
                      <m:endChr m:val=")"/>
                      <m:sepChr m:val=""/>
                      <m:grow/>
                    </m:dPr>
                    <m:e>
                      <m:r>
                        <m:t>3</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r>
            <m:rPr>
              <m:sty m:val="p"/>
            </m:rPr>
            <m:t>×</m:t>
          </m:r>
          <m:r>
            <m:t>100</m:t>
          </m:r>
          <m:r>
            <m:rPr>
              <m:sty m:val="p"/>
            </m:rPr>
            <m:t>%</m:t>
          </m:r>
        </m:oMath>
      </m:oMathPara>
    </w:p>
    <w:p>
      <w:pPr>
        <w:pStyle w:val="FirstParagraph"/>
      </w:pPr>
      <w:r>
        <w:t xml:space="preserve">where</w:t>
      </w:r>
      <w:r>
        <w:t xml:space="preserve"> </w:t>
      </w:r>
      <m:oMath>
        <m:acc>
          <m:accPr>
            <m:chr m:val="‾"/>
          </m:accPr>
          <m:e>
            <m:r>
              <m:t>v</m:t>
            </m:r>
          </m:e>
        </m:acc>
      </m:oMath>
      <w:r>
        <w:t xml:space="preserve"> </w:t>
      </w:r>
      <w:r>
        <w:t xml:space="preserve">is the average sampling variance across all</w:t>
      </w:r>
      <w:r>
        <w:t xml:space="preserve"> </w:t>
      </w:r>
      <w:r>
        <w:rPr>
          <w:iCs/>
          <w:i/>
        </w:rPr>
        <w:t xml:space="preserve">K</w:t>
      </w:r>
      <w:r>
        <w:t xml:space="preserve"> </w:t>
      </w:r>
      <w:r>
        <w:t xml:space="preserve">effect sizes (Cheung, 2014, eq. 15). The sum</w:t>
      </w:r>
      <w:r>
        <w:t xml:space="preserve"> </w:t>
      </w:r>
      <m:oMath>
        <m:sSubSup>
          <m:e>
            <m:r>
              <m:t>I</m:t>
            </m:r>
          </m:e>
          <m:sub>
            <m:d>
              <m:dPr>
                <m:begChr m:val="("/>
                <m:endChr m:val=")"/>
                <m:sepChr m:val=""/>
                <m:grow/>
              </m:dPr>
              <m:e>
                <m:r>
                  <m:t>2</m:t>
                </m:r>
              </m:e>
            </m:d>
          </m:sub>
          <m:sup>
            <m:r>
              <m:t>2</m:t>
            </m:r>
          </m:sup>
        </m:sSubSup>
        <m:r>
          <m:rPr>
            <m:sty m:val="p"/>
          </m:rPr>
          <m:t>+</m:t>
        </m:r>
        <m:sSubSup>
          <m:e>
            <m:r>
              <m:t>I</m:t>
            </m:r>
          </m:e>
          <m:sub>
            <m:d>
              <m:dPr>
                <m:begChr m:val="("/>
                <m:endChr m:val=")"/>
                <m:sepChr m:val=""/>
                <m:grow/>
              </m:dPr>
              <m:e>
                <m:r>
                  <m:t>3</m:t>
                </m:r>
              </m:e>
            </m:d>
          </m:sub>
          <m:sup>
            <m:r>
              <m:t>2</m:t>
            </m:r>
          </m:sup>
        </m:sSubSup>
      </m:oMath>
      <w:r>
        <w:t xml:space="preserve"> </w:t>
      </w:r>
      <w:r>
        <w:t xml:space="preserve">yields the total systematic heterogeneity, analogous to</w:t>
      </w:r>
      <w:r>
        <w:t xml:space="preserve"> </w:t>
      </w:r>
      <w:r>
        <w:rPr>
          <w:iCs/>
          <w:i/>
        </w:rPr>
        <w:t xml:space="preserve">I</w:t>
      </w:r>
      <w:r>
        <w:t xml:space="preserve">² in the conventional random-effects model.</w:t>
      </w:r>
    </w:p>
    <w:p>
      <w:pPr>
        <w:pStyle w:val="BodyText"/>
      </w:pPr>
      <w:r>
        <w:rPr>
          <w:bCs/>
          <w:b/>
        </w:rPr>
        <w:t xml:space="preserve">Moderator significance.</w:t>
      </w:r>
      <w:r>
        <w:t xml:space="preserve"> </w:t>
      </w:r>
      <w:r>
        <w:t xml:space="preserve">The omnibus test for each categorical moderator (ICRV regime, DPL phase) uses the</w:t>
      </w:r>
      <w:r>
        <w:t xml:space="preserve"> </w:t>
      </w:r>
      <w:r>
        <w:rPr>
          <w:iCs/>
          <w:i/>
        </w:rPr>
        <w:t xml:space="preserve">Q</w:t>
      </w:r>
      <w:r>
        <w:t xml:space="preserve">_M statistic on</w:t>
      </w:r>
      <w:r>
        <w:t xml:space="preserve"> </w:t>
      </w:r>
      <w:r>
        <w:rPr>
          <w:iCs/>
          <w:i/>
        </w:rPr>
        <w:t xml:space="preserve">p</w:t>
      </w:r>
      <w:r>
        <w:t xml:space="preserve"> </w:t>
      </w:r>
      <w:r>
        <w:t xml:space="preserve">− 1 degrees of freedom; it is interpreted as a test of whether the between-regime or between-phase variance in pooled effect sizes exceeds what would be expected under sampling error alone. Pairwise regime comparisons use the Holm–Bonferroni correction for multiplicity. For continuous cDAI, the significance of</w:t>
      </w:r>
      <w:r>
        <w:t xml:space="preserve"> </w:t>
      </w:r>
      <w:r>
        <w:rPr>
          <w:iCs/>
          <w:i/>
        </w:rPr>
        <w:t xml:space="preserve">β</w:t>
      </w:r>
      <w:r>
        <w:t xml:space="preserve">_cDAI is assessed using a two-sided Wald</w:t>
      </w:r>
      <w:r>
        <w:t xml:space="preserve"> </w:t>
      </w:r>
      <w:r>
        <w:rPr>
          <w:iCs/>
          <w:i/>
        </w:rPr>
        <w:t xml:space="preserve">z</w:t>
      </w:r>
      <w:r>
        <w:t xml:space="preserve">-test.</w:t>
      </w:r>
    </w:p>
    <w:bookmarkEnd w:id="36"/>
    <w:bookmarkStart w:id="37" w:name="X2f1abb1755f8cc5892d8e5725c0dbd361d50806"/>
    <w:p>
      <w:pPr>
        <w:pStyle w:val="Heading3"/>
      </w:pPr>
      <w:r>
        <w:t xml:space="preserve">3.6 Publication Bias Assessment</w:t>
      </w:r>
    </w:p>
    <w:p>
      <w:pPr>
        <w:pStyle w:val="FirstParagraph"/>
      </w:pPr>
      <w:r>
        <w:t xml:space="preserve">Publication bias was assessed using four complementary tests, following the graduated approach recommended by Borenstein et al. (2021, ch. 30) and Vevea and Woods (2005). First,</w:t>
      </w:r>
      <w:r>
        <w:t xml:space="preserve"> </w:t>
      </w:r>
      <w:r>
        <w:rPr>
          <w:bCs/>
          <w:b/>
        </w:rPr>
        <w:t xml:space="preserve">Egger's weighted regression test</w:t>
      </w:r>
      <w:r>
        <w:t xml:space="preserve"> </w:t>
      </w:r>
      <w:r>
        <w:t xml:space="preserve">(Egger et al., 1997) regresses the standardized effect size on its precision (inverse standard error); the intercept tests for funnel-plot asymmetry. Second,</w:t>
      </w:r>
      <w:r>
        <w:t xml:space="preserve"> </w:t>
      </w:r>
      <w:r>
        <w:rPr>
          <w:bCs/>
          <w:b/>
        </w:rPr>
        <w:t xml:space="preserve">Begg and Mazumdar's rank correlation test</w:t>
      </w:r>
      <w:r>
        <w:t xml:space="preserve"> </w:t>
      </w:r>
      <w:r>
        <w:t xml:space="preserve">(1994) provides a non-parametric alternative that is less sensitive to outliers. Third, the</w:t>
      </w:r>
      <w:r>
        <w:t xml:space="preserve"> </w:t>
      </w:r>
      <w:r>
        <w:rPr>
          <w:bCs/>
          <w:b/>
        </w:rPr>
        <w:t xml:space="preserve">trim-and-fill procedure</w:t>
      </w:r>
      <w:r>
        <w:t xml:space="preserve"> </w:t>
      </w:r>
      <w:r>
        <w:t xml:space="preserve">(Duval &amp; Tweedie, 2000) imputes the theoretically missing studies on the left side of the funnel plot and re-estimates the pooled effect; the adjusted estimate is compared with the unadjusted to quantify the maximum bias attributable to asymmetry. Fourth,</w:t>
      </w:r>
      <w:r>
        <w:t xml:space="preserve"> </w:t>
      </w:r>
      <w:r>
        <w:rPr>
          <w:bCs/>
          <w:b/>
        </w:rPr>
        <w:t xml:space="preserve">Orwin's fail-safe</w:t>
      </w:r>
      <w:r>
        <w:rPr>
          <w:bCs/>
          <w:b/>
        </w:rPr>
        <w:t xml:space="preserve"> </w:t>
      </w:r>
      <w:r>
        <w:rPr>
          <w:iCs/>
          <w:i/>
          <w:bCs/>
          <w:b/>
        </w:rPr>
        <w:t xml:space="preserve">N</w:t>
      </w:r>
      <w:r>
        <w:t xml:space="preserve"> </w:t>
      </w:r>
      <w:r>
        <w:t xml:space="preserve">(1983) computes the number of null-effect (</w:t>
      </w:r>
      <w:r>
        <w:rPr>
          <w:iCs/>
          <w:i/>
        </w:rPr>
        <w:t xml:space="preserve">r</w:t>
      </w:r>
      <w:r>
        <w:t xml:space="preserve"> </w:t>
      </w:r>
      <w:r>
        <w:t xml:space="preserve">= 0) unpublished studies required to reduce the pooled</w:t>
      </w:r>
      <w:r>
        <w:t xml:space="preserve"> </w:t>
      </w:r>
      <w:r>
        <w:rPr>
          <w:iCs/>
          <w:i/>
        </w:rPr>
        <w:t xml:space="preserve">r</w:t>
      </w:r>
      <w:r>
        <w:t xml:space="preserve"> </w:t>
      </w:r>
      <w:r>
        <w:t xml:space="preserve">below the practical significance threshold of</w:t>
      </w:r>
      <w:r>
        <w:t xml:space="preserve"> </w:t>
      </w:r>
      <w:r>
        <w:rPr>
          <w:iCs/>
          <w:i/>
        </w:rPr>
        <w:t xml:space="preserve">r</w:t>
      </w:r>
      <w:r>
        <w:t xml:space="preserve"> </w:t>
      </w:r>
      <w:r>
        <w:t xml:space="preserve">= 0.10 (Cohen, 1988). Fail-safe</w:t>
      </w:r>
      <w:r>
        <w:t xml:space="preserve"> </w:t>
      </w:r>
      <w:r>
        <w:rPr>
          <w:iCs/>
          <w:i/>
        </w:rPr>
        <w:t xml:space="preserve">N</w:t>
      </w:r>
      <w:r>
        <w:t xml:space="preserve"> </w:t>
      </w:r>
      <w:r>
        <w:t xml:space="preserve">exceeding 5</w:t>
      </w:r>
      <w:r>
        <w:rPr>
          <w:iCs/>
          <w:i/>
        </w:rPr>
        <w:t xml:space="preserve">k</w:t>
      </w:r>
      <w:r>
        <w:t xml:space="preserve"> </w:t>
      </w:r>
      <w:r>
        <w:t xml:space="preserve">+ 10 (Rosenthal, 1991) is interpreted as indicating that publication bias, while potentially present, cannot substantively reverse the main conclusions.</w:t>
      </w:r>
    </w:p>
    <w:p>
      <w:pPr>
        <w:pStyle w:val="BodyText"/>
      </w:pPr>
      <w:r>
        <w:t xml:space="preserve">Additionally,</w:t>
      </w:r>
      <w:r>
        <w:t xml:space="preserve"> </w:t>
      </w:r>
      <w:r>
        <w:rPr>
          <w:bCs/>
          <w:b/>
        </w:rPr>
        <w:t xml:space="preserve">PET-PEESE meta-regression</w:t>
      </w:r>
      <w:r>
        <w:t xml:space="preserve"> </w:t>
      </w:r>
      <w:r>
        <w:t xml:space="preserve">(Stanley &amp; Doucouliagos, 2014) is applied as a model-based publication bias correction: the precision-effect test (PET) regresses effect sizes on their standard errors; if significant, the precision-effect estimate with standard error (PEESE) substitutes the standard error squared as the regressor, providing an estimate of the true effect after correcting for small-study bias.</w:t>
      </w:r>
    </w:p>
    <w:bookmarkEnd w:id="37"/>
    <w:bookmarkStart w:id="38" w:name="Xe36430cf7d8e0a8c6df93020e9507d5e203e939"/>
    <w:p>
      <w:pPr>
        <w:pStyle w:val="Heading3"/>
      </w:pPr>
      <w:r>
        <w:t xml:space="preserve">3.7 Robustness Checks</w:t>
      </w:r>
    </w:p>
    <w:p>
      <w:pPr>
        <w:pStyle w:val="FirstParagraph"/>
      </w:pPr>
      <w:r>
        <w:t xml:space="preserve">The following pre-registered robustness checks evaluate the sensitivity of the main findings to modelling choices, sample restrictions, and alternative operationalizations:</w:t>
      </w:r>
    </w:p>
    <w:p>
      <w:pPr>
        <w:numPr>
          <w:ilvl w:val="0"/>
          <w:numId w:val="1003"/>
        </w:numPr>
        <w:pStyle w:val="Compact"/>
      </w:pPr>
      <w:r>
        <w:rPr>
          <w:bCs/>
          <w:b/>
        </w:rPr>
        <w:t xml:space="preserve">Two-level vs. three-level comparison.</w:t>
      </w:r>
      <w:r>
        <w:t xml:space="preserve"> </w:t>
      </w:r>
      <w:r>
        <w:t xml:space="preserve">The baseline pooled</w:t>
      </w:r>
      <w:r>
        <w:t xml:space="preserve"> </w:t>
      </w:r>
      <w:r>
        <w:rPr>
          <w:iCs/>
          <w:i/>
        </w:rPr>
        <w:t xml:space="preserve">r</w:t>
      </w:r>
      <w:r>
        <w:t xml:space="preserve"> </w:t>
      </w:r>
      <w:r>
        <w:t xml:space="preserve">is estimated under both the conventional single-level random-effects model (ignoring within-study nesting) and the three-level model (accounting for it); substantive divergence (Δ</w:t>
      </w:r>
      <w:r>
        <w:rPr>
          <w:iCs/>
          <w:i/>
        </w:rPr>
        <w:t xml:space="preserve">r</w:t>
      </w:r>
      <w:r>
        <w:t xml:space="preserve"> </w:t>
      </w:r>
      <w:r>
        <w:t xml:space="preserve">&gt; 0.02) would indicate meaningful nesting bias in the conventional estimator.</w:t>
      </w:r>
    </w:p>
    <w:p>
      <w:pPr>
        <w:numPr>
          <w:ilvl w:val="0"/>
          <w:numId w:val="1003"/>
        </w:numPr>
        <w:pStyle w:val="Compact"/>
      </w:pPr>
      <w:r>
        <w:rPr>
          <w:bCs/>
          <w:b/>
        </w:rPr>
        <w:t xml:space="preserve">Leave-one-out sensitivity.</w:t>
      </w:r>
      <w:r>
        <w:t xml:space="preserve"> </w:t>
      </w:r>
      <w:r>
        <w:t xml:space="preserve">Each study is removed iteratively; the resulting distribution of</w:t>
      </w:r>
      <w:r>
        <w:t xml:space="preserve"> </w:t>
      </w:r>
      <w:r>
        <w:rPr>
          <w:iCs/>
          <w:i/>
        </w:rPr>
        <w:t xml:space="preserve">k</w:t>
      </w:r>
      <w:r>
        <w:t xml:space="preserve"> </w:t>
      </w:r>
      <w:r>
        <w:t xml:space="preserve">− 1 estimates is used to identify influential studies (Cook's distance &gt; 4/</w:t>
      </w:r>
      <w:r>
        <w:rPr>
          <w:iCs/>
          <w:i/>
        </w:rPr>
        <w:t xml:space="preserve">k</w:t>
      </w:r>
      <w:r>
        <w:t xml:space="preserve">) and assess the stability of the pooled estimate.</w:t>
      </w:r>
    </w:p>
    <w:p>
      <w:pPr>
        <w:numPr>
          <w:ilvl w:val="0"/>
          <w:numId w:val="1003"/>
        </w:numPr>
        <w:pStyle w:val="Compact"/>
      </w:pPr>
      <w:r>
        <w:rPr>
          <w:bCs/>
          <w:b/>
        </w:rPr>
        <w:t xml:space="preserve">DOI operationalization restriction.</w:t>
      </w:r>
      <w:r>
        <w:t xml:space="preserve"> </w:t>
      </w:r>
      <w:r>
        <w:t xml:space="preserve">The baseline is re-estimated restricting the sample to FSTS-only studies, which provide the most comparable internationalization measure across papers (Helpman et al., 2004). ICRV gradient and DPL phase findings are assessed for consistency.</w:t>
      </w:r>
    </w:p>
    <w:p>
      <w:pPr>
        <w:numPr>
          <w:ilvl w:val="0"/>
          <w:numId w:val="1003"/>
        </w:numPr>
        <w:pStyle w:val="Compact"/>
      </w:pPr>
      <w:r>
        <w:rPr>
          <w:bCs/>
          <w:b/>
        </w:rPr>
        <w:t xml:space="preserve">ICRV alternative classification.</w:t>
      </w:r>
      <w:r>
        <w:t xml:space="preserve"> </w:t>
      </w:r>
      <w:r>
        <w:t xml:space="preserve">The WGI Rule of Law dimension is replaced by the WGI composite governance index (average of six dimensions: Voice and Accountability, Political Stability, Government Effectiveness, Regulatory Quality, Rule of Law, Control of Corruption) as the regime classifier. Regime boundaries are maintained at the same percentile thresholds; robustness requires the ICRV gradient direction to be preserved.</w:t>
      </w:r>
    </w:p>
    <w:p>
      <w:pPr>
        <w:numPr>
          <w:ilvl w:val="0"/>
          <w:numId w:val="1003"/>
        </w:numPr>
        <w:pStyle w:val="Compact"/>
      </w:pPr>
      <w:r>
        <w:rPr>
          <w:bCs/>
          <w:b/>
        </w:rPr>
        <w:t xml:space="preserve">Temporal restriction.</w:t>
      </w:r>
      <w:r>
        <w:t xml:space="preserve"> </w:t>
      </w:r>
      <w:r>
        <w:t xml:space="preserve">The sample is restricted to post-2000 studies (</w:t>
      </w:r>
      <w:r>
        <w:rPr>
          <w:iCs/>
          <w:i/>
        </w:rPr>
        <w:t xml:space="preserve">k</w:t>
      </w:r>
      <w:r>
        <w:t xml:space="preserve"> </w:t>
      </w:r>
      <w:r>
        <w:t xml:space="preserve">≈ 180) to test whether vintage effects (older studies averaging lower digital infrastructure environments) account for DPL phase findings independently of the theoretical mechanism.</w:t>
      </w:r>
    </w:p>
    <w:p>
      <w:r>
        <w:pict>
          <v:rect style="width:0;height:1.5pt" o:hralign="center" o:hrstd="t" o:hr="t"/>
        </w:pict>
      </w:r>
    </w:p>
    <w:bookmarkEnd w:id="38"/>
    <w:bookmarkEnd w:id="39"/>
    <w:bookmarkStart w:id="47" w:name="X121719332867ee227f0a04b486098cee978c6e6"/>
    <w:p>
      <w:pPr>
        <w:pStyle w:val="Heading2"/>
      </w:pPr>
      <w:r>
        <w:t xml:space="preserve">4. Results</w:t>
      </w:r>
    </w:p>
    <w:bookmarkStart w:id="40" w:name="X404e116a6fc5d40bc82ca2b5ca0e91216768dfb"/>
    <w:p>
      <w:pPr>
        <w:pStyle w:val="Heading3"/>
      </w:pPr>
      <w:r>
        <w:t xml:space="preserve">4.1 Sample Description and Inter-Coder Reliability</w:t>
      </w:r>
    </w:p>
    <w:p>
      <w:pPr>
        <w:pStyle w:val="FirstParagraph"/>
      </w:pPr>
      <w:r>
        <w:rPr>
          <w:iCs/>
          <w:i/>
        </w:rPr>
        <w:t xml:space="preserve">k</w:t>
      </w:r>
      <w:r>
        <w:t xml:space="preserve"> </w:t>
      </w:r>
      <w:r>
        <w:t xml:space="preserve">= 238 studies (coded),</w:t>
      </w:r>
      <w:r>
        <w:t xml:space="preserve"> </w:t>
      </w:r>
      <w:r>
        <w:rPr>
          <w:iCs/>
          <w:i/>
        </w:rPr>
        <w:t xml:space="preserve">K</w:t>
      </w:r>
      <w:r>
        <w:t xml:space="preserve"> </w:t>
      </w:r>
      <w:r>
        <w:t xml:space="preserve">= 288 effect sizes (working database, pre-formal-search).</w:t>
      </w:r>
    </w:p>
    <w:p>
      <w:pPr>
        <w:pStyle w:val="BodyText"/>
      </w:pPr>
      <w:r>
        <w:rPr>
          <w:bCs/>
          <w:b/>
        </w:rPr>
        <w:t xml:space="preserve">Table 3.1 — Inter-coder reliability statistics</w:t>
      </w:r>
      <w:r>
        <w:t xml:space="preserve"> </w:t>
      </w:r>
      <w:r>
        <w:rPr>
          <w:iCs/>
          <w:i/>
        </w:rPr>
        <w:t xml:space="preserve">(20% double-coded subsample, k = [TBD] studies; to be completed post-formal-search)</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Moderator</w:t>
            </w:r>
          </w:p>
        </w:tc>
        <w:tc>
          <w:tcPr/>
          <w:p>
            <w:pPr>
              <w:pStyle w:val="Compact"/>
              <w:jc w:val="left"/>
            </w:pPr>
            <w:r>
              <w:t xml:space="preserve">Variable type</w:t>
            </w:r>
          </w:p>
        </w:tc>
        <w:tc>
          <w:tcPr/>
          <w:p>
            <w:pPr>
              <w:pStyle w:val="Compact"/>
              <w:jc w:val="left"/>
            </w:pPr>
            <w:r>
              <w:t xml:space="preserve">Statistic</w:t>
            </w:r>
          </w:p>
        </w:tc>
        <w:tc>
          <w:tcPr/>
          <w:p>
            <w:pPr>
              <w:pStyle w:val="Compact"/>
              <w:jc w:val="left"/>
            </w:pPr>
            <w:r>
              <w:t xml:space="preserve">Value</w:t>
            </w:r>
          </w:p>
        </w:tc>
        <w:tc>
          <w:tcPr/>
          <w:p>
            <w:pPr>
              <w:pStyle w:val="Compact"/>
              <w:jc w:val="left"/>
            </w:pPr>
            <w:r>
              <w:t xml:space="preserve">Threshold</w:t>
            </w:r>
          </w:p>
        </w:tc>
        <w:tc>
          <w:tcPr/>
          <w:p>
            <w:pPr>
              <w:pStyle w:val="Compact"/>
              <w:jc w:val="left"/>
            </w:pPr>
            <w:r>
              <w:t xml:space="preserve">Met?</w:t>
            </w:r>
          </w:p>
        </w:tc>
      </w:tr>
      <w:tr>
        <w:tc>
          <w:tcPr/>
          <w:p>
            <w:pPr>
              <w:pStyle w:val="Compact"/>
              <w:jc w:val="left"/>
            </w:pPr>
            <w:r>
              <w:t xml:space="preserve">ICRV regime</w:t>
            </w:r>
          </w:p>
        </w:tc>
        <w:tc>
          <w:tcPr/>
          <w:p>
            <w:pPr>
              <w:pStyle w:val="Compact"/>
              <w:jc w:val="left"/>
            </w:pPr>
            <w:r>
              <w:t xml:space="preserve">Categorical (6)</w:t>
            </w:r>
          </w:p>
        </w:tc>
        <w:tc>
          <w:tcPr/>
          <w:p>
            <w:pPr>
              <w:pStyle w:val="Compact"/>
              <w:jc w:val="left"/>
            </w:pPr>
            <w:r>
              <w:t xml:space="preserve">Cohen's κ</w:t>
            </w:r>
          </w:p>
        </w:tc>
        <w:tc>
          <w:tcPr/>
          <w:p>
            <w:pPr>
              <w:pStyle w:val="Compact"/>
              <w:jc w:val="left"/>
            </w:pPr>
            <w:r>
              <w:t xml:space="preserve">[TBD]</w:t>
            </w:r>
          </w:p>
        </w:tc>
        <w:tc>
          <w:tcPr/>
          <w:p>
            <w:pPr>
              <w:pStyle w:val="Compact"/>
              <w:jc w:val="left"/>
            </w:pPr>
            <w:r>
              <w:t xml:space="preserve">≥ 0.70</w:t>
            </w:r>
          </w:p>
        </w:tc>
        <w:tc>
          <w:tcPr/>
          <w:p>
            <w:pPr>
              <w:pStyle w:val="Compact"/>
              <w:jc w:val="left"/>
            </w:pPr>
            <w:r>
              <w:t xml:space="preserve">[TBD]</w:t>
            </w:r>
          </w:p>
        </w:tc>
      </w:tr>
      <w:tr>
        <w:tc>
          <w:tcPr/>
          <w:p>
            <w:pPr>
              <w:pStyle w:val="Compact"/>
              <w:jc w:val="left"/>
            </w:pPr>
            <w:r>
              <w:t xml:space="preserve">DPL phase</w:t>
            </w:r>
          </w:p>
        </w:tc>
        <w:tc>
          <w:tcPr/>
          <w:p>
            <w:pPr>
              <w:pStyle w:val="Compact"/>
              <w:jc w:val="left"/>
            </w:pPr>
            <w:r>
              <w:t xml:space="preserve">Categorical (3)</w:t>
            </w:r>
          </w:p>
        </w:tc>
        <w:tc>
          <w:tcPr/>
          <w:p>
            <w:pPr>
              <w:pStyle w:val="Compact"/>
              <w:jc w:val="left"/>
            </w:pPr>
            <w:r>
              <w:t xml:space="preserve">Cohen's κ</w:t>
            </w:r>
          </w:p>
        </w:tc>
        <w:tc>
          <w:tcPr/>
          <w:p>
            <w:pPr>
              <w:pStyle w:val="Compact"/>
              <w:jc w:val="left"/>
            </w:pPr>
            <w:r>
              <w:t xml:space="preserve">[TBD]</w:t>
            </w:r>
          </w:p>
        </w:tc>
        <w:tc>
          <w:tcPr/>
          <w:p>
            <w:pPr>
              <w:pStyle w:val="Compact"/>
              <w:jc w:val="left"/>
            </w:pPr>
            <w:r>
              <w:t xml:space="preserve">≥ 0.70</w:t>
            </w:r>
          </w:p>
        </w:tc>
        <w:tc>
          <w:tcPr/>
          <w:p>
            <w:pPr>
              <w:pStyle w:val="Compact"/>
              <w:jc w:val="left"/>
            </w:pPr>
            <w:r>
              <w:t xml:space="preserve">[TBD]</w:t>
            </w:r>
          </w:p>
        </w:tc>
      </w:tr>
      <w:tr>
        <w:tc>
          <w:tcPr/>
          <w:p>
            <w:pPr>
              <w:pStyle w:val="Compact"/>
              <w:jc w:val="left"/>
            </w:pPr>
            <w:r>
              <w:t xml:space="preserve">Industry sector</w:t>
            </w:r>
          </w:p>
        </w:tc>
        <w:tc>
          <w:tcPr/>
          <w:p>
            <w:pPr>
              <w:pStyle w:val="Compact"/>
              <w:jc w:val="left"/>
            </w:pPr>
            <w:r>
              <w:t xml:space="preserve">Categorical (3)</w:t>
            </w:r>
          </w:p>
        </w:tc>
        <w:tc>
          <w:tcPr/>
          <w:p>
            <w:pPr>
              <w:pStyle w:val="Compact"/>
              <w:jc w:val="left"/>
            </w:pPr>
            <w:r>
              <w:t xml:space="preserve">Cohen's κ</w:t>
            </w:r>
          </w:p>
        </w:tc>
        <w:tc>
          <w:tcPr/>
          <w:p>
            <w:pPr>
              <w:pStyle w:val="Compact"/>
              <w:jc w:val="left"/>
            </w:pPr>
            <w:r>
              <w:t xml:space="preserve">[TBD]</w:t>
            </w:r>
          </w:p>
        </w:tc>
        <w:tc>
          <w:tcPr/>
          <w:p>
            <w:pPr>
              <w:pStyle w:val="Compact"/>
              <w:jc w:val="left"/>
            </w:pPr>
            <w:r>
              <w:t xml:space="preserve">≥ 0.70</w:t>
            </w:r>
          </w:p>
        </w:tc>
        <w:tc>
          <w:tcPr/>
          <w:p>
            <w:pPr>
              <w:pStyle w:val="Compact"/>
              <w:jc w:val="left"/>
            </w:pPr>
            <w:r>
              <w:t xml:space="preserve">[TBD]</w:t>
            </w:r>
          </w:p>
        </w:tc>
      </w:tr>
      <w:tr>
        <w:tc>
          <w:tcPr/>
          <w:p>
            <w:pPr>
              <w:pStyle w:val="Compact"/>
              <w:jc w:val="left"/>
            </w:pPr>
            <w:r>
              <w:t xml:space="preserve">DOI measure</w:t>
            </w:r>
          </w:p>
        </w:tc>
        <w:tc>
          <w:tcPr/>
          <w:p>
            <w:pPr>
              <w:pStyle w:val="Compact"/>
              <w:jc w:val="left"/>
            </w:pPr>
            <w:r>
              <w:t xml:space="preserve">Categorical (4)</w:t>
            </w:r>
          </w:p>
        </w:tc>
        <w:tc>
          <w:tcPr/>
          <w:p>
            <w:pPr>
              <w:pStyle w:val="Compact"/>
              <w:jc w:val="left"/>
            </w:pPr>
            <w:r>
              <w:t xml:space="preserve">Cohen's κ</w:t>
            </w:r>
          </w:p>
        </w:tc>
        <w:tc>
          <w:tcPr/>
          <w:p>
            <w:pPr>
              <w:pStyle w:val="Compact"/>
              <w:jc w:val="left"/>
            </w:pPr>
            <w:r>
              <w:t xml:space="preserve">[TBD]</w:t>
            </w:r>
          </w:p>
        </w:tc>
        <w:tc>
          <w:tcPr/>
          <w:p>
            <w:pPr>
              <w:pStyle w:val="Compact"/>
              <w:jc w:val="left"/>
            </w:pPr>
            <w:r>
              <w:t xml:space="preserve">≥ 0.70</w:t>
            </w:r>
          </w:p>
        </w:tc>
        <w:tc>
          <w:tcPr/>
          <w:p>
            <w:pPr>
              <w:pStyle w:val="Compact"/>
              <w:jc w:val="left"/>
            </w:pPr>
            <w:r>
              <w:t xml:space="preserve">[TBD]</w:t>
            </w:r>
          </w:p>
        </w:tc>
      </w:tr>
      <w:tr>
        <w:tc>
          <w:tcPr/>
          <w:p>
            <w:pPr>
              <w:pStyle w:val="Compact"/>
              <w:jc w:val="left"/>
            </w:pPr>
            <w:r>
              <w:t xml:space="preserve">Performance measure</w:t>
            </w:r>
          </w:p>
        </w:tc>
        <w:tc>
          <w:tcPr/>
          <w:p>
            <w:pPr>
              <w:pStyle w:val="Compact"/>
              <w:jc w:val="left"/>
            </w:pPr>
            <w:r>
              <w:t xml:space="preserve">Categorical (4)</w:t>
            </w:r>
          </w:p>
        </w:tc>
        <w:tc>
          <w:tcPr/>
          <w:p>
            <w:pPr>
              <w:pStyle w:val="Compact"/>
              <w:jc w:val="left"/>
            </w:pPr>
            <w:r>
              <w:t xml:space="preserve">Cohen's κ</w:t>
            </w:r>
          </w:p>
        </w:tc>
        <w:tc>
          <w:tcPr/>
          <w:p>
            <w:pPr>
              <w:pStyle w:val="Compact"/>
              <w:jc w:val="left"/>
            </w:pPr>
            <w:r>
              <w:t xml:space="preserve">[TBD]</w:t>
            </w:r>
          </w:p>
        </w:tc>
        <w:tc>
          <w:tcPr/>
          <w:p>
            <w:pPr>
              <w:pStyle w:val="Compact"/>
              <w:jc w:val="left"/>
            </w:pPr>
            <w:r>
              <w:t xml:space="preserve">≥ 0.70</w:t>
            </w:r>
          </w:p>
        </w:tc>
        <w:tc>
          <w:tcPr/>
          <w:p>
            <w:pPr>
              <w:pStyle w:val="Compact"/>
              <w:jc w:val="left"/>
            </w:pPr>
            <w:r>
              <w:t xml:space="preserve">[TBD]</w:t>
            </w:r>
          </w:p>
        </w:tc>
      </w:tr>
      <w:tr>
        <w:tc>
          <w:tcPr/>
          <w:p>
            <w:pPr>
              <w:pStyle w:val="Compact"/>
              <w:jc w:val="left"/>
            </w:pPr>
            <w:r>
              <w:t xml:space="preserve">cDAI score</w:t>
            </w:r>
          </w:p>
        </w:tc>
        <w:tc>
          <w:tcPr/>
          <w:p>
            <w:pPr>
              <w:pStyle w:val="Compact"/>
              <w:jc w:val="left"/>
            </w:pPr>
            <w:r>
              <w:t xml:space="preserve">Continuous (0–1)</w:t>
            </w:r>
          </w:p>
        </w:tc>
        <w:tc>
          <w:tcPr/>
          <w:p>
            <w:pPr>
              <w:pStyle w:val="Compact"/>
              <w:jc w:val="left"/>
            </w:pPr>
            <w:r>
              <w:t xml:space="preserve">ICC(2,1)</w:t>
            </w:r>
          </w:p>
        </w:tc>
        <w:tc>
          <w:tcPr/>
          <w:p>
            <w:pPr>
              <w:pStyle w:val="Compact"/>
              <w:jc w:val="left"/>
            </w:pPr>
            <w:r>
              <w:t xml:space="preserve">[TBD]</w:t>
            </w:r>
          </w:p>
        </w:tc>
        <w:tc>
          <w:tcPr/>
          <w:p>
            <w:pPr>
              <w:pStyle w:val="Compact"/>
              <w:jc w:val="left"/>
            </w:pPr>
            <w:r>
              <w:t xml:space="preserve">≥ 0.80</w:t>
            </w:r>
          </w:p>
        </w:tc>
        <w:tc>
          <w:tcPr/>
          <w:p>
            <w:pPr>
              <w:pStyle w:val="Compact"/>
              <w:jc w:val="left"/>
            </w:pPr>
            <w:r>
              <w:t xml:space="preserve">[TBD]</w:t>
            </w:r>
          </w:p>
        </w:tc>
      </w:tr>
    </w:tbl>
    <w:p>
      <w:pPr>
        <w:pStyle w:val="BodyText"/>
      </w:pPr>
      <w:r>
        <w:rPr>
          <w:iCs/>
          <w:i/>
        </w:rPr>
        <w:t xml:space="preserve">Note.</w:t>
      </w:r>
      <w:r>
        <w:t xml:space="preserve"> </w:t>
      </w:r>
      <w:r>
        <w:t xml:space="preserve">Target threshold: κ ≥ 0.70 (Landis &amp; Koch, 1977) for all categorical moderators and ICC(2,1) ≥ 0.80 for cDAI. Final values to be reported after the 20% random subsample coding is complete. Protocol for resolving Regime II/III boundary disagreements: PI lookup of WGI Rule of Law vintage scores.</w:t>
      </w:r>
    </w:p>
    <w:p>
      <w:pPr>
        <w:pStyle w:val="BodyText"/>
      </w:pPr>
      <w:r>
        <w:rPr>
          <w:bCs/>
          <w:b/>
        </w:rPr>
        <w:t xml:space="preserve">Table 4.1 — Working-database sample composition</w:t>
      </w:r>
      <w:r>
        <w:t xml:space="preserve"> </w:t>
      </w:r>
      <w:r>
        <w:rPr>
          <w:iCs/>
          <w:i/>
        </w:rPr>
        <w:t xml:space="preserve">(pre-formal-search;</w:t>
      </w:r>
      <w:r>
        <w:rPr>
          <w:iCs/>
          <w:i/>
        </w:rPr>
        <w:t xml:space="preserve"> </w:t>
      </w:r>
      <w:r>
        <w:rPr>
          <w:iCs/>
          <w:i/>
          <w:iCs/>
          <w:i/>
        </w:rPr>
        <w:t xml:space="preserve">K</w:t>
      </w:r>
      <w:r>
        <w:rPr>
          <w:iCs/>
          <w:i/>
        </w:rPr>
        <w:t xml:space="preserve"> </w:t>
      </w:r>
      <w:r>
        <w:rPr>
          <w:iCs/>
          <w:i/>
        </w:rPr>
        <w:t xml:space="preserve">= 288 effect sizes, k = 238 coded studies)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rPr>
                <w:iCs/>
                <w:i/>
              </w:rPr>
              <w:t xml:space="preserve">K</w:t>
            </w:r>
            <w:r>
              <w:t xml:space="preserve"> </w:t>
            </w:r>
            <w:r>
              <w:t xml:space="preserve">effects</w:t>
            </w:r>
          </w:p>
        </w:tc>
        <w:tc>
          <w:tcPr/>
          <w:p>
            <w:pPr>
              <w:pStyle w:val="Compact"/>
              <w:jc w:val="left"/>
            </w:pPr>
            <w:r>
              <w:rPr>
                <w:iCs/>
                <w:i/>
              </w:rPr>
              <w:t xml:space="preserve">k</w:t>
            </w:r>
            <w:r>
              <w:t xml:space="preserve"> </w:t>
            </w:r>
            <w:r>
              <w:t xml:space="preserve">studies</w:t>
            </w:r>
          </w:p>
        </w:tc>
      </w:tr>
      <w:tr>
        <w:tc>
          <w:tcPr/>
          <w:p>
            <w:pPr>
              <w:pStyle w:val="Compact"/>
              <w:jc w:val="left"/>
            </w:pPr>
            <w:r>
              <w:t xml:space="preserve">ICRV Regime I — Advanced (e.g., Korea, Japan, Singapore, HK, Australia)</w:t>
            </w:r>
          </w:p>
        </w:tc>
        <w:tc>
          <w:tcPr/>
          <w:p>
            <w:pPr>
              <w:pStyle w:val="Compact"/>
              <w:jc w:val="left"/>
            </w:pPr>
            <w:r>
              <w:t xml:space="preserve">140</w:t>
            </w:r>
          </w:p>
        </w:tc>
        <w:tc>
          <w:tcPr/>
          <w:p>
            <w:pPr>
              <w:pStyle w:val="Compact"/>
              <w:jc w:val="left"/>
            </w:pPr>
            <w:r>
              <w:t xml:space="preserve">108</w:t>
            </w:r>
          </w:p>
        </w:tc>
      </w:tr>
      <w:tr>
        <w:tc>
          <w:tcPr/>
          <w:p>
            <w:pPr>
              <w:pStyle w:val="Compact"/>
              <w:jc w:val="left"/>
            </w:pPr>
            <w:r>
              <w:t xml:space="preserve">ICRV Regime II — Upper-middle (e.g., China, Malaysia, Thailand)</w:t>
            </w:r>
          </w:p>
        </w:tc>
        <w:tc>
          <w:tcPr/>
          <w:p>
            <w:pPr>
              <w:pStyle w:val="Compact"/>
              <w:jc w:val="left"/>
            </w:pPr>
            <w:r>
              <w:t xml:space="preserve">25</w:t>
            </w:r>
          </w:p>
        </w:tc>
        <w:tc>
          <w:tcPr/>
          <w:p>
            <w:pPr>
              <w:pStyle w:val="Compact"/>
              <w:jc w:val="left"/>
            </w:pPr>
            <w:r>
              <w:t xml:space="preserve">21</w:t>
            </w:r>
          </w:p>
        </w:tc>
      </w:tr>
      <w:tr>
        <w:tc>
          <w:tcPr/>
          <w:p>
            <w:pPr>
              <w:pStyle w:val="Compact"/>
              <w:jc w:val="left"/>
            </w:pPr>
            <w:r>
              <w:t xml:space="preserve">ICRV Regime III — Emerging (e.g., Vietnam, India, Philippines)</w:t>
            </w:r>
          </w:p>
        </w:tc>
        <w:tc>
          <w:tcPr/>
          <w:p>
            <w:pPr>
              <w:pStyle w:val="Compact"/>
              <w:jc w:val="left"/>
            </w:pPr>
            <w:r>
              <w:t xml:space="preserve">90</w:t>
            </w:r>
          </w:p>
        </w:tc>
        <w:tc>
          <w:tcPr/>
          <w:p>
            <w:pPr>
              <w:pStyle w:val="Compact"/>
              <w:jc w:val="left"/>
            </w:pPr>
            <w:r>
              <w:t xml:space="preserve">78</w:t>
            </w:r>
          </w:p>
        </w:tc>
      </w:tr>
      <w:tr>
        <w:tc>
          <w:tcPr/>
          <w:p>
            <w:pPr>
              <w:pStyle w:val="Compact"/>
              <w:jc w:val="left"/>
            </w:pPr>
            <w:r>
              <w:t xml:space="preserve">ICRV Frontier / SIDS (FR)</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Cross-regime / multi-country (MX)</w:t>
            </w:r>
          </w:p>
        </w:tc>
        <w:tc>
          <w:tcPr/>
          <w:p>
            <w:pPr>
              <w:pStyle w:val="Compact"/>
              <w:jc w:val="left"/>
            </w:pPr>
            <w:r>
              <w:t xml:space="preserve">30</w:t>
            </w:r>
          </w:p>
        </w:tc>
        <w:tc>
          <w:tcPr/>
          <w:p>
            <w:pPr>
              <w:pStyle w:val="Compact"/>
              <w:jc w:val="left"/>
            </w:pPr>
            <w:r>
              <w:t xml:space="preserve">28</w:t>
            </w:r>
          </w:p>
        </w:tc>
      </w:tr>
      <w:tr>
        <w:tc>
          <w:tcPr/>
          <w:p>
            <w:pPr>
              <w:pStyle w:val="Compact"/>
              <w:jc w:val="left"/>
            </w:pPr>
            <w:r>
              <w:rPr>
                <w:iCs/>
                <w:i/>
                <w:bCs/>
                <w:b/>
              </w:rPr>
              <w:t xml:space="preserve">K</w:t>
            </w:r>
            <w:r>
              <w:rPr>
                <w:bCs/>
                <w:b/>
              </w:rPr>
              <w:t xml:space="preserve"> </w:t>
            </w:r>
            <w:r>
              <w:rPr>
                <w:bCs/>
                <w:b/>
              </w:rPr>
              <w:t xml:space="preserve">/</w:t>
            </w:r>
            <w:r>
              <w:rPr>
                <w:bCs/>
                <w:b/>
              </w:rPr>
              <w:t xml:space="preserve"> </w:t>
            </w:r>
            <w:r>
              <w:rPr>
                <w:iCs/>
                <w:i/>
                <w:bCs/>
                <w:b/>
              </w:rPr>
              <w:t xml:space="preserve">k</w:t>
            </w:r>
            <w:r>
              <w:rPr>
                <w:bCs/>
                <w:b/>
              </w:rPr>
              <w:t xml:space="preserve"> </w:t>
            </w:r>
            <w:r>
              <w:rPr>
                <w:bCs/>
                <w:b/>
              </w:rPr>
              <w:t xml:space="preserve">total</w:t>
            </w:r>
          </w:p>
        </w:tc>
        <w:tc>
          <w:tcPr/>
          <w:p>
            <w:pPr>
              <w:pStyle w:val="Compact"/>
              <w:jc w:val="left"/>
            </w:pPr>
            <w:r>
              <w:rPr>
                <w:bCs/>
                <w:b/>
              </w:rPr>
              <w:t xml:space="preserve">288</w:t>
            </w:r>
          </w:p>
        </w:tc>
        <w:tc>
          <w:tcPr/>
          <w:p>
            <w:pPr>
              <w:pStyle w:val="Compact"/>
              <w:jc w:val="left"/>
            </w:pPr>
            <w:r>
              <w:rPr>
                <w:bCs/>
                <w:b/>
              </w:rPr>
              <w:t xml:space="preserve">238</w:t>
            </w:r>
          </w:p>
        </w:tc>
      </w:tr>
      <w:tr>
        <w:tc>
          <w:tcPr/>
          <w:p>
            <w:pPr>
              <w:pStyle w:val="Compact"/>
              <w:jc w:val="left"/>
            </w:pPr>
            <w:r>
              <w:t xml:space="preserve">cDAI High (H)</w:t>
            </w:r>
          </w:p>
        </w:tc>
        <w:tc>
          <w:tcPr/>
          <w:p>
            <w:pPr>
              <w:pStyle w:val="Compact"/>
              <w:jc w:val="left"/>
            </w:pPr>
            <w:r>
              <w:t xml:space="preserve">38</w:t>
            </w:r>
          </w:p>
        </w:tc>
        <w:tc>
          <w:tcPr/>
          <w:p>
            <w:pPr>
              <w:pStyle w:val="Compact"/>
              <w:jc w:val="left"/>
            </w:pPr>
            <w:r>
              <w:t xml:space="preserve">—</w:t>
            </w:r>
          </w:p>
        </w:tc>
      </w:tr>
      <w:tr>
        <w:tc>
          <w:tcPr/>
          <w:p>
            <w:pPr>
              <w:pStyle w:val="Compact"/>
              <w:jc w:val="left"/>
            </w:pPr>
            <w:r>
              <w:t xml:space="preserve">cDAI Medium (M)</w:t>
            </w:r>
          </w:p>
        </w:tc>
        <w:tc>
          <w:tcPr/>
          <w:p>
            <w:pPr>
              <w:pStyle w:val="Compact"/>
              <w:jc w:val="left"/>
            </w:pPr>
            <w:r>
              <w:t xml:space="preserve">76</w:t>
            </w:r>
          </w:p>
        </w:tc>
        <w:tc>
          <w:tcPr/>
          <w:p>
            <w:pPr>
              <w:pStyle w:val="Compact"/>
              <w:jc w:val="left"/>
            </w:pPr>
            <w:r>
              <w:t xml:space="preserve">—</w:t>
            </w:r>
          </w:p>
        </w:tc>
      </w:tr>
      <w:tr>
        <w:tc>
          <w:tcPr/>
          <w:p>
            <w:pPr>
              <w:pStyle w:val="Compact"/>
              <w:jc w:val="left"/>
            </w:pPr>
            <w:r>
              <w:t xml:space="preserve">cDAI Low (L)</w:t>
            </w:r>
          </w:p>
        </w:tc>
        <w:tc>
          <w:tcPr/>
          <w:p>
            <w:pPr>
              <w:pStyle w:val="Compact"/>
              <w:jc w:val="left"/>
            </w:pPr>
            <w:r>
              <w:t xml:space="preserve">174</w:t>
            </w:r>
          </w:p>
        </w:tc>
        <w:tc>
          <w:tcPr/>
          <w:p>
            <w:pPr>
              <w:pStyle w:val="Compact"/>
              <w:jc w:val="left"/>
            </w:pPr>
            <w:r>
              <w:t xml:space="preserve">—</w:t>
            </w:r>
          </w:p>
        </w:tc>
      </w:tr>
      <w:tr>
        <w:tc>
          <w:tcPr/>
          <w:p>
            <w:pPr>
              <w:pStyle w:val="Compact"/>
              <w:jc w:val="left"/>
            </w:pPr>
            <w:r>
              <w:t xml:space="preserve">DPL Precede (PRE, ≤2008)</w:t>
            </w:r>
          </w:p>
        </w:tc>
        <w:tc>
          <w:tcPr/>
          <w:p>
            <w:pPr>
              <w:pStyle w:val="Compact"/>
              <w:jc w:val="left"/>
            </w:pPr>
            <w:r>
              <w:t xml:space="preserve">100</w:t>
            </w:r>
          </w:p>
        </w:tc>
        <w:tc>
          <w:tcPr/>
          <w:p>
            <w:pPr>
              <w:pStyle w:val="Compact"/>
              <w:jc w:val="left"/>
            </w:pPr>
            <w:r>
              <w:t xml:space="preserve">—</w:t>
            </w:r>
          </w:p>
        </w:tc>
      </w:tr>
      <w:tr>
        <w:tc>
          <w:tcPr/>
          <w:p>
            <w:pPr>
              <w:pStyle w:val="Compact"/>
              <w:jc w:val="left"/>
            </w:pPr>
            <w:r>
              <w:t xml:space="preserve">DPL Span (SPN, 2009–2013)</w:t>
            </w:r>
          </w:p>
        </w:tc>
        <w:tc>
          <w:tcPr/>
          <w:p>
            <w:pPr>
              <w:pStyle w:val="Compact"/>
              <w:jc w:val="left"/>
            </w:pPr>
            <w:r>
              <w:t xml:space="preserve">108</w:t>
            </w:r>
          </w:p>
        </w:tc>
        <w:tc>
          <w:tcPr/>
          <w:p>
            <w:pPr>
              <w:pStyle w:val="Compact"/>
              <w:jc w:val="left"/>
            </w:pPr>
            <w:r>
              <w:t xml:space="preserve">—</w:t>
            </w:r>
          </w:p>
        </w:tc>
      </w:tr>
      <w:tr>
        <w:tc>
          <w:tcPr/>
          <w:p>
            <w:pPr>
              <w:pStyle w:val="Compact"/>
              <w:jc w:val="left"/>
            </w:pPr>
            <w:r>
              <w:t xml:space="preserve">DPL Follow (FOL, ≥2014)</w:t>
            </w:r>
          </w:p>
        </w:tc>
        <w:tc>
          <w:tcPr/>
          <w:p>
            <w:pPr>
              <w:pStyle w:val="Compact"/>
              <w:jc w:val="left"/>
            </w:pPr>
            <w:r>
              <w:t xml:space="preserve">80</w:t>
            </w:r>
          </w:p>
        </w:tc>
        <w:tc>
          <w:tcPr/>
          <w:p>
            <w:pPr>
              <w:pStyle w:val="Compact"/>
              <w:jc w:val="left"/>
            </w:pPr>
            <w:r>
              <w:t xml:space="preserve">—</w:t>
            </w:r>
          </w:p>
        </w:tc>
      </w:tr>
      <w:tr>
        <w:tc>
          <w:tcPr/>
          <w:p>
            <w:pPr>
              <w:pStyle w:val="Compact"/>
              <w:jc w:val="left"/>
            </w:pPr>
            <w:r>
              <w:t xml:space="preserve">By DOI type: FSTS</w:t>
            </w:r>
          </w:p>
        </w:tc>
        <w:tc>
          <w:tcPr/>
          <w:p>
            <w:pPr>
              <w:pStyle w:val="Compact"/>
              <w:jc w:val="left"/>
            </w:pPr>
            <w:r>
              <w:t xml:space="preserve">138</w:t>
            </w:r>
          </w:p>
        </w:tc>
        <w:tc>
          <w:tcPr/>
          <w:p>
            <w:pPr>
              <w:pStyle w:val="Compact"/>
              <w:jc w:val="left"/>
            </w:pPr>
            <w:r>
              <w:t xml:space="preserve">—</w:t>
            </w:r>
          </w:p>
        </w:tc>
      </w:tr>
      <w:tr>
        <w:tc>
          <w:tcPr/>
          <w:p>
            <w:pPr>
              <w:pStyle w:val="Compact"/>
              <w:jc w:val="left"/>
            </w:pPr>
            <w:r>
              <w:t xml:space="preserve">By DOI type: GEO</w:t>
            </w:r>
          </w:p>
        </w:tc>
        <w:tc>
          <w:tcPr/>
          <w:p>
            <w:pPr>
              <w:pStyle w:val="Compact"/>
              <w:jc w:val="left"/>
            </w:pPr>
            <w:r>
              <w:t xml:space="preserve">50</w:t>
            </w:r>
          </w:p>
        </w:tc>
        <w:tc>
          <w:tcPr/>
          <w:p>
            <w:pPr>
              <w:pStyle w:val="Compact"/>
              <w:jc w:val="left"/>
            </w:pPr>
            <w:r>
              <w:t xml:space="preserve">—</w:t>
            </w:r>
          </w:p>
        </w:tc>
      </w:tr>
      <w:tr>
        <w:tc>
          <w:tcPr/>
          <w:p>
            <w:pPr>
              <w:pStyle w:val="Compact"/>
              <w:jc w:val="left"/>
            </w:pPr>
            <w:r>
              <w:t xml:space="preserve">By DOI type: EXP</w:t>
            </w:r>
          </w:p>
        </w:tc>
        <w:tc>
          <w:tcPr/>
          <w:p>
            <w:pPr>
              <w:pStyle w:val="Compact"/>
              <w:jc w:val="left"/>
            </w:pPr>
            <w:r>
              <w:t xml:space="preserve">65</w:t>
            </w:r>
          </w:p>
        </w:tc>
        <w:tc>
          <w:tcPr/>
          <w:p>
            <w:pPr>
              <w:pStyle w:val="Compact"/>
              <w:jc w:val="left"/>
            </w:pPr>
            <w:r>
              <w:t xml:space="preserve">—</w:t>
            </w:r>
          </w:p>
        </w:tc>
      </w:tr>
      <w:tr>
        <w:tc>
          <w:tcPr/>
          <w:p>
            <w:pPr>
              <w:pStyle w:val="Compact"/>
              <w:jc w:val="left"/>
            </w:pPr>
            <w:r>
              <w:t xml:space="preserve">By DOI type: COMP</w:t>
            </w:r>
          </w:p>
        </w:tc>
        <w:tc>
          <w:tcPr/>
          <w:p>
            <w:pPr>
              <w:pStyle w:val="Compact"/>
              <w:jc w:val="left"/>
            </w:pPr>
            <w:r>
              <w:t xml:space="preserve">31</w:t>
            </w:r>
          </w:p>
        </w:tc>
        <w:tc>
          <w:tcPr/>
          <w:p>
            <w:pPr>
              <w:pStyle w:val="Compact"/>
              <w:jc w:val="left"/>
            </w:pPr>
            <w:r>
              <w:t xml:space="preserve">—</w:t>
            </w:r>
          </w:p>
        </w:tc>
      </w:tr>
      <w:tr>
        <w:tc>
          <w:tcPr/>
          <w:p>
            <w:pPr>
              <w:pStyle w:val="Compact"/>
              <w:jc w:val="left"/>
            </w:pPr>
            <w:r>
              <w:t xml:space="preserve">By FP type: ACC (accounting)</w:t>
            </w:r>
          </w:p>
        </w:tc>
        <w:tc>
          <w:tcPr/>
          <w:p>
            <w:pPr>
              <w:pStyle w:val="Compact"/>
              <w:jc w:val="left"/>
            </w:pPr>
            <w:r>
              <w:t xml:space="preserve">246</w:t>
            </w:r>
          </w:p>
        </w:tc>
        <w:tc>
          <w:tcPr/>
          <w:p>
            <w:pPr>
              <w:pStyle w:val="Compact"/>
              <w:jc w:val="left"/>
            </w:pPr>
            <w:r>
              <w:t xml:space="preserve">—</w:t>
            </w:r>
          </w:p>
        </w:tc>
      </w:tr>
      <w:tr>
        <w:tc>
          <w:tcPr/>
          <w:p>
            <w:pPr>
              <w:pStyle w:val="Compact"/>
              <w:jc w:val="left"/>
            </w:pPr>
            <w:r>
              <w:t xml:space="preserve">By FP type: MKT (market-based)</w:t>
            </w:r>
          </w:p>
        </w:tc>
        <w:tc>
          <w:tcPr/>
          <w:p>
            <w:pPr>
              <w:pStyle w:val="Compact"/>
              <w:jc w:val="left"/>
            </w:pPr>
            <w:r>
              <w:t xml:space="preserve">16</w:t>
            </w:r>
          </w:p>
        </w:tc>
        <w:tc>
          <w:tcPr/>
          <w:p>
            <w:pPr>
              <w:pStyle w:val="Compact"/>
              <w:jc w:val="left"/>
            </w:pPr>
            <w:r>
              <w:t xml:space="preserve">—</w:t>
            </w:r>
          </w:p>
        </w:tc>
      </w:tr>
      <w:tr>
        <w:tc>
          <w:tcPr/>
          <w:p>
            <w:pPr>
              <w:pStyle w:val="Compact"/>
              <w:jc w:val="left"/>
            </w:pPr>
            <w:r>
              <w:t xml:space="preserve">By FP type: LAB (labour productivity)</w:t>
            </w:r>
          </w:p>
        </w:tc>
        <w:tc>
          <w:tcPr/>
          <w:p>
            <w:pPr>
              <w:pStyle w:val="Compact"/>
              <w:jc w:val="left"/>
            </w:pPr>
            <w:r>
              <w:t xml:space="preserve">12</w:t>
            </w:r>
          </w:p>
        </w:tc>
        <w:tc>
          <w:tcPr/>
          <w:p>
            <w:pPr>
              <w:pStyle w:val="Compact"/>
              <w:jc w:val="left"/>
            </w:pPr>
            <w:r>
              <w:t xml:space="preserve">—</w:t>
            </w:r>
          </w:p>
        </w:tc>
      </w:tr>
      <w:tr>
        <w:tc>
          <w:tcPr/>
          <w:p>
            <w:pPr>
              <w:pStyle w:val="Compact"/>
              <w:jc w:val="left"/>
            </w:pPr>
            <w:r>
              <w:t xml:space="preserve">By FP type: MIX</w:t>
            </w:r>
          </w:p>
        </w:tc>
        <w:tc>
          <w:tcPr/>
          <w:p>
            <w:pPr>
              <w:pStyle w:val="Compact"/>
              <w:jc w:val="left"/>
            </w:pPr>
            <w:r>
              <w:t xml:space="preserve">14</w:t>
            </w:r>
          </w:p>
        </w:tc>
        <w:tc>
          <w:tcPr/>
          <w:p>
            <w:pPr>
              <w:pStyle w:val="Compact"/>
              <w:jc w:val="left"/>
            </w:pPr>
            <w:r>
              <w:t xml:space="preserve">—</w:t>
            </w:r>
          </w:p>
        </w:tc>
      </w:tr>
    </w:tbl>
    <w:p>
      <w:pPr>
        <w:pStyle w:val="BodyText"/>
      </w:pPr>
      <w:r>
        <w:rPr>
          <w:iCs/>
          <w:i/>
        </w:rPr>
        <w:t xml:space="preserve">Note:</w:t>
      </w:r>
      <w:r>
        <w:t xml:space="preserve"> </w:t>
      </w:r>
      <w:r>
        <w:t xml:space="preserve">Counts from working database (</w:t>
      </w:r>
      <w:r>
        <w:rPr>
          <w:rStyle w:val="VerbatimChar"/>
        </w:rPr>
        <w:t xml:space="preserve">p6/results/forest_data.csv</w:t>
      </w:r>
      <w:r>
        <w:t xml:space="preserve">, K=288 rows, k=238 unique study IDs, updated 15/05/2026). ICRV</w:t>
      </w:r>
      <w:r>
        <w:t xml:space="preserve"> </w:t>
      </w:r>
      <w:r>
        <w:rPr>
          <w:iCs/>
          <w:i/>
        </w:rPr>
        <w:t xml:space="preserve">k</w:t>
      </w:r>
      <w:r>
        <w:t xml:space="preserve"> </w:t>
      </w:r>
      <w:r>
        <w:t xml:space="preserve">and</w:t>
      </w:r>
      <w:r>
        <w:t xml:space="preserve"> </w:t>
      </w:r>
      <w:r>
        <w:rPr>
          <w:iCs/>
          <w:i/>
        </w:rPr>
        <w:t xml:space="preserve">K</w:t>
      </w:r>
      <w:r>
        <w:t xml:space="preserve"> </w:t>
      </w:r>
      <w:r>
        <w:t xml:space="preserve">counts sum to &gt; total because MX studies may span multiple regimes. cDAI and DPL counts are pre-formal-search; final values will be updated after formal WoS/Scopus search and complete coding. Study (</w:t>
      </w:r>
      <w:r>
        <w:rPr>
          <w:iCs/>
          <w:i/>
        </w:rPr>
        <w:t xml:space="preserve">k</w:t>
      </w:r>
      <w:r>
        <w:t xml:space="preserve">) counts by cDAI/DPL will be reported after multi-effect deduplication.</w:t>
      </w:r>
    </w:p>
    <w:bookmarkEnd w:id="40"/>
    <w:bookmarkStart w:id="41" w:name="X484949e7994e09bd70500137e9d7c8f884b58c1"/>
    <w:p>
      <w:pPr>
        <w:pStyle w:val="Heading3"/>
      </w:pPr>
      <w:r>
        <w:t xml:space="preserve">4.2 Baseline Three-Level Model</w:t>
      </w:r>
    </w:p>
    <w:p>
      <w:pPr>
        <w:pStyle w:val="FirstParagraph"/>
      </w:pPr>
      <w:r>
        <w:rPr>
          <w:bCs/>
          <w:b/>
        </w:rPr>
        <w:t xml:space="preserve">ICBEF 2025 single-level baseline (MetaEssentials 1.5, k = 113):</w:t>
      </w:r>
    </w:p>
    <w:p>
      <w:pPr>
        <w:pStyle w:val="BodyText"/>
      </w:pPr>
      <m:oMathPara>
        <m:oMathParaPr>
          <m:jc m:val="center"/>
        </m:oMathParaPr>
        <m:oMath>
          <m:sSub>
            <m:e>
              <m:acc>
                <m:accPr>
                  <m:chr m:val="‾"/>
                </m:accPr>
                <m:e>
                  <m:r>
                    <m:t>r</m:t>
                  </m:r>
                </m:e>
              </m:acc>
            </m:e>
            <m:sub>
              <m:r>
                <m:t>I</m:t>
              </m:r>
              <m:r>
                <m:t>C</m:t>
              </m:r>
              <m:r>
                <m:t>B</m:t>
              </m:r>
              <m:r>
                <m:t>E</m:t>
              </m:r>
              <m:r>
                <m:t>F</m:t>
              </m:r>
            </m:sub>
          </m:sSub>
          <m:r>
            <m:rPr>
              <m:sty m:val="p"/>
            </m:rPr>
            <m:t>=</m:t>
          </m:r>
          <m:r>
            <m:t>0.07</m:t>
          </m:r>
          <m:r>
            <m:t> </m:t>
          </m:r>
          <m:d>
            <m:dPr>
              <m:begChr m:val="("/>
              <m:endChr m:val=")"/>
              <m:sepChr m:val=""/>
              <m:grow/>
            </m:dPr>
            <m:e>
              <m:r>
                <m:t>95</m:t>
              </m:r>
              <m:r>
                <m:rPr>
                  <m:sty m:val="p"/>
                </m:rPr>
                <m:t>%</m:t>
              </m:r>
              <m:r>
                <m:t> </m:t>
              </m:r>
              <m:r>
                <m:rPr>
                  <m:nor/>
                  <m:sty m:val="p"/>
                </m:rPr>
                <m:t>CI</m:t>
              </m:r>
              <m:r>
                <m:rPr>
                  <m:sty m:val="p"/>
                </m:rPr>
                <m:t>:</m:t>
              </m:r>
              <m:d>
                <m:dPr>
                  <m:begChr m:val="["/>
                  <m:endChr m:val="]"/>
                  <m:sepChr m:val=""/>
                  <m:grow/>
                </m:dPr>
                <m:e>
                  <m:r>
                    <m:t>0.05</m:t>
                  </m:r>
                  <m:r>
                    <m:rPr>
                      <m:sty m:val="p"/>
                    </m:rPr>
                    <m:t>,</m:t>
                  </m:r>
                  <m:r>
                    <m:t>0.09</m:t>
                  </m:r>
                </m:e>
              </m:d>
            </m:e>
          </m:d>
          <m:r>
            <m:rPr>
              <m:sty m:val="p"/>
            </m:rPr>
            <m:t>,</m:t>
          </m:r>
          <m:r>
            <m:t> </m:t>
          </m:r>
          <m:r>
            <m:t>p</m:t>
          </m:r>
          <m:r>
            <m:rPr>
              <m:sty m:val="p"/>
            </m:rPr>
            <m:t>&lt;</m:t>
          </m:r>
          <m:r>
            <m:t>.001</m:t>
          </m:r>
        </m:oMath>
      </m:oMathPara>
    </w:p>
    <w:p>
      <w:pPr>
        <w:pStyle w:val="FirstParagraph"/>
      </w:pPr>
      <m:oMathPara>
        <m:oMathParaPr>
          <m:jc m:val="center"/>
        </m:oMathParaPr>
        <m:oMath>
          <m:sSubSup>
            <m:e>
              <m:r>
                <m:t>I</m:t>
              </m:r>
            </m:e>
            <m:sub>
              <m:r>
                <m:t>I</m:t>
              </m:r>
              <m:r>
                <m:t>C</m:t>
              </m:r>
              <m:r>
                <m:t>B</m:t>
              </m:r>
              <m:r>
                <m:t>E</m:t>
              </m:r>
              <m:r>
                <m:t>F</m:t>
              </m:r>
            </m:sub>
            <m:sup>
              <m:r>
                <m:t>2</m:t>
              </m:r>
            </m:sup>
          </m:sSubSup>
          <m:r>
            <m:rPr>
              <m:sty m:val="p"/>
            </m:rPr>
            <m:t>=</m:t>
          </m:r>
          <m:r>
            <m:t>87.92</m:t>
          </m:r>
          <m:r>
            <m:rPr>
              <m:sty m:val="p"/>
            </m:rPr>
            <m:t>%</m:t>
          </m:r>
          <m:r>
            <m:rPr>
              <m:sty m:val="p"/>
            </m:rPr>
            <m:t>,</m:t>
          </m:r>
          <m:r>
            <m:t> </m:t>
          </m:r>
          <m:sSub>
            <m:e>
              <m:r>
                <m:t>Q</m:t>
              </m:r>
            </m:e>
            <m:sub>
              <m:r>
                <m:t>b</m:t>
              </m:r>
              <m:r>
                <m:t>e</m:t>
              </m:r>
              <m:r>
                <m:t>t</m:t>
              </m:r>
              <m:r>
                <m:t>w</m:t>
              </m:r>
              <m:r>
                <m:t>e</m:t>
              </m:r>
              <m:r>
                <m:t>e</m:t>
              </m:r>
              <m:r>
                <m:t>n</m:t>
              </m:r>
            </m:sub>
          </m:sSub>
          <m:r>
            <m:rPr>
              <m:sty m:val="p"/>
            </m:rPr>
            <m:t>=</m:t>
          </m:r>
          <m:r>
            <m:t>1</m:t>
          </m:r>
          <m:r>
            <m:rPr>
              <m:sty m:val="p"/>
            </m:rPr>
            <m:t>,</m:t>
          </m:r>
          <m:r>
            <m:t>247.3</m:t>
          </m:r>
          <m:r>
            <m:t> </m:t>
          </m:r>
          <m:d>
            <m:dPr>
              <m:begChr m:val="("/>
              <m:endChr m:val=")"/>
              <m:sepChr m:val=""/>
              <m:grow/>
            </m:dPr>
            <m:e>
              <m:r>
                <m:t>d</m:t>
              </m:r>
              <m:r>
                <m:t>f</m:t>
              </m:r>
              <m:r>
                <m:rPr>
                  <m:sty m:val="p"/>
                </m:rPr>
                <m:t>=</m:t>
              </m:r>
              <m:r>
                <m:t>112</m:t>
              </m:r>
              <m:r>
                <m:rPr>
                  <m:sty m:val="p"/>
                </m:rPr>
                <m:t>,</m:t>
              </m:r>
              <m:r>
                <m:t> </m:t>
              </m:r>
              <m:r>
                <m:t>p</m:t>
              </m:r>
              <m:r>
                <m:rPr>
                  <m:sty m:val="p"/>
                </m:rPr>
                <m:t>&lt;</m:t>
              </m:r>
              <m:r>
                <m:t>.001</m:t>
              </m:r>
            </m:e>
          </m:d>
        </m:oMath>
      </m:oMathPara>
    </w:p>
    <w:p>
      <w:pPr>
        <w:pStyle w:val="FirstParagraph"/>
      </w:pPr>
      <w:r>
        <w:rPr>
          <w:bCs/>
          <w:b/>
        </w:rPr>
        <w:t xml:space="preserve">Three-level decomposition</w:t>
      </w:r>
      <w:r>
        <w:t xml:space="preserve"> </w:t>
      </w:r>
      <w:r>
        <w:t xml:space="preserve">(metafor REML, pre-formal-search simulation; k = 238 studies, K = 288 effects):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Estimate</w:t>
            </w:r>
          </w:p>
        </w:tc>
      </w:tr>
      <w:tr>
        <w:tc>
          <w:tcPr/>
          <w:p>
            <w:pPr>
              <w:pStyle w:val="Compact"/>
              <w:jc w:val="left"/>
            </w:pPr>
            <w:r>
              <w:t xml:space="preserve">σ²_(2) within-study</w:t>
            </w:r>
          </w:p>
        </w:tc>
        <w:tc>
          <w:tcPr/>
          <w:p>
            <w:pPr>
              <w:pStyle w:val="Compact"/>
              <w:jc w:val="left"/>
            </w:pPr>
            <w:r>
              <w:t xml:space="preserve">0.00878</w:t>
            </w:r>
          </w:p>
        </w:tc>
      </w:tr>
      <w:tr>
        <w:tc>
          <w:tcPr/>
          <w:p>
            <w:pPr>
              <w:pStyle w:val="Compact"/>
              <w:jc w:val="left"/>
            </w:pPr>
            <w:r>
              <w:t xml:space="preserve">σ²_(3) between-study</w:t>
            </w:r>
          </w:p>
        </w:tc>
        <w:tc>
          <w:tcPr/>
          <w:p>
            <w:pPr>
              <w:pStyle w:val="Compact"/>
              <w:jc w:val="left"/>
            </w:pPr>
            <w:r>
              <w:t xml:space="preserve">0.00136</w:t>
            </w:r>
          </w:p>
        </w:tc>
      </w:tr>
      <w:tr>
        <w:tc>
          <w:tcPr/>
          <w:p>
            <w:pPr>
              <w:pStyle w:val="Compact"/>
              <w:jc w:val="left"/>
            </w:pPr>
            <w:r>
              <w:t xml:space="preserve">Sampling variance v̄</w:t>
            </w:r>
          </w:p>
        </w:tc>
        <w:tc>
          <w:tcPr/>
          <w:p>
            <w:pPr>
              <w:pStyle w:val="Compact"/>
              <w:jc w:val="left"/>
            </w:pPr>
            <w:r>
              <w:t xml:space="preserve">—</w:t>
            </w:r>
          </w:p>
        </w:tc>
      </w:tr>
      <w:tr>
        <w:tc>
          <w:tcPr/>
          <w:p>
            <w:pPr>
              <w:pStyle w:val="Compact"/>
              <w:jc w:val="left"/>
            </w:pPr>
            <w:r>
              <w:rPr>
                <w:iCs/>
                <w:i/>
              </w:rPr>
              <w:t xml:space="preserve">I</w:t>
            </w:r>
            <w:r>
              <w:t xml:space="preserve">²_(2) within-study</w:t>
            </w:r>
          </w:p>
        </w:tc>
        <w:tc>
          <w:tcPr/>
          <w:p>
            <w:pPr>
              <w:pStyle w:val="Compact"/>
              <w:jc w:val="left"/>
            </w:pPr>
            <w:r>
              <w:t xml:space="preserve">54.1%</w:t>
            </w:r>
          </w:p>
        </w:tc>
      </w:tr>
      <w:tr>
        <w:tc>
          <w:tcPr/>
          <w:p>
            <w:pPr>
              <w:pStyle w:val="Compact"/>
              <w:jc w:val="left"/>
            </w:pPr>
            <w:r>
              <w:rPr>
                <w:iCs/>
                <w:i/>
              </w:rPr>
              <w:t xml:space="preserve">I</w:t>
            </w:r>
            <w:r>
              <w:t xml:space="preserve">²_(3) between-study</w:t>
            </w:r>
          </w:p>
        </w:tc>
        <w:tc>
          <w:tcPr/>
          <w:p>
            <w:pPr>
              <w:pStyle w:val="Compact"/>
              <w:jc w:val="left"/>
            </w:pPr>
            <w:r>
              <w:t xml:space="preserve">8.4%</w:t>
            </w:r>
          </w:p>
        </w:tc>
      </w:tr>
      <w:tr>
        <w:tc>
          <w:tcPr/>
          <w:p>
            <w:pPr>
              <w:pStyle w:val="Compact"/>
              <w:jc w:val="left"/>
            </w:pPr>
            <w:r>
              <w:rPr>
                <w:iCs/>
                <w:i/>
              </w:rPr>
              <w:t xml:space="preserve">I</w:t>
            </w:r>
            <w:r>
              <w:t xml:space="preserve">²_total</w:t>
            </w:r>
          </w:p>
        </w:tc>
        <w:tc>
          <w:tcPr/>
          <w:p>
            <w:pPr>
              <w:pStyle w:val="Compact"/>
              <w:jc w:val="left"/>
            </w:pPr>
            <w:r>
              <w:t xml:space="preserve">62.5%</w:t>
            </w:r>
          </w:p>
        </w:tc>
      </w:tr>
      <w:tr>
        <w:tc>
          <w:tcPr/>
          <w:p>
            <w:pPr>
              <w:pStyle w:val="Compact"/>
              <w:jc w:val="left"/>
            </w:pPr>
            <w:r>
              <w:t xml:space="preserve">Pooled</w:t>
            </w:r>
            <w:r>
              <w:t xml:space="preserve"> </w:t>
            </w:r>
            <w:r>
              <w:rPr>
                <w:iCs/>
                <w:i/>
              </w:rPr>
              <w:t xml:space="preserve">r̂</w:t>
            </w:r>
            <w:r>
              <w:t xml:space="preserve">_3L</w:t>
            </w:r>
          </w:p>
        </w:tc>
        <w:tc>
          <w:tcPr/>
          <w:p>
            <w:pPr>
              <w:pStyle w:val="Compact"/>
              <w:jc w:val="left"/>
            </w:pPr>
            <w:r>
              <w:t xml:space="preserve">0.075 (95% CI [0.061, 0.089])</w:t>
            </w:r>
          </w:p>
        </w:tc>
      </w:tr>
      <w:tr>
        <w:tc>
          <w:tcPr/>
          <w:p>
            <w:pPr>
              <w:pStyle w:val="Compact"/>
              <w:jc w:val="left"/>
            </w:pPr>
            <w:r>
              <w:rPr>
                <w:iCs/>
                <w:i/>
              </w:rPr>
              <w:t xml:space="preserve">Q</w:t>
            </w:r>
            <w:r>
              <w:t xml:space="preserve">_total</w:t>
            </w:r>
          </w:p>
        </w:tc>
        <w:tc>
          <w:tcPr/>
          <w:p>
            <w:pPr>
              <w:pStyle w:val="Compact"/>
              <w:jc w:val="left"/>
            </w:pPr>
            <w:r>
              <w:t xml:space="preserve">1,893.56 (</w:t>
            </w:r>
            <w:r>
              <w:rPr>
                <w:iCs/>
                <w:i/>
              </w:rPr>
              <w:t xml:space="preserve">df</w:t>
            </w:r>
            <w:r>
              <w:t xml:space="preserve"> </w:t>
            </w:r>
            <w:r>
              <w:t xml:space="preserve">= 284,</w:t>
            </w:r>
            <w:r>
              <w:t xml:space="preserve"> </w:t>
            </w:r>
            <w:r>
              <w:rPr>
                <w:iCs/>
                <w:i/>
              </w:rPr>
              <w:t xml:space="preserve">p</w:t>
            </w:r>
            <w:r>
              <w:t xml:space="preserve"> </w:t>
            </w:r>
            <w:r>
              <w:t xml:space="preserve">&lt; .001)</w:t>
            </w:r>
          </w:p>
        </w:tc>
      </w:tr>
    </w:tbl>
    <w:p>
      <w:pPr>
        <w:pStyle w:val="BodyText"/>
      </w:pPr>
      <w:r>
        <w:t xml:space="preserve">The three-level pooled estimate (</w:t>
      </w:r>
      <w:r>
        <w:rPr>
          <w:iCs/>
          <w:i/>
        </w:rPr>
        <w:t xml:space="preserve">r̂</w:t>
      </w:r>
      <w:r>
        <w:t xml:space="preserve"> </w:t>
      </w:r>
      <w:r>
        <w:t xml:space="preserve">= 0.075) is consistent with the ICBEF 2025 single-level baseline (</w:t>
      </w:r>
      <w:r>
        <w:rPr>
          <w:iCs/>
          <w:i/>
        </w:rPr>
        <w:t xml:space="preserve">r</w:t>
      </w:r>
      <w:r>
        <w:t xml:space="preserve"> </w:t>
      </w:r>
      <w:r>
        <w:t xml:space="preserve">= 0.07), confirming no systematic upward bias from ignoring multilevel nesting in the earlier analysis. Three-level decomposition reveals that the larger share of systematic heterogeneity lies within studies (Level 2,</w:t>
      </w:r>
      <w:r>
        <w:t xml:space="preserve"> </w:t>
      </w:r>
      <w:r>
        <w:rPr>
          <w:iCs/>
          <w:i/>
        </w:rPr>
        <w:t xml:space="preserve">I</w:t>
      </w:r>
      <w:r>
        <w:t xml:space="preserve">²_(2) = 54.1%), attributable to within-paper variation in DOI operationalization, performance measure type, and control variable specification across multiple reported models. Between-study variance (Level 3,</w:t>
      </w:r>
      <w:r>
        <w:t xml:space="preserve"> </w:t>
      </w:r>
      <w:r>
        <w:rPr>
          <w:iCs/>
          <w:i/>
        </w:rPr>
        <w:t xml:space="preserve">I</w:t>
      </w:r>
      <w:r>
        <w:t xml:space="preserve">²_(3) = 8.4%) captures the country-context differences that ICRV, cDAI, and DPL phase are designed to explain. Total I² = 62.5%, indicating substantial heterogeneity beyond sampling error — the motivation for moderator analysis.</w:t>
      </w:r>
    </w:p>
    <w:bookmarkEnd w:id="41"/>
    <w:bookmarkStart w:id="42" w:name="Xa97dc1af7f7d522b04ad4b6d2a4fed8000451ef"/>
    <w:p>
      <w:pPr>
        <w:pStyle w:val="Heading3"/>
      </w:pPr>
      <w:r>
        <w:t xml:space="preserve">4.3 ICRV 5-Regime Moderation (H1)</w:t>
      </w:r>
    </w:p>
    <w:p>
      <w:pPr>
        <w:pStyle w:val="FirstParagraph"/>
      </w:pPr>
      <w:r>
        <w:rPr>
          <w:iCs/>
          <w:i/>
        </w:rPr>
        <w:t xml:space="preserve">Q</w:t>
      </w:r>
      <w:r>
        <w:t xml:space="preserve">_M(ICRV) = 127.77 (</w:t>
      </w:r>
      <w:r>
        <w:rPr>
          <w:iCs/>
          <w:i/>
        </w:rPr>
        <w:t xml:space="preserve">df</w:t>
      </w:r>
      <w:r>
        <w:t xml:space="preserve"> </w:t>
      </w:r>
      <w:r>
        <w:t xml:space="preserve">= 4,</w:t>
      </w:r>
      <w:r>
        <w:t xml:space="preserve"> </w:t>
      </w:r>
      <w:r>
        <w:rPr>
          <w:iCs/>
          <w:i/>
        </w:rPr>
        <w:t xml:space="preserve">p</w:t>
      </w:r>
      <w:r>
        <w:t xml:space="preserve"> </w:t>
      </w:r>
      <w:r>
        <w:t xml:space="preserve">&lt; .001). H1 supported.</w:t>
      </w:r>
    </w:p>
    <w:p>
      <w:pPr>
        <w:pStyle w:val="BodyText"/>
      </w:pPr>
      <w:r>
        <w:rPr>
          <w:bCs/>
          <w:b/>
        </w:rPr>
        <w:t xml:space="preserve">Table 4.1 — ICRV 5-regime subgroup results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Regime</w:t>
            </w:r>
          </w:p>
        </w:tc>
        <w:tc>
          <w:tcPr/>
          <w:p>
            <w:pPr>
              <w:pStyle w:val="Compact"/>
              <w:jc w:val="left"/>
            </w:pPr>
            <w:r>
              <w:rPr>
                <w:iCs/>
                <w:i/>
              </w:rP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rPr>
                <w:iCs/>
                <w:i/>
              </w:rPr>
              <w:t xml:space="preserve">I</w:t>
            </w:r>
            <w:r>
              <w:t xml:space="preserve">²</w:t>
            </w:r>
          </w:p>
        </w:tc>
      </w:tr>
      <w:tr>
        <w:tc>
          <w:tcPr/>
          <w:p>
            <w:pPr>
              <w:pStyle w:val="Compact"/>
              <w:jc w:val="left"/>
            </w:pPr>
            <w:r>
              <w:t xml:space="preserve">I — Advanced-Innovation (SG, HK, KR, JP…)</w:t>
            </w:r>
          </w:p>
        </w:tc>
        <w:tc>
          <w:tcPr/>
          <w:p>
            <w:pPr>
              <w:pStyle w:val="Compact"/>
              <w:jc w:val="left"/>
            </w:pPr>
            <w:r>
              <w:t xml:space="preserve">~18</w:t>
            </w:r>
          </w:p>
        </w:tc>
        <w:tc>
          <w:tcPr/>
          <w:p>
            <w:pPr>
              <w:pStyle w:val="Compact"/>
              <w:jc w:val="left"/>
            </w:pPr>
            <w:r>
              <w:t xml:space="preserve">0.21</w:t>
            </w:r>
          </w:p>
        </w:tc>
        <w:tc>
          <w:tcPr/>
          <w:p>
            <w:pPr>
              <w:pStyle w:val="Compact"/>
              <w:jc w:val="left"/>
            </w:pPr>
            <w:r>
              <w:t xml:space="preserve">[0.12, 0.29]</w:t>
            </w:r>
          </w:p>
        </w:tc>
        <w:tc>
          <w:tcPr/>
          <w:p>
            <w:pPr>
              <w:pStyle w:val="Compact"/>
              <w:jc w:val="left"/>
            </w:pPr>
            <w:r>
              <w:t xml:space="preserve">61%</w:t>
            </w:r>
          </w:p>
        </w:tc>
      </w:tr>
      <w:tr>
        <w:tc>
          <w:tcPr/>
          <w:p>
            <w:pPr>
              <w:pStyle w:val="Compact"/>
              <w:jc w:val="left"/>
            </w:pPr>
            <w:r>
              <w:t xml:space="preserve">II — Upper-middle (CN, MY, TH…)</w:t>
            </w:r>
          </w:p>
        </w:tc>
        <w:tc>
          <w:tcPr/>
          <w:p>
            <w:pPr>
              <w:pStyle w:val="Compact"/>
              <w:jc w:val="left"/>
            </w:pPr>
            <w:r>
              <w:t xml:space="preserve">~42</w:t>
            </w:r>
          </w:p>
        </w:tc>
        <w:tc>
          <w:tcPr/>
          <w:p>
            <w:pPr>
              <w:pStyle w:val="Compact"/>
              <w:jc w:val="left"/>
            </w:pPr>
            <w:r>
              <w:t xml:space="preserve">0.12</w:t>
            </w:r>
          </w:p>
        </w:tc>
        <w:tc>
          <w:tcPr/>
          <w:p>
            <w:pPr>
              <w:pStyle w:val="Compact"/>
              <w:jc w:val="left"/>
            </w:pPr>
            <w:r>
              <w:t xml:space="preserve">[0.06, 0.17]</w:t>
            </w:r>
          </w:p>
        </w:tc>
        <w:tc>
          <w:tcPr/>
          <w:p>
            <w:pPr>
              <w:pStyle w:val="Compact"/>
              <w:jc w:val="left"/>
            </w:pPr>
            <w:r>
              <w:t xml:space="preserve">79%</w:t>
            </w:r>
          </w:p>
        </w:tc>
      </w:tr>
      <w:tr>
        <w:tc>
          <w:tcPr/>
          <w:p>
            <w:pPr>
              <w:pStyle w:val="Compact"/>
              <w:jc w:val="left"/>
            </w:pPr>
            <w:r>
              <w:t xml:space="preserve">III — Emerging (VN, IN, PH…)</w:t>
            </w:r>
          </w:p>
        </w:tc>
        <w:tc>
          <w:tcPr/>
          <w:p>
            <w:pPr>
              <w:pStyle w:val="Compact"/>
              <w:jc w:val="left"/>
            </w:pPr>
            <w:r>
              <w:t xml:space="preserve">~35</w:t>
            </w:r>
          </w:p>
        </w:tc>
        <w:tc>
          <w:tcPr/>
          <w:p>
            <w:pPr>
              <w:pStyle w:val="Compact"/>
              <w:jc w:val="left"/>
            </w:pPr>
            <w:r>
              <w:t xml:space="preserve">0.06</w:t>
            </w:r>
          </w:p>
        </w:tc>
        <w:tc>
          <w:tcPr/>
          <w:p>
            <w:pPr>
              <w:pStyle w:val="Compact"/>
              <w:jc w:val="left"/>
            </w:pPr>
            <w:r>
              <w:t xml:space="preserve">[0.01, 0.11]</w:t>
            </w:r>
          </w:p>
        </w:tc>
        <w:tc>
          <w:tcPr/>
          <w:p>
            <w:pPr>
              <w:pStyle w:val="Compact"/>
              <w:jc w:val="left"/>
            </w:pPr>
            <w:r>
              <w:t xml:space="preserve">84%</w:t>
            </w:r>
          </w:p>
        </w:tc>
      </w:tr>
      <w:tr>
        <w:tc>
          <w:tcPr/>
          <w:p>
            <w:pPr>
              <w:pStyle w:val="Compact"/>
              <w:jc w:val="left"/>
            </w:pPr>
            <w:r>
              <w:t xml:space="preserve">IV — SIDS (Pacific islands)</w:t>
            </w:r>
          </w:p>
        </w:tc>
        <w:tc>
          <w:tcPr/>
          <w:p>
            <w:pPr>
              <w:pStyle w:val="Compact"/>
              <w:jc w:val="left"/>
            </w:pPr>
            <w:r>
              <w:t xml:space="preserve">~5</w:t>
            </w:r>
          </w:p>
        </w:tc>
        <w:tc>
          <w:tcPr/>
          <w:p>
            <w:pPr>
              <w:pStyle w:val="Compact"/>
              <w:jc w:val="left"/>
            </w:pPr>
            <w:r>
              <w:t xml:space="preserve">−0.04</w:t>
            </w:r>
          </w:p>
        </w:tc>
        <w:tc>
          <w:tcPr/>
          <w:p>
            <w:pPr>
              <w:pStyle w:val="Compact"/>
              <w:jc w:val="left"/>
            </w:pPr>
            <w:r>
              <w:t xml:space="preserve">[−0.15, 0.08]</w:t>
            </w:r>
          </w:p>
        </w:tc>
        <w:tc>
          <w:tcPr/>
          <w:p>
            <w:pPr>
              <w:pStyle w:val="Compact"/>
              <w:jc w:val="left"/>
            </w:pPr>
            <w:r>
              <w:t xml:space="preserve">43%</w:t>
            </w:r>
          </w:p>
        </w:tc>
      </w:tr>
      <w:tr>
        <w:tc>
          <w:tcPr/>
          <w:p>
            <w:pPr>
              <w:pStyle w:val="Compact"/>
              <w:jc w:val="left"/>
            </w:pPr>
            <w:r>
              <w:t xml:space="preserve">V — Frontier (BD, MM…)</w:t>
            </w:r>
          </w:p>
        </w:tc>
        <w:tc>
          <w:tcPr/>
          <w:p>
            <w:pPr>
              <w:pStyle w:val="Compact"/>
              <w:jc w:val="left"/>
            </w:pPr>
            <w:r>
              <w:t xml:space="preserve">~10</w:t>
            </w:r>
          </w:p>
        </w:tc>
        <w:tc>
          <w:tcPr/>
          <w:p>
            <w:pPr>
              <w:pStyle w:val="Compact"/>
              <w:jc w:val="left"/>
            </w:pPr>
            <w:r>
              <w:t xml:space="preserve">−0.02</w:t>
            </w:r>
          </w:p>
        </w:tc>
        <w:tc>
          <w:tcPr/>
          <w:p>
            <w:pPr>
              <w:pStyle w:val="Compact"/>
              <w:jc w:val="left"/>
            </w:pPr>
            <w:r>
              <w:t xml:space="preserve">[−0.09, 0.06]</w:t>
            </w:r>
          </w:p>
        </w:tc>
        <w:tc>
          <w:tcPr/>
          <w:p>
            <w:pPr>
              <w:pStyle w:val="Compact"/>
              <w:jc w:val="left"/>
            </w:pPr>
            <w:r>
              <w:t xml:space="preserve">71%</w:t>
            </w:r>
          </w:p>
        </w:tc>
      </w:tr>
    </w:tbl>
    <w:p>
      <w:pPr>
        <w:pStyle w:val="BodyText"/>
      </w:pPr>
      <w:r>
        <w:t xml:space="preserve">Figure 2: ICRV 5-regime forest plot — subgroup pooled effects with 95% CI</w:t>
      </w:r>
    </w:p>
    <w:p>
      <w:pPr>
        <w:pStyle w:val="BodyText"/>
      </w:pPr>
      <w:r>
        <w:rPr>
          <w:iCs/>
          <w:i/>
        </w:rPr>
        <w:t xml:space="preserve">Figure 2.</w:t>
      </w:r>
      <w:r>
        <w:t xml:space="preserve"> </w:t>
      </w:r>
      <w:r>
        <w:t xml:space="preserve">ICRV subgroup forest plot. Pooled</w:t>
      </w:r>
      <w:r>
        <w:t xml:space="preserve"> </w:t>
      </w:r>
      <w:r>
        <w:rPr>
          <w:iCs/>
          <w:i/>
        </w:rPr>
        <w:t xml:space="preserve">r̄</w:t>
      </w:r>
      <w:r>
        <w:t xml:space="preserve"> </w:t>
      </w:r>
      <w:r>
        <w:t xml:space="preserve">and 95% CI for each of the five institutional regimes.</w:t>
      </w:r>
    </w:p>
    <w:p>
      <w:pPr>
        <w:pStyle w:val="BodyText"/>
      </w:pPr>
      <w:r>
        <w:t xml:space="preserve">The gradient confirms H1a (Advanced</w:t>
      </w:r>
      <w:r>
        <w:t xml:space="preserve"> </w:t>
      </w:r>
      <w:r>
        <w:rPr>
          <w:iCs/>
          <w:i/>
        </w:rPr>
        <w:t xml:space="preserve">r̄</w:t>
      </w:r>
      <w:r>
        <w:t xml:space="preserve"> </w:t>
      </w:r>
      <w:r>
        <w:t xml:space="preserve">= 0.21) and provides partial support for H1b (Frontier/SIDS</w:t>
      </w:r>
      <w:r>
        <w:t xml:space="preserve"> </w:t>
      </w:r>
      <w:r>
        <w:rPr>
          <w:iCs/>
          <w:i/>
        </w:rPr>
        <w:t xml:space="preserve">r̄</w:t>
      </w:r>
      <w:r>
        <w:t xml:space="preserve"> </w:t>
      </w:r>
      <w:r>
        <w:t xml:space="preserve">near zero; wide CIs prevent definitive negative conclusion for SIDS at</w:t>
      </w:r>
      <w:r>
        <w:t xml:space="preserve"> </w:t>
      </w:r>
      <w:r>
        <w:rPr>
          <w:iCs/>
          <w:i/>
        </w:rPr>
        <w:t xml:space="preserve">k</w:t>
      </w:r>
      <w:r>
        <w:t xml:space="preserve"> </w:t>
      </w:r>
      <w:r>
        <w:t xml:space="preserve">≈ 5). The pattern is consistent with Capability–Institution Mismatch Theory: institutional quality amplifies the productivity returns to internationalization by reducing coordination costs and protecting rents from knowledge transfer (Kogut &amp; Zander, 1993).</w:t>
      </w:r>
    </w:p>
    <w:p>
      <w:pPr>
        <w:pStyle w:val="BodyText"/>
      </w:pPr>
      <w:r>
        <w:t xml:space="preserve">Firms from ICRV-I countries show I→P effects threefold the baseline average (</w:t>
      </w:r>
      <w:r>
        <w:rPr>
          <w:iCs/>
          <w:i/>
        </w:rPr>
        <w:t xml:space="preserve">r̄</w:t>
      </w:r>
      <w:r>
        <w:t xml:space="preserve"> </w:t>
      </w:r>
      <w:r>
        <w:t xml:space="preserve">= 0.21 vs. pooled 0.07). This is consistent with the institutional complementarity argument: in high-quality institutional environments, firms can sustain productive export intensification well beyond levels viable in Emerging or Frontier contexts, where coordination costs accumulate faster (Khanna &amp; Palepu, 2010).</w:t>
      </w:r>
    </w:p>
    <w:bookmarkEnd w:id="42"/>
    <w:bookmarkStart w:id="43" w:name="X541c92fe8ae9c523bbb1875dcc9c5525c218523"/>
    <w:p>
      <w:pPr>
        <w:pStyle w:val="Heading3"/>
      </w:pPr>
      <w:r>
        <w:t xml:space="preserve">4.4 cDAI Moderation (H3)</w:t>
      </w:r>
    </w:p>
    <w:p>
      <w:pPr>
        <w:pStyle w:val="FirstParagraph"/>
      </w:pPr>
      <w:r>
        <w:t xml:space="preserve">Meta-regression with continuous cDAI score: β_cDAI = +0.089 (</w:t>
      </w:r>
      <w:r>
        <w:rPr>
          <w:iCs/>
          <w:i/>
        </w:rPr>
        <w:t xml:space="preserve">SE</w:t>
      </w:r>
      <w:r>
        <w:t xml:space="preserve"> </w:t>
      </w:r>
      <w:r>
        <w:t xml:space="preserve">= 0.039,</w:t>
      </w:r>
      <w:r>
        <w:t xml:space="preserve"> </w:t>
      </w:r>
      <w:r>
        <w:rPr>
          <w:iCs/>
          <w:i/>
        </w:rPr>
        <w:t xml:space="preserve">p</w:t>
      </w:r>
      <w:r>
        <w:t xml:space="preserve"> </w:t>
      </w:r>
      <w:r>
        <w:t xml:space="preserve">= .024). H3 supported.</w:t>
      </w:r>
    </w:p>
    <w:p>
      <w:pPr>
        <w:pStyle w:val="BodyText"/>
      </w:pPr>
      <w:r>
        <w:rPr>
          <w:bCs/>
          <w:b/>
        </w:rPr>
        <w:t xml:space="preserve">Table 4.2 — cDAI subgroup</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cDAI Group</w:t>
            </w:r>
          </w:p>
        </w:tc>
        <w:tc>
          <w:tcPr/>
          <w:p>
            <w:pPr>
              <w:pStyle w:val="Compact"/>
              <w:jc w:val="left"/>
            </w:pPr>
            <w:r>
              <w:rPr>
                <w:iCs/>
                <w:i/>
              </w:rPr>
              <w:t xml:space="preserve">k</w:t>
            </w:r>
          </w:p>
        </w:tc>
        <w:tc>
          <w:tcPr/>
          <w:p>
            <w:pPr>
              <w:pStyle w:val="Compact"/>
              <w:jc w:val="left"/>
            </w:pPr>
            <w:r>
              <w:rPr>
                <w:iCs/>
                <w:i/>
              </w:rPr>
              <w:t xml:space="preserve">r̄</w:t>
            </w:r>
          </w:p>
        </w:tc>
        <w:tc>
          <w:tcPr/>
          <w:p>
            <w:pPr>
              <w:pStyle w:val="Compact"/>
              <w:jc w:val="left"/>
            </w:pPr>
            <w:r>
              <w:t xml:space="preserve">95% CI</w:t>
            </w:r>
          </w:p>
        </w:tc>
      </w:tr>
      <w:tr>
        <w:tc>
          <w:tcPr/>
          <w:p>
            <w:pPr>
              <w:pStyle w:val="Compact"/>
              <w:jc w:val="left"/>
            </w:pPr>
            <w:r>
              <w:t xml:space="preserve">High (Q4, cDAI ≥ p75)</w:t>
            </w:r>
          </w:p>
        </w:tc>
        <w:tc>
          <w:tcPr/>
          <w:p>
            <w:pPr>
              <w:pStyle w:val="Compact"/>
              <w:jc w:val="left"/>
            </w:pPr>
            <w:r>
              <w:t xml:space="preserve">~33</w:t>
            </w:r>
          </w:p>
        </w:tc>
        <w:tc>
          <w:tcPr/>
          <w:p>
            <w:pPr>
              <w:pStyle w:val="Compact"/>
              <w:jc w:val="left"/>
            </w:pPr>
            <w:r>
              <w:t xml:space="preserve">0.14</w:t>
            </w:r>
          </w:p>
        </w:tc>
        <w:tc>
          <w:tcPr/>
          <w:p>
            <w:pPr>
              <w:pStyle w:val="Compact"/>
              <w:jc w:val="left"/>
            </w:pPr>
            <w:r>
              <w:t xml:space="preserve">[0.08, 0.20]</w:t>
            </w:r>
          </w:p>
        </w:tc>
      </w:tr>
      <w:tr>
        <w:tc>
          <w:tcPr/>
          <w:p>
            <w:pPr>
              <w:pStyle w:val="Compact"/>
              <w:jc w:val="left"/>
            </w:pPr>
            <w:r>
              <w:t xml:space="preserve">Medium (Q2–Q3)</w:t>
            </w:r>
          </w:p>
        </w:tc>
        <w:tc>
          <w:tcPr/>
          <w:p>
            <w:pPr>
              <w:pStyle w:val="Compact"/>
              <w:jc w:val="left"/>
            </w:pPr>
            <w:r>
              <w:t xml:space="preserve">~65</w:t>
            </w:r>
          </w:p>
        </w:tc>
        <w:tc>
          <w:tcPr/>
          <w:p>
            <w:pPr>
              <w:pStyle w:val="Compact"/>
              <w:jc w:val="left"/>
            </w:pPr>
            <w:r>
              <w:t xml:space="preserve">0.07</w:t>
            </w:r>
          </w:p>
        </w:tc>
        <w:tc>
          <w:tcPr/>
          <w:p>
            <w:pPr>
              <w:pStyle w:val="Compact"/>
              <w:jc w:val="left"/>
            </w:pPr>
            <w:r>
              <w:t xml:space="preserve">[0.03, 0.10]</w:t>
            </w:r>
          </w:p>
        </w:tc>
      </w:tr>
      <w:tr>
        <w:tc>
          <w:tcPr/>
          <w:p>
            <w:pPr>
              <w:pStyle w:val="Compact"/>
              <w:jc w:val="left"/>
            </w:pPr>
            <w:r>
              <w:t xml:space="preserve">Low (Q1, cDAI ≤ p25)</w:t>
            </w:r>
          </w:p>
        </w:tc>
        <w:tc>
          <w:tcPr/>
          <w:p>
            <w:pPr>
              <w:pStyle w:val="Compact"/>
              <w:jc w:val="left"/>
            </w:pPr>
            <w:r>
              <w:t xml:space="preserve">~32</w:t>
            </w:r>
          </w:p>
        </w:tc>
        <w:tc>
          <w:tcPr/>
          <w:p>
            <w:pPr>
              <w:pStyle w:val="Compact"/>
              <w:jc w:val="left"/>
            </w:pPr>
            <w:r>
              <w:t xml:space="preserve">0.02</w:t>
            </w:r>
          </w:p>
        </w:tc>
        <w:tc>
          <w:tcPr/>
          <w:p>
            <w:pPr>
              <w:pStyle w:val="Compact"/>
              <w:jc w:val="left"/>
            </w:pPr>
            <w:r>
              <w:t xml:space="preserve">[−0.04, 0.08]</w:t>
            </w:r>
          </w:p>
        </w:tc>
      </w:tr>
    </w:tbl>
    <w:p>
      <w:pPr>
        <w:pStyle w:val="BodyText"/>
      </w:pPr>
      <w:r>
        <w:t xml:space="preserve">The cDAI × DPL Follow interaction is positive and significant (β = +0.112,</w:t>
      </w:r>
      <w:r>
        <w:t xml:space="preserve"> </w:t>
      </w:r>
      <w:r>
        <w:rPr>
          <w:iCs/>
          <w:i/>
        </w:rPr>
        <w:t xml:space="preserve">p</w:t>
      </w:r>
      <w:r>
        <w:t xml:space="preserve"> </w:t>
      </w:r>
      <w:r>
        <w:t xml:space="preserve">= .038); the cDAI × DPL Precede interaction is not significant (β = +0.021,</w:t>
      </w:r>
      <w:r>
        <w:t xml:space="preserve"> </w:t>
      </w:r>
      <w:r>
        <w:rPr>
          <w:iCs/>
          <w:i/>
        </w:rPr>
        <w:t xml:space="preserve">p</w:t>
      </w:r>
      <w:r>
        <w:t xml:space="preserve"> </w:t>
      </w:r>
      <w:r>
        <w:t xml:space="preserve">= .61). This confirms the CDCM: national digital infrastructure amplifies I→P only after digital platforms reach maturity sufficient to compress coordination costs — i.e., in the DPL Follow phase (post-2014).</w:t>
      </w:r>
    </w:p>
    <w:bookmarkEnd w:id="43"/>
    <w:bookmarkStart w:id="44" w:name="X0f13fb15b20194b37c5b9d050ad7a7079c0644a"/>
    <w:p>
      <w:pPr>
        <w:pStyle w:val="Heading3"/>
      </w:pPr>
      <w:r>
        <w:t xml:space="preserve">4.5 DPL Phase Moderation (H2)</w:t>
      </w:r>
    </w:p>
    <w:p>
      <w:pPr>
        <w:pStyle w:val="FirstParagraph"/>
      </w:pPr>
      <w:r>
        <w:rPr>
          <w:iCs/>
          <w:i/>
        </w:rPr>
        <w:t xml:space="preserve">Q</w:t>
      </w:r>
      <w:r>
        <w:t xml:space="preserve">_DPL = 104.92 (</w:t>
      </w:r>
      <w:r>
        <w:rPr>
          <w:iCs/>
          <w:i/>
        </w:rPr>
        <w:t xml:space="preserve">df</w:t>
      </w:r>
      <w:r>
        <w:t xml:space="preserve"> </w:t>
      </w:r>
      <w:r>
        <w:t xml:space="preserve">= 2,</w:t>
      </w:r>
      <w:r>
        <w:t xml:space="preserve"> </w:t>
      </w:r>
      <w:r>
        <w:rPr>
          <w:iCs/>
          <w:i/>
        </w:rPr>
        <w:t xml:space="preserve">p</w:t>
      </w:r>
      <w:r>
        <w:t xml:space="preserve"> </w:t>
      </w:r>
      <w:r>
        <w:t xml:space="preserve">&lt; .001). H2 supported.</w:t>
      </w:r>
    </w:p>
    <w:p>
      <w:pPr>
        <w:pStyle w:val="BodyText"/>
      </w:pPr>
      <w:r>
        <w:rPr>
          <w:bCs/>
          <w:b/>
        </w:rPr>
        <w:t xml:space="preserve">Table 4.3 — DPL phase subgroup</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DPL Phase</w:t>
            </w:r>
          </w:p>
        </w:tc>
        <w:tc>
          <w:tcPr/>
          <w:p>
            <w:pPr>
              <w:pStyle w:val="Compact"/>
              <w:jc w:val="left"/>
            </w:pPr>
            <w:r>
              <w:t xml:space="preserve">Definition</w:t>
            </w:r>
          </w:p>
        </w:tc>
        <w:tc>
          <w:tcPr/>
          <w:p>
            <w:pPr>
              <w:pStyle w:val="Compact"/>
              <w:jc w:val="left"/>
            </w:pPr>
            <w:r>
              <w:rPr>
                <w:iCs/>
                <w:i/>
              </w:rPr>
              <w:t xml:space="preserve">k</w:t>
            </w:r>
          </w:p>
        </w:tc>
        <w:tc>
          <w:tcPr/>
          <w:p>
            <w:pPr>
              <w:pStyle w:val="Compact"/>
              <w:jc w:val="left"/>
            </w:pPr>
            <w:r>
              <w:rPr>
                <w:iCs/>
                <w:i/>
              </w:rPr>
              <w:t xml:space="preserve">r̄</w:t>
            </w:r>
          </w:p>
        </w:tc>
        <w:tc>
          <w:tcPr/>
          <w:p>
            <w:pPr>
              <w:pStyle w:val="Compact"/>
              <w:jc w:val="left"/>
            </w:pPr>
            <w:r>
              <w:t xml:space="preserve">95% CI</w:t>
            </w:r>
          </w:p>
        </w:tc>
      </w:tr>
      <w:tr>
        <w:tc>
          <w:tcPr/>
          <w:p>
            <w:pPr>
              <w:pStyle w:val="Compact"/>
              <w:jc w:val="left"/>
            </w:pPr>
            <w:r>
              <w:t xml:space="preserve">Precede</w:t>
            </w:r>
          </w:p>
        </w:tc>
        <w:tc>
          <w:tcPr/>
          <w:p>
            <w:pPr>
              <w:pStyle w:val="Compact"/>
              <w:jc w:val="left"/>
            </w:pPr>
            <w:r>
              <w:t xml:space="preserve">Data predominantly pre-2009</w:t>
            </w:r>
          </w:p>
        </w:tc>
        <w:tc>
          <w:tcPr/>
          <w:p>
            <w:pPr>
              <w:pStyle w:val="Compact"/>
              <w:jc w:val="left"/>
            </w:pPr>
            <w:r>
              <w:t xml:space="preserve">~38</w:t>
            </w:r>
          </w:p>
        </w:tc>
        <w:tc>
          <w:tcPr/>
          <w:p>
            <w:pPr>
              <w:pStyle w:val="Compact"/>
              <w:jc w:val="left"/>
            </w:pPr>
            <w:r>
              <w:t xml:space="preserve">0.03</w:t>
            </w:r>
          </w:p>
        </w:tc>
        <w:tc>
          <w:tcPr/>
          <w:p>
            <w:pPr>
              <w:pStyle w:val="Compact"/>
              <w:jc w:val="left"/>
            </w:pPr>
            <w:r>
              <w:t xml:space="preserve">[−0.02, 0.08]</w:t>
            </w:r>
          </w:p>
        </w:tc>
      </w:tr>
      <w:tr>
        <w:tc>
          <w:tcPr/>
          <w:p>
            <w:pPr>
              <w:pStyle w:val="Compact"/>
              <w:jc w:val="left"/>
            </w:pPr>
            <w:r>
              <w:t xml:space="preserve">Span</w:t>
            </w:r>
          </w:p>
        </w:tc>
        <w:tc>
          <w:tcPr/>
          <w:p>
            <w:pPr>
              <w:pStyle w:val="Compact"/>
              <w:jc w:val="left"/>
            </w:pPr>
            <w:r>
              <w:t xml:space="preserve">Data spanning 2005–2014</w:t>
            </w:r>
          </w:p>
        </w:tc>
        <w:tc>
          <w:tcPr/>
          <w:p>
            <w:pPr>
              <w:pStyle w:val="Compact"/>
              <w:jc w:val="left"/>
            </w:pPr>
            <w:r>
              <w:t xml:space="preserve">~52</w:t>
            </w:r>
          </w:p>
        </w:tc>
        <w:tc>
          <w:tcPr/>
          <w:p>
            <w:pPr>
              <w:pStyle w:val="Compact"/>
              <w:jc w:val="left"/>
            </w:pPr>
            <w:r>
              <w:t xml:space="preserve">0.07</w:t>
            </w:r>
          </w:p>
        </w:tc>
        <w:tc>
          <w:tcPr/>
          <w:p>
            <w:pPr>
              <w:pStyle w:val="Compact"/>
              <w:jc w:val="left"/>
            </w:pPr>
            <w:r>
              <w:t xml:space="preserve">[0.03, 0.11]</w:t>
            </w:r>
          </w:p>
        </w:tc>
      </w:tr>
      <w:tr>
        <w:tc>
          <w:tcPr/>
          <w:p>
            <w:pPr>
              <w:pStyle w:val="Compact"/>
              <w:jc w:val="left"/>
            </w:pPr>
            <w:r>
              <w:t xml:space="preserve">Follow</w:t>
            </w:r>
          </w:p>
        </w:tc>
        <w:tc>
          <w:tcPr/>
          <w:p>
            <w:pPr>
              <w:pStyle w:val="Compact"/>
              <w:jc w:val="left"/>
            </w:pPr>
            <w:r>
              <w:t xml:space="preserve">Data predominantly post-2014</w:t>
            </w:r>
          </w:p>
        </w:tc>
        <w:tc>
          <w:tcPr/>
          <w:p>
            <w:pPr>
              <w:pStyle w:val="Compact"/>
              <w:jc w:val="left"/>
            </w:pPr>
            <w:r>
              <w:t xml:space="preserve">~40</w:t>
            </w:r>
          </w:p>
        </w:tc>
        <w:tc>
          <w:tcPr/>
          <w:p>
            <w:pPr>
              <w:pStyle w:val="Compact"/>
              <w:jc w:val="left"/>
            </w:pPr>
            <w:r>
              <w:t xml:space="preserve">0.13</w:t>
            </w:r>
          </w:p>
        </w:tc>
        <w:tc>
          <w:tcPr/>
          <w:p>
            <w:pPr>
              <w:pStyle w:val="Compact"/>
              <w:jc w:val="left"/>
            </w:pPr>
            <w:r>
              <w:t xml:space="preserve">[0.07, 0.18]</w:t>
            </w:r>
          </w:p>
        </w:tc>
      </w:tr>
    </w:tbl>
    <w:p>
      <w:pPr>
        <w:pStyle w:val="BodyText"/>
      </w:pPr>
      <w:r>
        <w:t xml:space="preserve">Pairwise z-tests (Paternoster et al., 1998): Follow vs. Precede (</w:t>
      </w:r>
      <w:r>
        <w:rPr>
          <w:iCs/>
          <w:i/>
        </w:rPr>
        <w:t xml:space="preserve">z</w:t>
      </w:r>
      <w:r>
        <w:t xml:space="preserve"> </w:t>
      </w:r>
      <w:r>
        <w:t xml:space="preserve">= 3.1,</w:t>
      </w:r>
      <w:r>
        <w:t xml:space="preserve"> </w:t>
      </w:r>
      <w:r>
        <w:rPr>
          <w:iCs/>
          <w:i/>
        </w:rPr>
        <w:t xml:space="preserve">p</w:t>
      </w:r>
      <w:r>
        <w:t xml:space="preserve"> </w:t>
      </w:r>
      <w:r>
        <w:t xml:space="preserve">= .002); Follow vs. Span (</w:t>
      </w:r>
      <w:r>
        <w:rPr>
          <w:iCs/>
          <w:i/>
        </w:rPr>
        <w:t xml:space="preserve">z</w:t>
      </w:r>
      <w:r>
        <w:t xml:space="preserve"> </w:t>
      </w:r>
      <w:r>
        <w:t xml:space="preserve">= 2.0,</w:t>
      </w:r>
      <w:r>
        <w:t xml:space="preserve"> </w:t>
      </w:r>
      <w:r>
        <w:rPr>
          <w:iCs/>
          <w:i/>
        </w:rPr>
        <w:t xml:space="preserve">p</w:t>
      </w:r>
      <w:r>
        <w:t xml:space="preserve"> </w:t>
      </w:r>
      <w:r>
        <w:t xml:space="preserve">= .046); Span vs. Precede (</w:t>
      </w:r>
      <w:r>
        <w:rPr>
          <w:iCs/>
          <w:i/>
        </w:rPr>
        <w:t xml:space="preserve">z</w:t>
      </w:r>
      <w:r>
        <w:t xml:space="preserve"> </w:t>
      </w:r>
      <w:r>
        <w:t xml:space="preserve">= 1.4,</w:t>
      </w:r>
      <w:r>
        <w:t xml:space="preserve"> </w:t>
      </w:r>
      <w:r>
        <w:rPr>
          <w:iCs/>
          <w:i/>
        </w:rPr>
        <w:t xml:space="preserve">p</w:t>
      </w:r>
      <w:r>
        <w:t xml:space="preserve"> </w:t>
      </w:r>
      <w:r>
        <w:t xml:space="preserve">= .15, n.s.). The significant Follow vs. Span comparison confirms that the DPL inflection is concentrated in the post-2014 period, consistent with Brynjolfsson et al.'s (2021) J-curve timeline: digital infrastructure benefits materialize with a 5–7 year lag after mainstream adoption.</w:t>
      </w:r>
    </w:p>
    <w:p>
      <w:pPr>
        <w:pStyle w:val="BodyText"/>
      </w:pPr>
      <w:r>
        <w:t xml:space="preserve">Figure 3: DPL phase moderation — pooled I→P effect by digital adoption epoch</w:t>
      </w:r>
    </w:p>
    <w:p>
      <w:pPr>
        <w:pStyle w:val="BodyText"/>
      </w:pPr>
      <w:r>
        <w:rPr>
          <w:iCs/>
          <w:i/>
        </w:rPr>
        <w:t xml:space="preserve">Figure 3.</w:t>
      </w:r>
      <w:r>
        <w:t xml:space="preserve"> </w:t>
      </w:r>
      <w:r>
        <w:t xml:space="preserve">DPL phase subgroup results. Pooled effect sizes by Precede / Span / Follow epoch, with 95% CI. The J-curve pattern (monotonic increase from Precede to Follow) is consistent with H2.</w:t>
      </w:r>
    </w:p>
    <w:bookmarkEnd w:id="44"/>
    <w:bookmarkStart w:id="45" w:name="X19c46ecf699f27e790e5a8fa6520cb51f104e4a"/>
    <w:p>
      <w:pPr>
        <w:pStyle w:val="Heading3"/>
      </w:pPr>
      <w:r>
        <w:t xml:space="preserve">4.6 Publication Bias (H4)</w:t>
      </w:r>
    </w:p>
    <w:p>
      <w:pPr>
        <w:pStyle w:val="FirstParagraph"/>
      </w:pPr>
      <w:r>
        <w:t xml:space="preserve">Egger's regression test intercept:</w:t>
      </w:r>
      <w:r>
        <w:t xml:space="preserve"> </w:t>
      </w:r>
      <w:r>
        <w:rPr>
          <w:iCs/>
          <w:i/>
        </w:rPr>
        <w:t xml:space="preserve">b</w:t>
      </w:r>
      <w:r>
        <w:t xml:space="preserve"> </w:t>
      </w:r>
      <w:r>
        <w:t xml:space="preserve">= 0.41 (</w:t>
      </w:r>
      <w:r>
        <w:rPr>
          <w:iCs/>
          <w:i/>
        </w:rPr>
        <w:t xml:space="preserve">SE</w:t>
      </w:r>
      <w:r>
        <w:t xml:space="preserve"> </w:t>
      </w:r>
      <w:r>
        <w:t xml:space="preserve">= 0.19,</w:t>
      </w:r>
      <w:r>
        <w:t xml:space="preserve"> </w:t>
      </w:r>
      <w:r>
        <w:rPr>
          <w:iCs/>
          <w:i/>
        </w:rPr>
        <w:t xml:space="preserve">p</w:t>
      </w:r>
      <w:r>
        <w:t xml:space="preserve"> </w:t>
      </w:r>
      <w:r>
        <w:t xml:space="preserve">= .032) — mild asymmetry detected. Trim-and-fill imputes missing studies and adjusts pooled</w:t>
      </w:r>
      <w:r>
        <w:t xml:space="preserve"> </w:t>
      </w:r>
      <w:r>
        <w:rPr>
          <w:iCs/>
          <w:i/>
        </w:rPr>
        <w:t xml:space="preserve">r̄</w:t>
      </w:r>
      <w:r>
        <w:t xml:space="preserve"> </w:t>
      </w:r>
      <w:r>
        <w:t xml:space="preserve">from 0.075 to 0.035 (95% CI positive and significant) — effect remains positive and significant despite the conservative correction. Fail-safe</w:t>
      </w:r>
      <w:r>
        <w:t xml:space="preserve"> </w:t>
      </w:r>
      <w:r>
        <w:rPr>
          <w:iCs/>
          <w:i/>
        </w:rPr>
        <w:t xml:space="preserve">N</w:t>
      </w:r>
      <w:r>
        <w:t xml:space="preserve"> </w:t>
      </w:r>
      <w:r>
        <w:t xml:space="preserve">= 45,215 studies: far exceeding the Rosenthal (1991) criterion of 5</w:t>
      </w:r>
      <w:r>
        <w:rPr>
          <w:iCs/>
          <w:i/>
        </w:rPr>
        <w:t xml:space="preserve">k</w:t>
      </w:r>
      <w:r>
        <w:t xml:space="preserve"> </w:t>
      </w:r>
      <w:r>
        <w:t xml:space="preserve">+ 10 = 1,185; publication bias cannot eliminate the positive effect. H4 supported: publication bias is present but not publication-altering.</w:t>
      </w:r>
    </w:p>
    <w:p>
      <w:pPr>
        <w:pStyle w:val="BodyText"/>
      </w:pPr>
      <w:r>
        <w:t xml:space="preserve">Figure 5: Funnel plot with trim-and-fill imputed studies</w:t>
      </w:r>
    </w:p>
    <w:p>
      <w:pPr>
        <w:pStyle w:val="BodyText"/>
      </w:pPr>
      <w:r>
        <w:rPr>
          <w:iCs/>
          <w:i/>
        </w:rPr>
        <w:t xml:space="preserve">Figure 5.</w:t>
      </w:r>
      <w:r>
        <w:t xml:space="preserve"> </w:t>
      </w:r>
      <w:r>
        <w:t xml:space="preserve">Funnel plot of effect sizes against standard errors. Open circles = original studies; filled circles = trim-and-fill imputed studies (</w:t>
      </w:r>
      <w:r>
        <w:rPr>
          <w:iCs/>
          <w:i/>
        </w:rPr>
        <w:t xml:space="preserve">k</w:t>
      </w:r>
      <w:r>
        <w:t xml:space="preserve"> </w:t>
      </w:r>
      <w:r>
        <w:t xml:space="preserve">= 8). Mild left-side asymmetry is visible but does not reverse the positive pooled effect.</w:t>
      </w:r>
    </w:p>
    <w:bookmarkEnd w:id="45"/>
    <w:bookmarkStart w:id="46" w:name="X2944bef6cd2d25cd29d80b35f2bf895bc8ca4c2"/>
    <w:p>
      <w:pPr>
        <w:pStyle w:val="Heading3"/>
      </w:pPr>
      <w:r>
        <w:t xml:space="preserve">4.7 Robustness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Check</w:t>
            </w:r>
          </w:p>
        </w:tc>
        <w:tc>
          <w:tcPr/>
          <w:p>
            <w:pPr>
              <w:pStyle w:val="Compact"/>
              <w:jc w:val="left"/>
            </w:pPr>
            <w:r>
              <w:t xml:space="preserve">Result</w:t>
            </w:r>
          </w:p>
        </w:tc>
      </w:tr>
      <w:tr>
        <w:tc>
          <w:tcPr/>
          <w:p>
            <w:pPr>
              <w:pStyle w:val="Compact"/>
              <w:jc w:val="left"/>
            </w:pPr>
            <w:r>
              <w:t xml:space="preserve">Two-level vs. three-level</w:t>
            </w:r>
          </w:p>
        </w:tc>
        <w:tc>
          <w:tcPr/>
          <w:p>
            <w:pPr>
              <w:pStyle w:val="Compact"/>
              <w:jc w:val="left"/>
            </w:pPr>
            <w:r>
              <w:t xml:space="preserve">Δ</w:t>
            </w:r>
            <w:r>
              <w:rPr>
                <w:iCs/>
                <w:i/>
              </w:rPr>
              <w:t xml:space="preserve">r</w:t>
            </w:r>
            <w:r>
              <w:t xml:space="preserve"> </w:t>
            </w:r>
            <w:r>
              <w:t xml:space="preserve">&lt; 0.01; no bias from single-level</w:t>
            </w:r>
          </w:p>
        </w:tc>
      </w:tr>
      <w:tr>
        <w:tc>
          <w:tcPr/>
          <w:p>
            <w:pPr>
              <w:pStyle w:val="Compact"/>
              <w:jc w:val="left"/>
            </w:pPr>
            <w:r>
              <w:t xml:space="preserve">Leave-one-out</w:t>
            </w:r>
          </w:p>
        </w:tc>
        <w:tc>
          <w:tcPr/>
          <w:p>
            <w:pPr>
              <w:pStyle w:val="Compact"/>
              <w:jc w:val="left"/>
            </w:pPr>
            <w:r>
              <w:t xml:space="preserve">No single study shifts estimate &gt; 0.02; no Cook's D outlier</w:t>
            </w:r>
          </w:p>
        </w:tc>
      </w:tr>
      <w:tr>
        <w:tc>
          <w:tcPr/>
          <w:p>
            <w:pPr>
              <w:pStyle w:val="Compact"/>
              <w:jc w:val="left"/>
            </w:pPr>
            <w:r>
              <w:t xml:space="preserve">FSTS-only restriction</w:t>
            </w:r>
          </w:p>
        </w:tc>
        <w:tc>
          <w:tcPr/>
          <w:p>
            <w:pPr>
              <w:pStyle w:val="Compact"/>
              <w:jc w:val="left"/>
            </w:pPr>
            <w:r>
              <w:rPr>
                <w:iCs/>
                <w:i/>
              </w:rPr>
              <w:t xml:space="preserve">r̄</w:t>
            </w:r>
            <w:r>
              <w:t xml:space="preserve"> </w:t>
            </w:r>
            <w:r>
              <w:t xml:space="preserve">= 0.09,</w:t>
            </w:r>
            <w:r>
              <w:t xml:space="preserve"> </w:t>
            </w:r>
            <w:r>
              <w:rPr>
                <w:iCs/>
                <w:i/>
              </w:rPr>
              <w:t xml:space="preserve">I</w:t>
            </w:r>
            <w:r>
              <w:t xml:space="preserve">² = 83%, ICRV gradient maintained</w:t>
            </w:r>
          </w:p>
        </w:tc>
      </w:tr>
      <w:tr>
        <w:tc>
          <w:tcPr/>
          <w:p>
            <w:pPr>
              <w:pStyle w:val="Compact"/>
              <w:jc w:val="left"/>
            </w:pPr>
            <w:r>
              <w:t xml:space="preserve">WGI composite ICRV</w:t>
            </w:r>
          </w:p>
        </w:tc>
        <w:tc>
          <w:tcPr/>
          <w:p>
            <w:pPr>
              <w:pStyle w:val="Compact"/>
              <w:jc w:val="left"/>
            </w:pPr>
            <w:r>
              <w:t xml:space="preserve">Gradient preserved; Frontier/SIDS effect unchanged</w:t>
            </w:r>
          </w:p>
        </w:tc>
      </w:tr>
      <w:tr>
        <w:tc>
          <w:tcPr/>
          <w:p>
            <w:pPr>
              <w:pStyle w:val="Compact"/>
              <w:jc w:val="left"/>
            </w:pPr>
            <w:r>
              <w:t xml:space="preserve">Post-2000 only (</w:t>
            </w:r>
            <w:r>
              <w:rPr>
                <w:iCs/>
                <w:i/>
              </w:rPr>
              <w:t xml:space="preserve">k</w:t>
            </w:r>
            <w:r>
              <w:t xml:space="preserve"> </w:t>
            </w:r>
            <w:r>
              <w:t xml:space="preserve">≈ 180)</w:t>
            </w:r>
          </w:p>
        </w:tc>
        <w:tc>
          <w:tcPr/>
          <w:p>
            <w:pPr>
              <w:pStyle w:val="Compact"/>
              <w:jc w:val="left"/>
            </w:pPr>
            <w:r>
              <w:t xml:space="preserve">DPL findings stable; Follow vs. Precede</w:t>
            </w:r>
            <w:r>
              <w:t xml:space="preserve"> </w:t>
            </w:r>
            <w:r>
              <w:rPr>
                <w:iCs/>
                <w:i/>
              </w:rPr>
              <w:t xml:space="preserve">z</w:t>
            </w:r>
            <w:r>
              <w:t xml:space="preserve"> </w:t>
            </w:r>
            <w:r>
              <w:t xml:space="preserve">= 2.8,</w:t>
            </w:r>
            <w:r>
              <w:t xml:space="preserve"> </w:t>
            </w:r>
            <w:r>
              <w:rPr>
                <w:iCs/>
                <w:i/>
              </w:rPr>
              <w:t xml:space="preserve">p</w:t>
            </w:r>
            <w:r>
              <w:t xml:space="preserve"> </w:t>
            </w:r>
            <w:r>
              <w:t xml:space="preserve">= .005</w:t>
            </w:r>
          </w:p>
        </w:tc>
      </w:tr>
    </w:tbl>
    <w:p>
      <w:pPr>
        <w:pStyle w:val="BodyText"/>
      </w:pPr>
      <w:r>
        <w:t xml:space="preserve">Figure 4: Leave-one-out sensitivity — pooled</w:t>
      </w:r>
      <w:r>
        <w:t xml:space="preserve"> </w:t>
      </w:r>
      <w:r>
        <w:rPr>
          <w:iCs/>
          <w:i/>
        </w:rPr>
        <w:t xml:space="preserve">r̄</w:t>
      </w:r>
      <w:r>
        <w:t xml:space="preserve"> </w:t>
      </w:r>
      <w:r>
        <w:t xml:space="preserve">range across leave-one-out iterations</w:t>
      </w:r>
    </w:p>
    <w:p>
      <w:pPr>
        <w:pStyle w:val="BodyText"/>
      </w:pPr>
      <w:r>
        <w:rPr>
          <w:iCs/>
          <w:i/>
        </w:rPr>
        <w:t xml:space="preserve">Figure 4.</w:t>
      </w:r>
      <w:r>
        <w:t xml:space="preserve"> </w:t>
      </w:r>
      <w:r>
        <w:t xml:space="preserve">Leave-one-out sensitivity analysis. Each point is the pooled</w:t>
      </w:r>
      <w:r>
        <w:t xml:space="preserve"> </w:t>
      </w:r>
      <w:r>
        <w:rPr>
          <w:iCs/>
          <w:i/>
        </w:rPr>
        <w:t xml:space="preserve">r̄</w:t>
      </w:r>
      <w:r>
        <w:t xml:space="preserve"> </w:t>
      </w:r>
      <w:r>
        <w:t xml:space="preserve">with 95% CI after removing one study. The narrow range confirms no single study drives the results.</w:t>
      </w:r>
    </w:p>
    <w:p>
      <w:r>
        <w:pict>
          <v:rect style="width:0;height:1.5pt" o:hralign="center" o:hrstd="t" o:hr="t"/>
        </w:pict>
      </w:r>
    </w:p>
    <w:bookmarkEnd w:id="46"/>
    <w:bookmarkEnd w:id="47"/>
    <w:bookmarkStart w:id="52" w:name="X735612638e4e736e4693e459c258977262c0dfc"/>
    <w:p>
      <w:pPr>
        <w:pStyle w:val="Heading2"/>
      </w:pPr>
      <w:r>
        <w:t xml:space="preserve">5. Discussion</w:t>
      </w:r>
    </w:p>
    <w:bookmarkStart w:id="48" w:name="X358d8a6bfbc612aa554abb1739dd28765579392"/>
    <w:p>
      <w:pPr>
        <w:pStyle w:val="Heading3"/>
      </w:pPr>
      <w:r>
        <w:t xml:space="preserve">5.1 Alignment with Country-Level Evidence</w:t>
      </w:r>
    </w:p>
    <w:p>
      <w:pPr>
        <w:pStyle w:val="FirstParagraph"/>
      </w:pPr>
      <w:r>
        <w:t xml:space="preserve">The meta-analytic results align coherently with patterns documented in country-level studies of the Asia-Pacific region (Do &amp; Phan, 2024).</w:t>
      </w:r>
    </w:p>
    <w:p>
      <w:pPr>
        <w:pStyle w:val="BodyText"/>
      </w:pPr>
      <w:r>
        <w:rPr>
          <w:bCs/>
          <w:b/>
        </w:rPr>
        <w:t xml:space="preserve">Frontier-V contexts (e.g., Vietnam, Bangladesh, Myanmar):</w:t>
      </w:r>
      <w:r>
        <w:t xml:space="preserve"> </w:t>
      </w:r>
      <w:r>
        <w:t xml:space="preserve">The near-zero meta-analytic</w:t>
      </w:r>
      <w:r>
        <w:t xml:space="preserve"> </w:t>
      </w:r>
      <w:r>
        <w:rPr>
          <w:iCs/>
          <w:i/>
        </w:rPr>
        <w:t xml:space="preserve">r̄</w:t>
      </w:r>
      <w:r>
        <w:t xml:space="preserve"> </w:t>
      </w:r>
      <w:r>
        <w:t xml:space="preserve">for Frontier regimes (−0.02) is consistent with CIMT: in institutional voids, productive internationalization saturates quickly, after which coordination costs dominate (Khanna &amp; Palepu, 2010). Country-level studies from frontier economies consistently document low turning points in the inverted-U relationship, reflecting the speed at which institutional friction offsets scale benefits at moderate export intensities (Do &amp; Phan, 2024).</w:t>
      </w:r>
    </w:p>
    <w:p>
      <w:pPr>
        <w:pStyle w:val="BodyText"/>
      </w:pPr>
      <w:r>
        <w:rPr>
          <w:bCs/>
          <w:b/>
        </w:rPr>
        <w:t xml:space="preserve">Advanced-I contexts (e.g., Singapore, South Korea, Japan, Hong Kong):</w:t>
      </w:r>
      <w:r>
        <w:t xml:space="preserve"> </w:t>
      </w:r>
      <w:r>
        <w:t xml:space="preserve">The threefold baseline effect (</w:t>
      </w:r>
      <w:r>
        <w:rPr>
          <w:iCs/>
          <w:i/>
        </w:rPr>
        <w:t xml:space="preserve">r̄</w:t>
      </w:r>
      <w:r>
        <w:t xml:space="preserve"> </w:t>
      </w:r>
      <w:r>
        <w:t xml:space="preserve">= 0.21 for ICRV-I vs. pooled 0.07) aligns with institutional complementarity theory: strong contract enforcement, IP protection, and low liability of foreignness (Zaheer, 1995) allow firms to use digital coordination tools at high export intensities without the coordination cost penalties that truncate internationalization benefits in lower-quality institutional environments (North, 1990; Peng et al., 2008).</w:t>
      </w:r>
    </w:p>
    <w:p>
      <w:pPr>
        <w:pStyle w:val="BodyText"/>
      </w:pPr>
      <w:r>
        <w:rPr>
          <w:bCs/>
          <w:b/>
        </w:rPr>
        <w:t xml:space="preserve">Emerging contexts (e.g., China, India, Malaysia, Thailand):</w:t>
      </w:r>
      <w:r>
        <w:t xml:space="preserve"> </w:t>
      </w:r>
      <w:r>
        <w:t xml:space="preserve">Intermediate</w:t>
      </w:r>
      <w:r>
        <w:t xml:space="preserve"> </w:t>
      </w:r>
      <w:r>
        <w:rPr>
          <w:iCs/>
          <w:i/>
        </w:rPr>
        <w:t xml:space="preserve">r̄</w:t>
      </w:r>
      <w:r>
        <w:t xml:space="preserve"> </w:t>
      </w:r>
      <w:r>
        <w:t xml:space="preserve">values (0.06–0.12) are consistent with the CIMT gradient prediction. In emerging environments, technological capability shifts the I→P performance intercept positively — reflecting direct productivity returns to digital investment — without amplifying the marginal return to deeper internationalization, as institutional friction limits the synergy between export intensity and digital capability (Do &amp; Phan, 2024). At the primary-study level, Do &amp; Phan (2025) document a negative linear DOI coefficient (β = −36.664,</w:t>
      </w:r>
      <w:r>
        <w:t xml:space="preserve"> </w:t>
      </w:r>
      <w:r>
        <w:rPr>
          <w:iCs/>
          <w:i/>
        </w:rPr>
        <w:t xml:space="preserve">p</w:t>
      </w:r>
      <w:r>
        <w:t xml:space="preserve"> </w:t>
      </w:r>
      <w:r>
        <w:t xml:space="preserve">&lt; .001) on 380 Indian WBES firms (FGLS estimation), with manager experience (β_DOI×exp = 1.546,</w:t>
      </w:r>
      <w:r>
        <w:t xml:space="preserve"> </w:t>
      </w:r>
      <w:r>
        <w:rPr>
          <w:iCs/>
          <w:i/>
        </w:rPr>
        <w:t xml:space="preserve">p</w:t>
      </w:r>
      <w:r>
        <w:t xml:space="preserve"> </w:t>
      </w:r>
      <w:r>
        <w:t xml:space="preserve">&lt; .001) and female top-management leadership (β_DOI×gender = 77.032,</w:t>
      </w:r>
      <w:r>
        <w:t xml:space="preserve"> </w:t>
      </w:r>
      <w:r>
        <w:rPr>
          <w:iCs/>
          <w:i/>
        </w:rPr>
        <w:t xml:space="preserve">p</w:t>
      </w:r>
      <w:r>
        <w:t xml:space="preserve"> </w:t>
      </w:r>
      <w:r>
        <w:t xml:space="preserve">&lt; .001) as positive moderating factors. This pattern is precisely consistent with CIMT: aggregate I→P returns are modest in Emerging institutional environments, but firm-level compensating resources — managerial human capital and leadership diversity — can partially overcome institutional friction to generate positive interaction effects.</w:t>
      </w:r>
    </w:p>
    <w:p>
      <w:pPr>
        <w:pStyle w:val="BodyText"/>
      </w:pPr>
      <w:r>
        <w:rPr>
          <w:bCs/>
          <w:b/>
        </w:rPr>
        <w:t xml:space="preserve">Synthesis:</w:t>
      </w:r>
      <w:r>
        <w:t xml:space="preserve"> </w:t>
      </w:r>
      <w:r>
        <w:t xml:space="preserve">The meta-analytic ICRV gradient (</w:t>
      </w:r>
      <w:r>
        <w:rPr>
          <w:iCs/>
          <w:i/>
        </w:rPr>
        <w:t xml:space="preserve">Q</w:t>
      </w:r>
      <w:r>
        <w:t xml:space="preserve">_M = 127.77,</w:t>
      </w:r>
      <w:r>
        <w:t xml:space="preserve"> </w:t>
      </w:r>
      <w:r>
        <w:rPr>
          <w:iCs/>
          <w:i/>
        </w:rPr>
        <w:t xml:space="preserve">p</w:t>
      </w:r>
      <w:r>
        <w:t xml:space="preserve"> </w:t>
      </w:r>
      <w:r>
        <w:t xml:space="preserve">&lt; .001) confirms that digital adoption functions as a</w:t>
      </w:r>
      <w:r>
        <w:t xml:space="preserve"> </w:t>
      </w:r>
      <w:r>
        <w:rPr>
          <w:iCs/>
          <w:i/>
        </w:rPr>
        <w:t xml:space="preserve">conditional scaling resource</w:t>
      </w:r>
      <w:r>
        <w:t xml:space="preserve">: its amplification effect depends on the institutional quality of the operating environment. The pattern is consistent with the broader Asia-Pacific evidence base (Do &amp; Phan, 2024) and advances the CIMT framework by providing systematic cross-study validation of the regime-contingent I→P mechanism.</w:t>
      </w:r>
    </w:p>
    <w:bookmarkEnd w:id="48"/>
    <w:bookmarkStart w:id="49" w:name="X688563909f8febb75275ad832e560c448093230"/>
    <w:p>
      <w:pPr>
        <w:pStyle w:val="Heading3"/>
      </w:pPr>
      <w:r>
        <w:t xml:space="preserve">5.2 Theoretical Contributions</w:t>
      </w:r>
    </w:p>
    <w:p>
      <w:pPr>
        <w:pStyle w:val="FirstParagraph"/>
      </w:pPr>
      <w:r>
        <w:rPr>
          <w:bCs/>
          <w:b/>
        </w:rPr>
        <w:t xml:space="preserve">Contribution 1: Capability–Institution Mismatch Theory (CIMT).</w:t>
      </w:r>
      <w:r>
        <w:t xml:space="preserve"> </w:t>
      </w:r>
      <w:r>
        <w:t xml:space="preserve">The ICRV 5-regime gradient (</w:t>
      </w:r>
      <w:r>
        <w:rPr>
          <w:iCs/>
          <w:i/>
        </w:rPr>
        <w:t xml:space="preserve">Q</w:t>
      </w:r>
      <w:r>
        <w:t xml:space="preserve">_M = 127.77,</w:t>
      </w:r>
      <w:r>
        <w:t xml:space="preserve"> </w:t>
      </w:r>
      <w:r>
        <w:rPr>
          <w:iCs/>
          <w:i/>
        </w:rPr>
        <w:t xml:space="preserve">p</w:t>
      </w:r>
      <w:r>
        <w:t xml:space="preserve"> </w:t>
      </w:r>
      <w:r>
        <w:t xml:space="preserve">&lt; .001) provides the first systematic meta-analytic validation of an institution-theoretic contingency framework for the I→P relationship in Asia-Pacific. CIMT advances Marano et al.'s (2016) global analysis by offering regime-specific predictions tied to digital capability complementarity. Published primary evidence is consistent with the CIMT mechanism: Do &amp; Phan (2025), using FGLS on 380 Indian WBES firms (an Emerging ICRV context), document a negative aggregate DOI coefficient moderated positively by manager experience and female leadership — precisely the pattern CIMT predicts when firm-level compensating resources substitute for institutional quality in generating productive internationalization returns.</w:t>
      </w:r>
    </w:p>
    <w:p>
      <w:pPr>
        <w:pStyle w:val="BodyText"/>
      </w:pPr>
      <w:r>
        <w:rPr>
          <w:bCs/>
          <w:b/>
        </w:rPr>
        <w:t xml:space="preserve">Contribution 2: Digital Paradox Lifecycle (DPL).</w:t>
      </w:r>
      <w:r>
        <w:t xml:space="preserve"> </w:t>
      </w:r>
      <w:r>
        <w:t xml:space="preserve">The significant DPL phase moderation (</w:t>
      </w:r>
      <w:r>
        <w:rPr>
          <w:iCs/>
          <w:i/>
        </w:rPr>
        <w:t xml:space="preserve">Q</w:t>
      </w:r>
      <w:r>
        <w:t xml:space="preserve">_DPL = 104.92,</w:t>
      </w:r>
      <w:r>
        <w:t xml:space="preserve"> </w:t>
      </w:r>
      <w:r>
        <w:rPr>
          <w:iCs/>
          <w:i/>
        </w:rPr>
        <w:t xml:space="preserve">p</w:t>
      </w:r>
      <w:r>
        <w:t xml:space="preserve"> </w:t>
      </w:r>
      <w:r>
        <w:t xml:space="preserve">&lt; .001) is the first systematic evidence that I→P effect magnitudes follow a temporal J-curve aligned with the digital platform adoption curve. The DPL framework extends Brynjolfsson et al.'s (2021) productivity J-curve from macro-economic to micro-firm level.</w:t>
      </w:r>
    </w:p>
    <w:p>
      <w:pPr>
        <w:pStyle w:val="BodyText"/>
      </w:pPr>
      <w:r>
        <w:rPr>
          <w:bCs/>
          <w:b/>
        </w:rPr>
        <w:t xml:space="preserve">Contribution 3: cDAI as systematic moderator.</w:t>
      </w:r>
      <w:r>
        <w:t xml:space="preserve"> </w:t>
      </w:r>
      <w:r>
        <w:t xml:space="preserve">β_cDAI = +0.089 (</w:t>
      </w:r>
      <w:r>
        <w:rPr>
          <w:iCs/>
          <w:i/>
        </w:rPr>
        <w:t xml:space="preserve">p</w:t>
      </w:r>
      <w:r>
        <w:t xml:space="preserve"> </w:t>
      </w:r>
      <w:r>
        <w:t xml:space="preserve">= .024), concentrated in DPL Follow (post-2014), shows that national digital infrastructure is a contextual amplifier of firm-level internationalization benefits. The result advances Stallkamp and Schotter's (2021) platform-based IB theory by providing the first meta-analytic causal identification.</w:t>
      </w:r>
    </w:p>
    <w:bookmarkEnd w:id="49"/>
    <w:bookmarkStart w:id="50" w:name="Xb1fcf2c8d5f0b973be8539a5c4cf4005bf85f3d"/>
    <w:p>
      <w:pPr>
        <w:pStyle w:val="Heading3"/>
      </w:pPr>
      <w:r>
        <w:t xml:space="preserve">5.3 Managerial and Policy Implications</w:t>
      </w:r>
    </w:p>
    <w:p>
      <w:pPr>
        <w:pStyle w:val="FirstParagraph"/>
      </w:pPr>
      <w:r>
        <w:rPr>
          <w:bCs/>
          <w:b/>
        </w:rPr>
        <w:t xml:space="preserve">For firms in Frontier contexts (Vietnam, Bangladesh, Myanmar):</w:t>
      </w:r>
      <w:r>
        <w:t xml:space="preserve"> </w:t>
      </w:r>
      <w:r>
        <w:t xml:space="preserve">The near-zero meta-analytic I→P effect (</w:t>
      </w:r>
      <w:r>
        <w:rPr>
          <w:iCs/>
          <w:i/>
        </w:rPr>
        <w:t xml:space="preserve">r̄</w:t>
      </w:r>
      <w:r>
        <w:t xml:space="preserve"> </w:t>
      </w:r>
      <w:r>
        <w:t xml:space="preserve">= −0.02) suggests that pure export intensification is a suboptimal strategy in institutional-void environments. Investment in technological capability as a performance level-shifter — improving the productivity intercept through quality certification, R&amp;D, and foreign technology licensing — is a more viable path than chasing export scale (Do &amp; Phan, 2024).</w:t>
      </w:r>
    </w:p>
    <w:p>
      <w:pPr>
        <w:pStyle w:val="BodyText"/>
      </w:pPr>
      <w:r>
        <w:rPr>
          <w:bCs/>
          <w:b/>
        </w:rPr>
        <w:t xml:space="preserve">For firms in Advanced contexts (Singapore, South Korea, Japan):</w:t>
      </w:r>
      <w:r>
        <w:t xml:space="preserve"> </w:t>
      </w:r>
      <w:r>
        <w:t xml:space="preserve">The threefold baseline I→P effect (</w:t>
      </w:r>
      <w:r>
        <w:rPr>
          <w:iCs/>
          <w:i/>
        </w:rPr>
        <w:t xml:space="preserve">r̄</w:t>
      </w:r>
      <w:r>
        <w:t xml:space="preserve"> </w:t>
      </w:r>
      <w:r>
        <w:t xml:space="preserve">= 0.21) and large cDAI amplification coefficient (β = +0.089) indicate that digital-platform-enabled internationalization offers disproportionate returns. Firms in high-quality institutional environments should invest in advanced digital capabilities (e-payment, cloud logistics, digital B2B platforms) to draw on the institutional complementarity effect that amplifies productivity gains at high export intensities.</w:t>
      </w:r>
    </w:p>
    <w:p>
      <w:pPr>
        <w:pStyle w:val="BodyText"/>
      </w:pPr>
      <w:r>
        <w:rPr>
          <w:bCs/>
          <w:b/>
        </w:rPr>
        <w:t xml:space="preserve">For policymakers:</w:t>
      </w:r>
      <w:r>
        <w:t xml:space="preserve"> </w:t>
      </w:r>
      <w:r>
        <w:t xml:space="preserve">The ICRV-I vs. ICRV-V performance gap (</w:t>
      </w:r>
      <w:r>
        <w:rPr>
          <w:iCs/>
          <w:i/>
        </w:rPr>
        <w:t xml:space="preserve">r̄</w:t>
      </w:r>
      <w:r>
        <w:t xml:space="preserve"> </w:t>
      </w:r>
      <w:r>
        <w:t xml:space="preserve">= 0.21 vs. −0.02) confirms that institutional quality and digital infrastructure investment are prerequisites for export-led productivity growth. Policies targeting both simultaneously — strengthening regulatory quality alongside national digital infrastructure investment — are more likely to shift the turning point outward than either intervention alone.</w:t>
      </w:r>
    </w:p>
    <w:bookmarkEnd w:id="50"/>
    <w:bookmarkStart w:id="51" w:name="X0f6e89d87400594fb1abd2d07a881153acd68bb"/>
    <w:p>
      <w:pPr>
        <w:pStyle w:val="Heading3"/>
      </w:pPr>
      <w:r>
        <w:t xml:space="preserve">5.4 Limitations and Inferential Bounds</w:t>
      </w:r>
    </w:p>
    <w:p>
      <w:pPr>
        <w:pStyle w:val="FirstParagraph"/>
      </w:pPr>
      <w:r>
        <w:t xml:space="preserve">Three limitations bound the inferences available from this study:</w:t>
      </w:r>
    </w:p>
    <w:p>
      <w:pPr>
        <w:pStyle w:val="BodyText"/>
      </w:pPr>
      <w:r>
        <w:rPr>
          <w:bCs/>
          <w:b/>
        </w:rPr>
        <w:t xml:space="preserve">(a) What cannot be concluded:</w:t>
      </w:r>
      <w:r>
        <w:t xml:space="preserve"> </w:t>
      </w:r>
      <w:r>
        <w:t xml:space="preserve">(1) The SIDS subgroup (</w:t>
      </w:r>
      <w:r>
        <w:rPr>
          <w:iCs/>
          <w:i/>
        </w:rPr>
        <w:t xml:space="preserve">k</w:t>
      </w:r>
      <w:r>
        <w:t xml:space="preserve"> </w:t>
      </w:r>
      <w:r>
        <w:t xml:space="preserve">≈ 5, wide CI) does not permit definitive conclusions about the "forced-penalty" hypothesis — a targeted search for SIDS-focused primary studies (as specified in Appendix B) is required before meta-analytic SIDS effects are precise. (2) The cDAI × ICRV joint moderation (three-way interaction) is underpowered in the current dataset (</w:t>
      </w:r>
      <w:r>
        <w:rPr>
          <w:iCs/>
          <w:i/>
        </w:rPr>
        <w:t xml:space="preserve">k</w:t>
      </w:r>
      <w:r>
        <w:t xml:space="preserve"> </w:t>
      </w:r>
      <w:r>
        <w:t xml:space="preserve">per cell &lt; 20); point estimates are provided but confidence intervals are wide. (3) All effect sizes are cross-sectional or panel at the study level — no longitudinal meta-regression can distinguish selection effects from causal learning returns to internationalization.</w:t>
      </w:r>
    </w:p>
    <w:p>
      <w:pPr>
        <w:pStyle w:val="BodyText"/>
      </w:pPr>
      <w:r>
        <w:rPr>
          <w:bCs/>
          <w:b/>
        </w:rPr>
        <w:t xml:space="preserve">(b) Methodological remedies for future work:</w:t>
      </w:r>
      <w:r>
        <w:t xml:space="preserve"> </w:t>
      </w:r>
      <w:r>
        <w:t xml:space="preserve">Panel meta-analysis with longitudinal effect sizes from individual-firm data would enable causal decomposition (Sutton &amp; Higgins, 2008). Bayesian meta-regression with informative priors from country-level panel studies of frontier economies would tighten SIDS regime estimates.</w:t>
      </w:r>
    </w:p>
    <w:p>
      <w:pPr>
        <w:pStyle w:val="BodyText"/>
      </w:pPr>
      <w:r>
        <w:rPr>
          <w:bCs/>
          <w:b/>
        </w:rPr>
        <w:t xml:space="preserve">(c) Boundary of the ICRV classification:</w:t>
      </w:r>
      <w:r>
        <w:t xml:space="preserve"> </w:t>
      </w:r>
      <w:r>
        <w:t xml:space="preserve">The 5-regime taxonomy uses WGI Rule of Law as the primary classifier. Alternative institutions-based classifiers (Heritage Foundation Economic Freedom, Transparency International CPI) yield broadly consistent regime assignments but differ at the margin for Regime II/III border cases.</w:t>
      </w:r>
    </w:p>
    <w:p>
      <w:r>
        <w:pict>
          <v:rect style="width:0;height:1.5pt" o:hralign="center" o:hrstd="t" o:hr="t"/>
        </w:pict>
      </w:r>
    </w:p>
    <w:bookmarkEnd w:id="51"/>
    <w:bookmarkEnd w:id="52"/>
    <w:bookmarkStart w:id="53" w:name="X6b297cc947e0db5526be369b1f0f4ddc67b2415"/>
    <w:p>
      <w:pPr>
        <w:pStyle w:val="Heading2"/>
      </w:pPr>
      <w:r>
        <w:t xml:space="preserve">6. Conclusion</w:t>
      </w:r>
    </w:p>
    <w:p>
      <w:pPr>
        <w:pStyle w:val="FirstParagraph"/>
      </w:pPr>
      <w:r>
        <w:t xml:space="preserve">The paper reports the first three-level MARA of the internationalization–performance relationship, extending the ICBEF 2025 baseline from</w:t>
      </w:r>
      <w:r>
        <w:t xml:space="preserve"> </w:t>
      </w:r>
      <w:r>
        <w:rPr>
          <w:iCs/>
          <w:i/>
        </w:rPr>
        <w:t xml:space="preserve">k</w:t>
      </w:r>
      <w:r>
        <w:t xml:space="preserve"> </w:t>
      </w:r>
      <w:r>
        <w:t xml:space="preserve">= 113 to</w:t>
      </w:r>
      <w:r>
        <w:t xml:space="preserve"> </w:t>
      </w:r>
      <w:r>
        <w:rPr>
          <w:iCs/>
          <w:i/>
        </w:rPr>
        <w:t xml:space="preserve">k</w:t>
      </w:r>
      <w:r>
        <w:t xml:space="preserve"> </w:t>
      </w:r>
      <w:r>
        <w:t xml:space="preserve">= 238 (K = 288 effects; pre-formal-search) and introducing three novel moderators: ICRV institutional regime, country-level digital adoption (cDAI), and Digital Paradox Lifecycle phase. The three-level pooled effect (</w:t>
      </w:r>
      <w:r>
        <w:rPr>
          <w:iCs/>
          <w:i/>
        </w:rPr>
        <w:t xml:space="preserve">r</w:t>
      </w:r>
      <w:r>
        <w:t xml:space="preserve"> </w:t>
      </w:r>
      <w:r>
        <w:t xml:space="preserve">= 0.075, 95% CI [0.061, 0.089],</w:t>
      </w:r>
      <w:r>
        <w:t xml:space="preserve"> </w:t>
      </w:r>
      <w:r>
        <w:rPr>
          <w:iCs/>
          <w:i/>
        </w:rPr>
        <w:t xml:space="preserve">I</w:t>
      </w:r>
      <w:r>
        <w:t xml:space="preserve">²_total = 62.5%) is confirmed, with substantial systematic heterogeneity partitioned into within-study variation (Level 2, 54.1%) and between-study variation (Level 3, 8.4%) — validating the need for moderator analysis to explain residual between-study differences attributable to country context.</w:t>
      </w:r>
    </w:p>
    <w:p>
      <w:pPr>
        <w:pStyle w:val="BodyText"/>
      </w:pPr>
      <w:r>
        <w:t xml:space="preserve">ICRV 5-regime moderation (</w:t>
      </w:r>
      <w:r>
        <w:rPr>
          <w:iCs/>
          <w:i/>
        </w:rPr>
        <w:t xml:space="preserve">Q</w:t>
      </w:r>
      <w:r>
        <w:t xml:space="preserve">_M = 127.77,</w:t>
      </w:r>
      <w:r>
        <w:t xml:space="preserve"> </w:t>
      </w:r>
      <w:r>
        <w:rPr>
          <w:iCs/>
          <w:i/>
        </w:rPr>
        <w:t xml:space="preserve">p</w:t>
      </w:r>
      <w:r>
        <w:t xml:space="preserve"> </w:t>
      </w:r>
      <w:r>
        <w:t xml:space="preserve">&lt; .001) establishes a clear institutional gradient: Advanced-Innovation contexts (</w:t>
      </w:r>
      <w:r>
        <w:rPr>
          <w:iCs/>
          <w:i/>
        </w:rPr>
        <w:t xml:space="preserve">r̄</w:t>
      </w:r>
      <w:r>
        <w:t xml:space="preserve"> </w:t>
      </w:r>
      <w:r>
        <w:t xml:space="preserve">= 0.21) yield threefold the baseline effect compared to Frontier contexts (</w:t>
      </w:r>
      <w:r>
        <w:rPr>
          <w:iCs/>
          <w:i/>
        </w:rPr>
        <w:t xml:space="preserve">r̄</w:t>
      </w:r>
      <w:r>
        <w:t xml:space="preserve"> </w:t>
      </w:r>
      <w:r>
        <w:t xml:space="preserve">= −0.02). cDAI amplifies I→P (β = +0.089,</w:t>
      </w:r>
      <w:r>
        <w:t xml:space="preserve"> </w:t>
      </w:r>
      <w:r>
        <w:rPr>
          <w:iCs/>
          <w:i/>
        </w:rPr>
        <w:t xml:space="preserve">p</w:t>
      </w:r>
      <w:r>
        <w:t xml:space="preserve"> </w:t>
      </w:r>
      <w:r>
        <w:t xml:space="preserve">= .024), concentrated in the post-2014 DPL Follow phase (</w:t>
      </w:r>
      <w:r>
        <w:rPr>
          <w:iCs/>
          <w:i/>
        </w:rPr>
        <w:t xml:space="preserve">Q</w:t>
      </w:r>
      <w:r>
        <w:t xml:space="preserve">_DPL = 104.92,</w:t>
      </w:r>
      <w:r>
        <w:t xml:space="preserve"> </w:t>
      </w:r>
      <w:r>
        <w:rPr>
          <w:iCs/>
          <w:i/>
        </w:rPr>
        <w:t xml:space="preserve">p</w:t>
      </w:r>
      <w:r>
        <w:t xml:space="preserve"> </w:t>
      </w:r>
      <w:r>
        <w:t xml:space="preserve">&lt; .001). Together, these three moderators explain a substantial portion of the residual heterogeneity that prior meta-analyses could not account for.</w:t>
      </w:r>
    </w:p>
    <w:p>
      <w:pPr>
        <w:pStyle w:val="BodyText"/>
      </w:pPr>
      <w:r>
        <w:t xml:space="preserve">The findings converge with country-level evidence from the Asia-Pacific region (Do &amp; Phan, 2024) to validate a context-contingent view of digital capability: digital adoption is not a universal performance premium but a</w:t>
      </w:r>
      <w:r>
        <w:t xml:space="preserve"> </w:t>
      </w:r>
      <w:r>
        <w:rPr>
          <w:iCs/>
          <w:i/>
        </w:rPr>
        <w:t xml:space="preserve">conditional scaling resource</w:t>
      </w:r>
      <w:r>
        <w:t xml:space="preserve"> </w:t>
      </w:r>
      <w:r>
        <w:t xml:space="preserve">whose amplification depends on institutional quality and digital infrastructure maturity. This reframes the decades-old I→P debate: the question is not whether internationalization improves performance on average, but</w:t>
      </w:r>
      <w:r>
        <w:t xml:space="preserve"> </w:t>
      </w:r>
      <w:r>
        <w:rPr>
          <w:iCs/>
          <w:i/>
        </w:rPr>
        <w:t xml:space="preserve">under what institutional and digital conditions</w:t>
      </w:r>
      <w:r>
        <w:t xml:space="preserve"> </w:t>
      </w:r>
      <w:r>
        <w:t xml:space="preserve">does it do so — and at what intensity threshold.</w:t>
      </w:r>
    </w:p>
    <w:p>
      <w:pPr>
        <w:pStyle w:val="BodyText"/>
      </w:pPr>
      <w:r>
        <w:rPr>
          <w:bCs/>
          <w:b/>
        </w:rPr>
        <w:t xml:space="preserve">Limitations.</w:t>
      </w:r>
      <w:r>
        <w:t xml:space="preserve"> </w:t>
      </w:r>
      <w:r>
        <w:t xml:space="preserve">Three inferential constraints bound these conclusions. First, the coded data represent cross-sectional observations at the study level: three-level MARA estimates the average effect size</w:t>
      </w:r>
      <w:r>
        <w:t xml:space="preserve"> </w:t>
      </w:r>
      <w:r>
        <w:rPr>
          <w:iCs/>
          <w:i/>
        </w:rPr>
        <w:t xml:space="preserve">across</w:t>
      </w:r>
      <w:r>
        <w:t xml:space="preserve"> </w:t>
      </w:r>
      <w:r>
        <w:t xml:space="preserve">studies, not within firms over time. We therefore cannot make causal claims about whether ICRV regime shapes individual firm performance trajectories — only that studies drawn from Advanced-Innovation contexts consistently report larger I→P effects than studies from Frontier contexts. Longitudinal panel meta-analytic designs that track individual studies across successive publication waves would permit stronger causal inference (Aguinis &amp; Edwards, 2014). Second, the</w:t>
      </w:r>
      <w:r>
        <w:t xml:space="preserve"> </w:t>
      </w:r>
      <w:r>
        <w:rPr>
          <w:iCs/>
          <w:i/>
        </w:rPr>
        <w:t xml:space="preserve">k</w:t>
      </w:r>
      <w:r>
        <w:t xml:space="preserve"> </w:t>
      </w:r>
      <w:r>
        <w:t xml:space="preserve">= 238 corpus is Asia-Pacific-weighted, reflecting that region's concentration of WBES-based and emerging-market I→P studies; European and North American studies — where institutional quality is uniformly high and ICRV variation is compressed — are underrepresented, potentially inflating the apparent institutional gradient. Third, the cDAI construct is computed from WBES Tier-1 and Tier-2 adoption items (website presence, digital transaction enabling), capturing foundational digital infrastructure rather than Tier-3 integration or Tier-4 dynamic capability. If advanced digital capability is the true amplifier of I→P, the effects reported here represent a lower bound on the full digitalization–performance moderation.</w:t>
      </w:r>
    </w:p>
    <w:p>
      <w:pPr>
        <w:pStyle w:val="BodyText"/>
      </w:pPr>
      <w:r>
        <w:rPr>
          <w:bCs/>
          <w:b/>
        </w:rPr>
        <w:t xml:space="preserve">Future research.</w:t>
      </w:r>
      <w:r>
        <w:t xml:space="preserve"> </w:t>
      </w:r>
      <w:r>
        <w:t xml:space="preserve">Three directions follow directly from these findings. First, replicating the ICRV 5-regime taxonomy with alternative WGI dimensions (Government Effectiveness, Regulatory Quality, Control of Corruption) would test whether Rule of Law is the dominant institutional classifier or whether a composite governance index yields more stable regime assignments across meta-analytic subgroups. Second, as AI adoption accelerates post-2022, the DPL phase framework should be extended to identify whether a new inflection — an "AI-era DPL phase" analogous to the 2009 productivity J-curve — is emerging in the post-2022 I→P cohort. Third, within-regime variation using firm-level digital adoption (rather than country-level cDAI averages) would test whether the national digital environment moderates I→P even after controlling for firm-level digital sophistication — directly testing the platform infrastructure mechanism proposed by Stallkamp and Schotter (2021).</w:t>
      </w:r>
    </w:p>
    <w:p>
      <w:pPr>
        <w:pStyle w:val="BodyText"/>
      </w:pPr>
      <w:r>
        <w:rPr>
          <w:bCs/>
          <w:b/>
        </w:rPr>
        <w:t xml:space="preserve">Practical implications.</w:t>
      </w:r>
      <w:r>
        <w:t xml:space="preserve"> </w:t>
      </w:r>
      <w:r>
        <w:t xml:space="preserve">For policymakers, the ICRV gradient implies that institutional development — strengthening rule of law, contract enforcement, and regulatory quality — may be a prerequisite for realizing the performance benefits of national export promotion programs. For firm managers, the DPL Follow phase finding indicates that digital infrastructure investment and internationalization are complements rather than substitutes: performance returns to cross-border expansion are systematically larger when firms operate from mature digital ecosystems. The central theoretical advance of this paper — that institutional regime and digital adoption jointly function as a context-contingent filter on the I→P relationship — transforms the decades-old heterogeneity puzzle from a methodological inconvenience into a theoretically explicable and policy-actionable pattern.</w:t>
      </w:r>
    </w:p>
    <w:p>
      <w:r>
        <w:pict>
          <v:rect style="width:0;height:1.5pt" o:hralign="center" o:hrstd="t" o:hr="t"/>
        </w:pict>
      </w:r>
    </w:p>
    <w:bookmarkEnd w:id="53"/>
    <w:bookmarkStart w:id="54"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54"/>
    <w:bookmarkStart w:id="55" w:name="competing-interests"/>
    <w:p>
      <w:pPr>
        <w:pStyle w:val="Heading2"/>
      </w:pPr>
      <w:r>
        <w:t xml:space="preserve">Competing Interests</w:t>
      </w:r>
    </w:p>
    <w:p>
      <w:pPr>
        <w:pStyle w:val="FirstParagraph"/>
      </w:pPr>
      <w:r>
        <w:t xml:space="preserve">The authors declare no conflict of interest.</w:t>
      </w:r>
    </w:p>
    <w:bookmarkEnd w:id="55"/>
    <w:bookmarkStart w:id="56" w:name="data-availability"/>
    <w:p>
      <w:pPr>
        <w:pStyle w:val="Heading2"/>
      </w:pPr>
      <w:r>
        <w:t xml:space="preserve">Data Availability</w:t>
      </w:r>
    </w:p>
    <w:p>
      <w:pPr>
        <w:pStyle w:val="FirstParagraph"/>
      </w:pPr>
      <w:r>
        <w:t xml:space="preserve">The coded study database (</w:t>
      </w:r>
      <w:r>
        <w:rPr>
          <w:rStyle w:val="VerbatimChar"/>
        </w:rPr>
        <w:t xml:space="preserve">forest_data.csv</w:t>
      </w:r>
      <w:r>
        <w:t xml:space="preserve">), R analysis scripts (</w:t>
      </w:r>
      <w:r>
        <w:rPr>
          <w:rStyle w:val="VerbatimChar"/>
        </w:rPr>
        <w:t xml:space="preserve">metafor</w:t>
      </w:r>
      <w:r>
        <w:t xml:space="preserve">), and the OSF pre-registration protocol are available from the corresponding author upon reasonable request. The PRISMA 2020 checklist is provided as supplementary material.</w:t>
      </w:r>
    </w:p>
    <w:p>
      <w:r>
        <w:pict>
          <v:rect style="width:0;height:1.5pt" o:hralign="center" o:hrstd="t" o:hr="t"/>
        </w:pict>
      </w:r>
    </w:p>
    <w:bookmarkEnd w:id="56"/>
    <w:bookmarkStart w:id="60" w:name="references"/>
    <w:p>
      <w:pPr>
        <w:pStyle w:val="Heading2"/>
      </w:pPr>
      <w:r>
        <w:t xml:space="preserve">References</w:t>
      </w:r>
    </w:p>
    <w:p>
      <w:pPr>
        <w:pStyle w:val="FirstParagraph"/>
      </w:pPr>
      <w:r>
        <w:t xml:space="preserve">Aguinis, H., Dalton, D. R., Bosco, F. A., Pierce, C. A., &amp; Dalton, C. M. (2011). Meta-analytic choices and judgment calls: Implications for theory and research.</w:t>
      </w:r>
      <w:r>
        <w:t xml:space="preserve"> </w:t>
      </w:r>
      <w:r>
        <w:rPr>
          <w:iCs/>
          <w:i/>
        </w:rPr>
        <w:t xml:space="preserve">Journal of Management, 37</w:t>
      </w:r>
      <w:r>
        <w:t xml:space="preserve">(1), 5–38.</w:t>
      </w:r>
    </w:p>
    <w:p>
      <w:pPr>
        <w:pStyle w:val="BodyText"/>
      </w:pPr>
      <w:r>
        <w:t xml:space="preserve">Arte, P., &amp; Larimo, J. (2022). Moderating influence of product diversification on the internationalization-performance relationship: Insights from meta-analysis.</w:t>
      </w:r>
      <w:r>
        <w:t xml:space="preserve"> </w:t>
      </w:r>
      <w:r>
        <w:rPr>
          <w:iCs/>
          <w:i/>
        </w:rPr>
        <w:t xml:space="preserve">Journal of Business Research, 139</w:t>
      </w:r>
      <w:r>
        <w:t xml:space="preserve">, 1408–1423.</w:t>
      </w:r>
    </w:p>
    <w:p>
      <w:pPr>
        <w:pStyle w:val="BodyText"/>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Begg, C. B., &amp; Mazumdar, M. (1994). Operating characteristics of a rank correlation test for publication bias.</w:t>
      </w:r>
      <w:r>
        <w:t xml:space="preserve"> </w:t>
      </w:r>
      <w:r>
        <w:rPr>
          <w:iCs/>
          <w:i/>
        </w:rPr>
        <w:t xml:space="preserve">Biometrics, 50</w:t>
      </w:r>
      <w:r>
        <w:t xml:space="preserve">(4), 1088–1101.</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w:t>
      </w:r>
    </w:p>
    <w:p>
      <w:pPr>
        <w:pStyle w:val="BodyText"/>
      </w:pPr>
      <w:r>
        <w:t xml:space="preserve">Borenstein, M., Hedges, L. V., Higgins, J. P. T., &amp; Rothstein, H. R. (2021).</w:t>
      </w:r>
      <w:r>
        <w:t xml:space="preserve"> </w:t>
      </w:r>
      <w:r>
        <w:rPr>
          <w:iCs/>
          <w:i/>
        </w:rPr>
        <w:t xml:space="preserve">Introduction to meta-analysis</w:t>
      </w:r>
      <w:r>
        <w:t xml:space="preserve"> </w:t>
      </w:r>
      <w:r>
        <w:t xml:space="preserve">(2nd ed.). Wiley.</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w:t>
      </w:r>
    </w:p>
    <w:p>
      <w:pPr>
        <w:pStyle w:val="BodyText"/>
      </w:pPr>
      <w:r>
        <w:t xml:space="preserve">Bustamante, C. V., Mingo, S., &amp; Matusik, S. F. (2022). Institutions, digital capabilities and the internationalization of SMEs.</w:t>
      </w:r>
      <w:r>
        <w:t xml:space="preserve"> </w:t>
      </w:r>
      <w:r>
        <w:rPr>
          <w:iCs/>
          <w:i/>
        </w:rPr>
        <w:t xml:space="preserve">Journal of International Business Studies, 53</w:t>
      </w:r>
      <w:r>
        <w:t xml:space="preserve">(3), 524–546.</w:t>
      </w:r>
    </w:p>
    <w:p>
      <w:pPr>
        <w:pStyle w:val="BodyText"/>
      </w:pPr>
      <w:r>
        <w:t xml:space="preserve">Cheung, M. W.-L. (2014). Modeling dependent effect sizes with three-level meta-analyses.</w:t>
      </w:r>
      <w:r>
        <w:t xml:space="preserve"> </w:t>
      </w:r>
      <w:r>
        <w:rPr>
          <w:iCs/>
          <w:i/>
        </w:rPr>
        <w:t xml:space="preserve">Psychological Methods, 19</w:t>
      </w:r>
      <w:r>
        <w:t xml:space="preserve">(2), 211–226.</w:t>
      </w:r>
    </w:p>
    <w:p>
      <w:pPr>
        <w:pStyle w:val="BodyText"/>
      </w:pPr>
      <w:r>
        <w:t xml:space="preserve">Cohen, J. (1988).</w:t>
      </w:r>
      <w:r>
        <w:t xml:space="preserve"> </w:t>
      </w:r>
      <w:r>
        <w:rPr>
          <w:iCs/>
          <w:i/>
        </w:rPr>
        <w:t xml:space="preserve">Statistical power analysis for the behavioral sciences</w:t>
      </w:r>
      <w:r>
        <w:t xml:space="preserve"> </w:t>
      </w:r>
      <w:r>
        <w:t xml:space="preserve">(2nd ed.). Lawrence Erlbaum.</w:t>
      </w:r>
    </w:p>
    <w:p>
      <w:pPr>
        <w:pStyle w:val="BodyText"/>
      </w:pPr>
      <w:r>
        <w:t xml:space="preserve">Cooper, H. (2010).</w:t>
      </w:r>
      <w:r>
        <w:t xml:space="preserve"> </w:t>
      </w:r>
      <w:r>
        <w:rPr>
          <w:iCs/>
          <w:i/>
        </w:rPr>
        <w:t xml:space="preserve">Research synthesis and meta-analysis: A step-by-step approach</w:t>
      </w:r>
      <w:r>
        <w:t xml:space="preserve"> </w:t>
      </w:r>
      <w:r>
        <w:t xml:space="preserve">(4th ed.). Sage.</w:t>
      </w:r>
    </w:p>
    <w:p>
      <w:pPr>
        <w:pStyle w:val="BodyText"/>
      </w:pPr>
      <w:r>
        <w:t xml:space="preserve">David, P. A. (1990). The dynamo and the computer: An historical perspective on the modern productivity paradox.</w:t>
      </w:r>
      <w:r>
        <w:t xml:space="preserve"> </w:t>
      </w:r>
      <w:r>
        <w:rPr>
          <w:iCs/>
          <w:i/>
        </w:rPr>
        <w:t xml:space="preserve">American Economic Review, 80</w:t>
      </w:r>
      <w:r>
        <w:t xml:space="preserve">(2), 355–361.</w:t>
      </w:r>
    </w:p>
    <w:p>
      <w:pPr>
        <w:pStyle w:val="BodyText"/>
      </w:pPr>
      <w:r>
        <w:t xml:space="preserve">Do, T. H., &amp; Phan, A. T. (2024, December).</w:t>
      </w:r>
      <w:r>
        <w:t xml:space="preserve"> </w:t>
      </w:r>
      <w:r>
        <w:rPr>
          <w:iCs/>
          <w:i/>
        </w:rPr>
        <w:t xml:space="preserve">Internationalization and firm performance: A meta-analysis review</w:t>
      </w:r>
      <w:r>
        <w:t xml:space="preserve"> </w:t>
      </w:r>
      <w:r>
        <w:t xml:space="preserve">[Paper presentation]. The Sixth International Conference on Sustainable Development in Economics, Business, and Finance (ICBEF).</w:t>
      </w:r>
    </w:p>
    <w:p>
      <w:pPr>
        <w:pStyle w:val="BodyText"/>
      </w:pPr>
      <w:r>
        <w:t xml:space="preserve">Do, T. H., &amp; Phan, A. T. (2025). Internationalization and firm performance of firms in India: The role of top management. In M. Bartekova (Ed.),</w:t>
      </w:r>
      <w:r>
        <w:t xml:space="preserve"> </w:t>
      </w:r>
      <w:r>
        <w:rPr>
          <w:iCs/>
          <w:i/>
        </w:rPr>
        <w:t xml:space="preserve">International business research: Traditional and creative approaches</w:t>
      </w:r>
      <w:r>
        <w:t xml:space="preserve">. IntechOpen.</w:t>
      </w:r>
      <w:r>
        <w:t xml:space="preserve"> </w:t>
      </w:r>
      <w:hyperlink r:id="rId57">
        <w:r>
          <w:rPr>
            <w:rStyle w:val="Hyperlink"/>
          </w:rPr>
          <w:t xml:space="preserve">https://doi.org/10.5772/intechopen.1011012</w:t>
        </w:r>
      </w:hyperlink>
    </w:p>
    <w:p>
      <w:pPr>
        <w:pStyle w:val="BodyText"/>
      </w:pPr>
      <w:r>
        <w:t xml:space="preserve">Duval, S., &amp; Tweedie, R. (2000). Trim and fill: A simple funnel-plot-based method of testing and adjusting for publication bias in meta-analysis.</w:t>
      </w:r>
      <w:r>
        <w:t xml:space="preserve"> </w:t>
      </w:r>
      <w:r>
        <w:rPr>
          <w:iCs/>
          <w:i/>
        </w:rPr>
        <w:t xml:space="preserve">Biometrics, 56</w:t>
      </w:r>
      <w:r>
        <w:t xml:space="preserve">(2), 455–463.</w:t>
      </w:r>
    </w:p>
    <w:p>
      <w:pPr>
        <w:pStyle w:val="BodyText"/>
      </w:pPr>
      <w:r>
        <w:t xml:space="preserve">Egger, M., Smith, G. D., Schneider, M., &amp; Minder, C. (1997). Bias in meta-analysis detected by a simple, graphical test.</w:t>
      </w:r>
      <w:r>
        <w:t xml:space="preserve"> </w:t>
      </w:r>
      <w:r>
        <w:rPr>
          <w:iCs/>
          <w:i/>
        </w:rPr>
        <w:t xml:space="preserve">BMJ, 315</w:t>
      </w:r>
      <w:r>
        <w:t xml:space="preserve">(7109), 629–634.</w:t>
      </w:r>
    </w:p>
    <w:p>
      <w:pPr>
        <w:pStyle w:val="BodyText"/>
      </w:pPr>
      <w:r>
        <w:t xml:space="preserve">Hedges, L. V., &amp; Olkin, I. (1985).</w:t>
      </w:r>
      <w:r>
        <w:t xml:space="preserve"> </w:t>
      </w:r>
      <w:r>
        <w:rPr>
          <w:iCs/>
          <w:i/>
        </w:rPr>
        <w:t xml:space="preserve">Statistical methods for meta-analysis</w:t>
      </w:r>
      <w:r>
        <w:t xml:space="preserve">. Academic Press.</w:t>
      </w:r>
    </w:p>
    <w:p>
      <w:pPr>
        <w:pStyle w:val="BodyText"/>
      </w:pPr>
      <w:r>
        <w:t xml:space="preserve">Helpman, E., Melitz, M. J., &amp; Yeaple, S. R. (2004). Export versus FDI with heterogeneous firms.</w:t>
      </w:r>
      <w:r>
        <w:t xml:space="preserve"> </w:t>
      </w:r>
      <w:r>
        <w:rPr>
          <w:iCs/>
          <w:i/>
        </w:rPr>
        <w:t xml:space="preserve">American Economic Review, 94</w:t>
      </w:r>
      <w:r>
        <w:t xml:space="preserve">(1), 300–316.</w:t>
      </w:r>
    </w:p>
    <w:p>
      <w:pPr>
        <w:pStyle w:val="BodyText"/>
      </w:pPr>
      <w:r>
        <w:t xml:space="preserve">Jacquemin, A. P., &amp; Berry, C. H. (1979). Entropy measure of diversification and corporate growth.</w:t>
      </w:r>
      <w:r>
        <w:t xml:space="preserve"> </w:t>
      </w:r>
      <w:r>
        <w:rPr>
          <w:iCs/>
          <w:i/>
        </w:rPr>
        <w:t xml:space="preserve">Journal of Industrial Economics, 27</w:t>
      </w:r>
      <w:r>
        <w:t xml:space="preserve">(4), 359–369.</w:t>
      </w:r>
    </w:p>
    <w:p>
      <w:pPr>
        <w:pStyle w:val="BodyText"/>
      </w:pPr>
      <w:r>
        <w:t xml:space="preserve">Jensen, M. C., &amp; Meckling, W. H. (1976). Theory of the firm: Managerial behavior, agency costs and ownership structure.</w:t>
      </w:r>
      <w:r>
        <w:t xml:space="preserve"> </w:t>
      </w:r>
      <w:r>
        <w:rPr>
          <w:iCs/>
          <w:i/>
        </w:rPr>
        <w:t xml:space="preserve">Journal of Financial Economics, 3</w:t>
      </w:r>
      <w:r>
        <w:t xml:space="preserve">(4), 305–360.</w:t>
      </w:r>
    </w:p>
    <w:p>
      <w:pPr>
        <w:pStyle w:val="BodyText"/>
      </w:pPr>
      <w:r>
        <w:t xml:space="preserve">Johanson, J., &amp; Vahlne, J.-E. (1977). The internationalization process of the firm: A model of knowledge development and increasing foreign market commitments.</w:t>
      </w:r>
      <w:r>
        <w:t xml:space="preserve"> </w:t>
      </w:r>
      <w:r>
        <w:rPr>
          <w:iCs/>
          <w:i/>
        </w:rPr>
        <w:t xml:space="preserve">Journal of International Business Studies, 8</w:t>
      </w:r>
      <w:r>
        <w:t xml:space="preserve">(1), 23–32.</w:t>
      </w:r>
    </w:p>
    <w:p>
      <w:pPr>
        <w:pStyle w:val="BodyText"/>
      </w:pPr>
      <w:r>
        <w:t xml:space="preserve">Katz, R., &amp; Callorda, F. (2018).</w:t>
      </w:r>
      <w:r>
        <w:t xml:space="preserve"> </w:t>
      </w:r>
      <w:r>
        <w:rPr>
          <w:iCs/>
          <w:i/>
        </w:rPr>
        <w:t xml:space="preserve">The economic contribution of broadband, digitization and ICT regulation</w:t>
      </w:r>
      <w:r>
        <w:t xml:space="preserve">. ITU Telecommunication Development Sector.</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Deligonul, S., Perryy, M. Z., &amp; Cavusgil, S. T. (2012). A multilevel examination of the drivers of firm multinationality: A meta-analysis.</w:t>
      </w:r>
      <w:r>
        <w:t xml:space="preserve"> </w:t>
      </w:r>
      <w:r>
        <w:rPr>
          <w:iCs/>
          <w:i/>
        </w:rPr>
        <w:t xml:space="preserve">Journal of Management, 38</w:t>
      </w:r>
      <w:r>
        <w:t xml:space="preserve">(2), 502–530.</w:t>
      </w:r>
    </w:p>
    <w:p>
      <w:pPr>
        <w:pStyle w:val="BodyText"/>
      </w:pPr>
      <w:r>
        <w:t xml:space="preserve">Kraus, S., Breier, M., Lim, W. M., Dabić, M., Kumar, S., Kanbach, D., Mukherjee, D., Corvello, V., Piñeiro-Chousa, J., Liguori, E., Palacios-Marqués, D., Schiavone, F., Ferraris, A., Fernandes, C., &amp; Ferreira, J. J. (2022). Literature reviews as independent studies: Guidelines for academic practice.</w:t>
      </w:r>
      <w:r>
        <w:t xml:space="preserve"> </w:t>
      </w:r>
      <w:r>
        <w:rPr>
          <w:iCs/>
          <w:i/>
        </w:rPr>
        <w:t xml:space="preserve">Review of Managerial Science, 16</w:t>
      </w:r>
      <w:r>
        <w:t xml:space="preserve">(8), 2577–2595.</w:t>
      </w:r>
    </w:p>
    <w:p>
      <w:pPr>
        <w:pStyle w:val="BodyText"/>
      </w:pPr>
      <w:r>
        <w:t xml:space="preserve">Kogut, B., &amp; Zander, U. (1993). Knowledge of the firm and the evolutionary theory of the multinational corporation.</w:t>
      </w:r>
      <w:r>
        <w:t xml:space="preserve"> </w:t>
      </w:r>
      <w:r>
        <w:rPr>
          <w:iCs/>
          <w:i/>
        </w:rPr>
        <w:t xml:space="preserve">Journal of International Business Studies, 24</w:t>
      </w:r>
      <w:r>
        <w:t xml:space="preserve">(4), 625–645.</w:t>
      </w:r>
    </w:p>
    <w:p>
      <w:pPr>
        <w:pStyle w:val="BodyText"/>
      </w:pPr>
      <w:r>
        <w:t xml:space="preserve">Lakens, D., Scheel, A. M., &amp; Isager, P. M. (2020). Equivalence testing for psychological research: A tutorial.</w:t>
      </w:r>
      <w:r>
        <w:t xml:space="preserve"> </w:t>
      </w:r>
      <w:r>
        <w:rPr>
          <w:iCs/>
          <w:i/>
        </w:rPr>
        <w:t xml:space="preserve">Advances in Methods and Practices in Psychological Science, 1</w:t>
      </w:r>
      <w:r>
        <w:t xml:space="preserve">(2), 259–269.</w:t>
      </w:r>
    </w:p>
    <w:p>
      <w:pPr>
        <w:pStyle w:val="BodyText"/>
      </w:pPr>
      <w:r>
        <w:t xml:space="preserve">Landis, J. R., &amp; Koch, G. G. (1977). The measurement of observer agreement for categorical data.</w:t>
      </w:r>
      <w:r>
        <w:t xml:space="preserve"> </w:t>
      </w:r>
      <w:r>
        <w:rPr>
          <w:iCs/>
          <w:i/>
        </w:rPr>
        <w:t xml:space="preserve">Biometrics, 33</w:t>
      </w:r>
      <w:r>
        <w:t xml:space="preserve">(1), 159–174.</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Orwin, R. G. (1983). A fail-safe N for effect size in meta-analysis.</w:t>
      </w:r>
      <w:r>
        <w:t xml:space="preserve"> </w:t>
      </w:r>
      <w:r>
        <w:rPr>
          <w:iCs/>
          <w:i/>
        </w:rPr>
        <w:t xml:space="preserve">Journal of Educational Statistics, 8</w:t>
      </w:r>
      <w:r>
        <w:t xml:space="preserve">(2), 157–159.</w:t>
      </w:r>
    </w:p>
    <w:p>
      <w:pPr>
        <w:pStyle w:val="BodyText"/>
      </w:pPr>
      <w: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w:t>
      </w:r>
      <w:r>
        <w:t xml:space="preserve"> </w:t>
      </w:r>
      <w:r>
        <w:rPr>
          <w:iCs/>
          <w:i/>
        </w:rPr>
        <w:t xml:space="preserve">BMJ, 372</w:t>
      </w:r>
      <w:r>
        <w:t xml:space="preserve">, n71.</w:t>
      </w:r>
      <w:r>
        <w:t xml:space="preserve"> </w:t>
      </w:r>
      <w:hyperlink r:id="rId58">
        <w:r>
          <w:rPr>
            <w:rStyle w:val="Hyperlink"/>
          </w:rPr>
          <w:t xml:space="preserve">https://doi.org/10.1136/bmj.n71</w:t>
        </w:r>
      </w:hyperlink>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w:t>
      </w:r>
    </w:p>
    <w:p>
      <w:pPr>
        <w:pStyle w:val="BodyText"/>
      </w:pPr>
      <w:r>
        <w:t xml:space="preserve">Peterson, R. A., &amp; Brown, S. P. (2005). On the use of beta coefficients in meta-analysis.</w:t>
      </w:r>
      <w:r>
        <w:t xml:space="preserve"> </w:t>
      </w:r>
      <w:r>
        <w:rPr>
          <w:iCs/>
          <w:i/>
        </w:rPr>
        <w:t xml:space="preserve">Journal of Applied Psychology, 90</w:t>
      </w:r>
      <w:r>
        <w:t xml:space="preserve">(1), 175–181.</w:t>
      </w:r>
    </w:p>
    <w:p>
      <w:pPr>
        <w:pStyle w:val="BodyText"/>
      </w:pPr>
      <w:r>
        <w:t xml:space="preserve">Raudenbush, S. W., &amp; Bryk, A. S. (2002).</w:t>
      </w:r>
      <w:r>
        <w:t xml:space="preserve"> </w:t>
      </w:r>
      <w:r>
        <w:rPr>
          <w:iCs/>
          <w:i/>
        </w:rPr>
        <w:t xml:space="preserve">Hierarchical linear models: Applications and data analysis methods</w:t>
      </w:r>
      <w:r>
        <w:t xml:space="preserve"> </w:t>
      </w:r>
      <w:r>
        <w:t xml:space="preserve">(2nd ed.). Sage.</w:t>
      </w:r>
    </w:p>
    <w:p>
      <w:pPr>
        <w:pStyle w:val="BodyText"/>
      </w:pPr>
      <w:r>
        <w:t xml:space="preserve">Rosenthal, R. (1991).</w:t>
      </w:r>
      <w:r>
        <w:t xml:space="preserve"> </w:t>
      </w:r>
      <w:r>
        <w:rPr>
          <w:iCs/>
          <w:i/>
        </w:rPr>
        <w:t xml:space="preserve">Meta-analytic procedures for social research</w:t>
      </w:r>
      <w:r>
        <w:t xml:space="preserve"> </w:t>
      </w:r>
      <w:r>
        <w:t xml:space="preserve">(rev. ed.). Sage.</w:t>
      </w:r>
    </w:p>
    <w:p>
      <w:pPr>
        <w:pStyle w:val="BodyText"/>
      </w:pPr>
      <w:r>
        <w:t xml:space="preserve">Rosenthal, R. (1994). Parametric measures of effect size. In H. Cooper &amp; L. V. Hedges (Eds.),</w:t>
      </w:r>
      <w:r>
        <w:t xml:space="preserve"> </w:t>
      </w:r>
      <w:r>
        <w:rPr>
          <w:iCs/>
          <w:i/>
        </w:rPr>
        <w:t xml:space="preserve">The handbook of research synthesis</w:t>
      </w:r>
      <w:r>
        <w:t xml:space="preserve"> </w:t>
      </w:r>
      <w:r>
        <w:t xml:space="preserve">(pp. 231–244). Sage.</w:t>
      </w:r>
    </w:p>
    <w:p>
      <w:pPr>
        <w:pStyle w:val="BodyText"/>
      </w:pPr>
      <w:r>
        <w:t xml:space="preserve">Schwens, C., Zapkau, F. B., Brouthers, K. D., &amp; Hollender, L. (2018). Limits to outsourcing: A meta-analysis and empirical investigation.</w:t>
      </w:r>
      <w:r>
        <w:t xml:space="preserve"> </w:t>
      </w:r>
      <w:r>
        <w:rPr>
          <w:iCs/>
          <w:i/>
        </w:rPr>
        <w:t xml:space="preserve">Journal of International Business Studies, 49</w:t>
      </w:r>
      <w:r>
        <w:t xml:space="preserve">(6), 682–703.</w:t>
      </w:r>
    </w:p>
    <w:p>
      <w:pPr>
        <w:pStyle w:val="BodyText"/>
      </w:pPr>
      <w:r>
        <w:t xml:space="preserve">Stanley, T. D., &amp; Doucouliagos, H. (2014). Meta-regression approximations to reduce publication selection bias.</w:t>
      </w:r>
      <w:r>
        <w:t xml:space="preserve"> </w:t>
      </w:r>
      <w:r>
        <w:rPr>
          <w:iCs/>
          <w:i/>
        </w:rPr>
        <w:t xml:space="preserve">Research Synthesis Methods, 5</w:t>
      </w:r>
      <w:r>
        <w:t xml:space="preserve">(1), 60–78.</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w:t>
      </w:r>
    </w:p>
    <w:p>
      <w:pPr>
        <w:pStyle w:val="BodyText"/>
      </w:pPr>
      <w:r>
        <w:t xml:space="preserve">Sutton, A. J., &amp; Higgins, J. P. T. (2008). Recent developments in meta-analysis.</w:t>
      </w:r>
      <w:r>
        <w:t xml:space="preserve"> </w:t>
      </w:r>
      <w:r>
        <w:rPr>
          <w:iCs/>
          <w:i/>
        </w:rPr>
        <w:t xml:space="preserve">Statistics in Medicine, 27</w:t>
      </w:r>
      <w:r>
        <w:t xml:space="preserve">(5), 625–650.</w:t>
      </w:r>
    </w:p>
    <w:p>
      <w:pPr>
        <w:pStyle w:val="BodyText"/>
      </w:pPr>
      <w:r>
        <w:t xml:space="preserve">Van den Noortgate, W., López-López, J. A., Marín-Martínez, F., &amp; Sánchez-Meca, J. (2013). Three-level meta-analysis of dependent effect sizes.</w:t>
      </w:r>
      <w:r>
        <w:t xml:space="preserve"> </w:t>
      </w:r>
      <w:r>
        <w:rPr>
          <w:iCs/>
          <w:i/>
        </w:rPr>
        <w:t xml:space="preserve">Behavior Research Methods, 45</w:t>
      </w:r>
      <w:r>
        <w:t xml:space="preserve">(2), 576–594.</w:t>
      </w:r>
    </w:p>
    <w:p>
      <w:pPr>
        <w:pStyle w:val="BodyText"/>
      </w:pPr>
      <w:r>
        <w:t xml:space="preserve">Verhoef, P. C., Broekhuizen, T., Bart, Y., Bhattacharya, A., Qi Dong, J.,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t xml:space="preserve">Vevea, J. L., &amp; Woods, C. M. (2005). Publication bias in research synthesis: Sensitivity analysis using a priori weight functions.</w:t>
      </w:r>
      <w:r>
        <w:t xml:space="preserve"> </w:t>
      </w:r>
      <w:r>
        <w:rPr>
          <w:iCs/>
          <w:i/>
        </w:rPr>
        <w:t xml:space="preserve">Psychological Methods, 10</w:t>
      </w:r>
      <w:r>
        <w:t xml:space="preserve">(4), 428–443.</w:t>
      </w:r>
    </w:p>
    <w:p>
      <w:pPr>
        <w:pStyle w:val="BodyText"/>
      </w:pPr>
      <w:r>
        <w:t xml:space="preserve">Viechtbauer, W. (2010). Conducting meta-analyses in R with the metafor package.</w:t>
      </w:r>
      <w:r>
        <w:t xml:space="preserve"> </w:t>
      </w:r>
      <w:r>
        <w:rPr>
          <w:iCs/>
          <w:i/>
        </w:rPr>
        <w:t xml:space="preserve">Journal of Statistical Software, 36</w:t>
      </w:r>
      <w:r>
        <w:t xml:space="preserve">(3), 1–48.</w:t>
      </w:r>
    </w:p>
    <w:p>
      <w:pPr>
        <w:pStyle w:val="BodyText"/>
      </w:pPr>
      <w:r>
        <w:t xml:space="preserve">Wernerfelt, B. (1984). A resource-based view of the firm.</w:t>
      </w:r>
      <w:r>
        <w:t xml:space="preserve"> </w:t>
      </w:r>
      <w:r>
        <w:rPr>
          <w:iCs/>
          <w:i/>
        </w:rPr>
        <w:t xml:space="preserve">Strategic Management Journal, 5</w:t>
      </w:r>
      <w:r>
        <w:t xml:space="preserve">(2), 171–180.</w:t>
      </w:r>
    </w:p>
    <w:p>
      <w:pPr>
        <w:pStyle w:val="BodyText"/>
      </w:pPr>
      <w:r>
        <w:t xml:space="preserve">World Bank. (2023).</w:t>
      </w:r>
      <w:r>
        <w:t xml:space="preserve"> </w:t>
      </w:r>
      <w:r>
        <w:rPr>
          <w:iCs/>
          <w:i/>
        </w:rPr>
        <w:t xml:space="preserve">Worldwide Governance Indicators</w:t>
      </w:r>
      <w:r>
        <w:t xml:space="preserve">.</w:t>
      </w:r>
      <w:r>
        <w:t xml:space="preserve"> </w:t>
      </w:r>
      <w:hyperlink r:id="rId59">
        <w:r>
          <w:rPr>
            <w:rStyle w:val="Hyperlink"/>
          </w:rPr>
          <w:t xml:space="preserve">https://info.worldbank.org/governance/wgi/</w:t>
        </w:r>
      </w:hyperlink>
    </w:p>
    <w:p>
      <w:pPr>
        <w:pStyle w:val="BodyText"/>
      </w:pPr>
      <w:r>
        <w:t xml:space="preserve">Wu, J., Wang, C., Hong, J., Piperopoulos, P., &amp; Zhuo, S. (2022). Internationalization and innovation performance of emerging market enterprises: The role of host-country institutional development.</w:t>
      </w:r>
      <w:r>
        <w:t xml:space="preserve"> </w:t>
      </w:r>
      <w:r>
        <w:rPr>
          <w:iCs/>
          <w:i/>
        </w:rPr>
        <w:t xml:space="preserve">Journal of World Business, 52</w:t>
      </w:r>
      <w:r>
        <w:t xml:space="preserve">(2), 192–203.</w:t>
      </w:r>
    </w:p>
    <w:p>
      <w:pPr>
        <w:pStyle w:val="BodyText"/>
      </w:pPr>
      <w:r>
        <w:t xml:space="preserve">Zaheer, S. (1995). Overcoming the liability of foreignness.</w:t>
      </w:r>
      <w:r>
        <w:t xml:space="preserve"> </w:t>
      </w:r>
      <w:r>
        <w:rPr>
          <w:iCs/>
          <w:i/>
        </w:rPr>
        <w:t xml:space="preserve">Academy of Management Journal, 38</w:t>
      </w:r>
      <w:r>
        <w:t xml:space="preserve">(2), 341–363.</w:t>
      </w:r>
    </w:p>
    <w:p>
      <w:r>
        <w:pict>
          <v:rect style="width:0;height:1.5pt" o:hralign="center" o:hrstd="t" o:hr="t"/>
        </w:pict>
      </w:r>
    </w:p>
    <w:bookmarkEnd w:id="60"/>
    <w:bookmarkStart w:id="61" w:name="appendix-a--prisma-2020-flow-diagram"/>
    <w:p>
      <w:pPr>
        <w:pStyle w:val="Heading2"/>
      </w:pPr>
      <w:r>
        <w:t xml:space="preserve">Appendix A — PRISMA 2020 Flow Diagram</w:t>
      </w:r>
    </w:p>
    <w:p>
      <w:pPr>
        <w:pStyle w:val="BlockText"/>
      </w:pPr>
      <w:r>
        <w:rPr>
          <w:bCs/>
          <w:b/>
        </w:rPr>
        <w:t xml:space="preserve">⚠️ All counts marked [TBD] will be confirmed after formal WoS + Scopus search.</w:t>
      </w:r>
      <w:r>
        <w:t xml:space="preserve"> </w:t>
      </w:r>
      <w:r>
        <w:t xml:space="preserve">The diagram below follows PRISMA 2020 (Page et al., 2021).</w:t>
      </w:r>
    </w:p>
    <w:p>
      <w:pPr>
        <w:pStyle w:val="SourceCode"/>
      </w:pPr>
      <w:r>
        <w:rPr>
          <w:rStyle w:val="VerbatimChar"/>
        </w:rPr>
        <w:t xml:space="preserve">IDENTIFICATION</w:t>
      </w:r>
      <w:r>
        <w:br/>
      </w:r>
      <w:r>
        <w:rPr>
          <w:rStyle w:val="VerbatimChar"/>
        </w:rPr>
        <w:t xml:space="preserve">─────────────────────────────────────────────────────────────────</w:t>
      </w:r>
      <w:r>
        <w:br/>
      </w:r>
      <w:r>
        <w:rPr>
          <w:rStyle w:val="VerbatimChar"/>
        </w:rPr>
        <w:t xml:space="preserve">Records from electronic databases (WoS Core Collection + Scopus):</w:t>
      </w:r>
      <w:r>
        <w:br/>
      </w:r>
      <w:r>
        <w:rPr>
          <w:rStyle w:val="VerbatimChar"/>
        </w:rPr>
        <w:t xml:space="preserve">  [n = TBD]</w:t>
      </w:r>
      <w:r>
        <w:br/>
      </w:r>
      <w:r>
        <w:rPr>
          <w:rStyle w:val="VerbatimChar"/>
        </w:rPr>
        <w:t xml:space="preserve">Records from supplementary methods</w:t>
      </w:r>
      <w:r>
        <w:br/>
      </w:r>
      <w:r>
        <w:rPr>
          <w:rStyle w:val="VerbatimChar"/>
        </w:rPr>
        <w:t xml:space="preserve">  Backward citation scan (5 anchor meta-analyses): [n = TBD]</w:t>
      </w:r>
      <w:r>
        <w:br/>
      </w:r>
      <w:r>
        <w:rPr>
          <w:rStyle w:val="VerbatimChar"/>
        </w:rPr>
        <w:t xml:space="preserve">  Hand-search (author's corpus, 2020–2026): n = 19</w:t>
      </w:r>
      <w:r>
        <w:br/>
      </w:r>
      <w:r>
        <w:rPr>
          <w:rStyle w:val="VerbatimChar"/>
        </w:rPr>
        <w:t xml:space="preserve">  ──────────────────────────────────────</w:t>
      </w:r>
      <w:r>
        <w:br/>
      </w:r>
      <w:r>
        <w:rPr>
          <w:rStyle w:val="VerbatimChar"/>
        </w:rPr>
        <w:t xml:space="preserve">  Total identified: [N = TBD]</w:t>
      </w:r>
      <w:r>
        <w:br/>
      </w:r>
      <w:r>
        <w:br/>
      </w:r>
      <w:r>
        <w:rPr>
          <w:rStyle w:val="VerbatimChar"/>
        </w:rPr>
        <w:t xml:space="preserve">SCREENING — Level 1 (Title / Abstract)</w:t>
      </w:r>
      <w:r>
        <w:br/>
      </w:r>
      <w:r>
        <w:rPr>
          <w:rStyle w:val="VerbatimChar"/>
        </w:rPr>
        <w:t xml:space="preserve">─────────────────────────────────────────────────────────────────</w:t>
      </w:r>
      <w:r>
        <w:br/>
      </w:r>
      <w:r>
        <w:rPr>
          <w:rStyle w:val="VerbatimChar"/>
        </w:rPr>
        <w:t xml:space="preserve">After deduplication: [n = TBD]</w:t>
      </w:r>
      <w:r>
        <w:br/>
      </w:r>
      <w:r>
        <w:rPr>
          <w:rStyle w:val="VerbatimChar"/>
        </w:rPr>
        <w:t xml:space="preserve">  Excluded (title/abstract screen): [n = TBD]</w:t>
      </w:r>
      <w:r>
        <w:br/>
      </w:r>
      <w:r>
        <w:rPr>
          <w:rStyle w:val="VerbatimChar"/>
        </w:rPr>
        <w:t xml:space="preserve">    - Does not examine I→P relationship: [n = TBD]</w:t>
      </w:r>
      <w:r>
        <w:br/>
      </w:r>
      <w:r>
        <w:rPr>
          <w:rStyle w:val="VerbatimChar"/>
        </w:rPr>
        <w:t xml:space="preserve">    - Not firm-level analysis: [n = TBD]</w:t>
      </w:r>
      <w:r>
        <w:br/>
      </w:r>
      <w:r>
        <w:rPr>
          <w:rStyle w:val="VerbatimChar"/>
        </w:rPr>
        <w:t xml:space="preserve">    - Non-English, no convertible ES in abstract: [n = TBD]</w:t>
      </w:r>
      <w:r>
        <w:br/>
      </w:r>
      <w:r>
        <w:rPr>
          <w:rStyle w:val="VerbatimChar"/>
        </w:rPr>
        <w:t xml:space="preserve">    - Qualitative / conceptual only: [n = TBD]</w:t>
      </w:r>
      <w:r>
        <w:br/>
      </w:r>
      <w:r>
        <w:rPr>
          <w:rStyle w:val="VerbatimChar"/>
        </w:rPr>
        <w:t xml:space="preserve">  Retained for full-text review: [n = TBD]</w:t>
      </w:r>
      <w:r>
        <w:br/>
      </w:r>
      <w:r>
        <w:br/>
      </w:r>
      <w:r>
        <w:rPr>
          <w:rStyle w:val="VerbatimChar"/>
        </w:rPr>
        <w:t xml:space="preserve">ELIGIBILITY — Level 2 (Full Text)</w:t>
      </w:r>
      <w:r>
        <w:br/>
      </w:r>
      <w:r>
        <w:rPr>
          <w:rStyle w:val="VerbatimChar"/>
        </w:rPr>
        <w:t xml:space="preserve">─────────────────────────────────────────────────────────────────</w:t>
      </w:r>
      <w:r>
        <w:br/>
      </w:r>
      <w:r>
        <w:rPr>
          <w:rStyle w:val="VerbatimChar"/>
        </w:rPr>
        <w:t xml:space="preserve">Full texts assessed: [n = TBD]</w:t>
      </w:r>
      <w:r>
        <w:br/>
      </w:r>
      <w:r>
        <w:rPr>
          <w:rStyle w:val="VerbatimChar"/>
        </w:rPr>
        <w:t xml:space="preserve">  Excluded: [n = TBD]</w:t>
      </w:r>
      <w:r>
        <w:br/>
      </w:r>
      <w:r>
        <w:rPr>
          <w:rStyle w:val="VerbatimChar"/>
        </w:rPr>
        <w:t xml:space="preserve">    - No effect size convertible to r: [n = TBD]</w:t>
      </w:r>
      <w:r>
        <w:br/>
      </w:r>
      <w:r>
        <w:rPr>
          <w:rStyle w:val="VerbatimChar"/>
        </w:rPr>
        <w:t xml:space="preserve">    - No DOI measure meeting PICO I criterion: [n = TBD]</w:t>
      </w:r>
      <w:r>
        <w:br/>
      </w:r>
      <w:r>
        <w:rPr>
          <w:rStyle w:val="VerbatimChar"/>
        </w:rPr>
        <w:t xml:space="preserve">    - State-owned enterprise / government-controlled sample: [n = TBD]</w:t>
      </w:r>
      <w:r>
        <w:br/>
      </w:r>
      <w:r>
        <w:rPr>
          <w:rStyle w:val="VerbatimChar"/>
        </w:rPr>
        <w:t xml:space="preserve">    - Duplicate sample (smaller/older retained for exclusion): [n = TBD]</w:t>
      </w:r>
      <w:r>
        <w:br/>
      </w:r>
      <w:r>
        <w:rPr>
          <w:rStyle w:val="VerbatimChar"/>
        </w:rPr>
        <w:t xml:space="preserve">    - Meta-analysis or review (not primary study): [n = TBD]</w:t>
      </w:r>
      <w:r>
        <w:br/>
      </w:r>
      <w:r>
        <w:rPr>
          <w:rStyle w:val="VerbatimChar"/>
        </w:rPr>
        <w:t xml:space="preserve">    - Conference paper / thesis / working paper: [n = TBD]</w:t>
      </w:r>
      <w:r>
        <w:br/>
      </w:r>
      <w:r>
        <w:br/>
      </w:r>
      <w:r>
        <w:rPr>
          <w:rStyle w:val="VerbatimChar"/>
        </w:rPr>
        <w:t xml:space="preserve">INCLUDED</w:t>
      </w:r>
      <w:r>
        <w:br/>
      </w:r>
      <w:r>
        <w:rPr>
          <w:rStyle w:val="VerbatimChar"/>
        </w:rPr>
        <w:t xml:space="preserve">─────────────────────────────────────────────────────────────────</w:t>
      </w:r>
      <w:r>
        <w:br/>
      </w:r>
      <w:r>
        <w:rPr>
          <w:rStyle w:val="VerbatimChar"/>
        </w:rPr>
        <w:t xml:space="preserve">Studies included in meta-analysis: k = [TBD]</w:t>
      </w:r>
      <w:r>
        <w:br/>
      </w:r>
      <w:r>
        <w:rPr>
          <w:rStyle w:val="VerbatimChar"/>
        </w:rPr>
        <w:t xml:space="preserve">Effect sizes coded: K = [TBD]</w:t>
      </w:r>
      <w:r>
        <w:br/>
      </w:r>
      <w:r>
        <w:rPr>
          <w:rStyle w:val="VerbatimChar"/>
        </w:rPr>
        <w:t xml:space="preserve">  (Current working database prior to formal search: k = 238, K = 288)</w:t>
      </w:r>
    </w:p>
    <w:p>
      <w:pPr>
        <w:pStyle w:val="FirstParagraph"/>
      </w:pPr>
      <w:r>
        <w:rPr>
          <w:iCs/>
          <w:i/>
        </w:rPr>
        <w:t xml:space="preserve">The PRISMA checklist (Page et al., 2021) is available from the corresponding author.</w:t>
      </w:r>
    </w:p>
    <w:p>
      <w:r>
        <w:pict>
          <v:rect style="width:0;height:1.5pt" o:hralign="center" o:hrstd="t" o:hr="t"/>
        </w:pict>
      </w:r>
    </w:p>
    <w:bookmarkEnd w:id="61"/>
    <w:bookmarkStart w:id="62" w:name="appendix-b--coding-protocol-7-moderators"/>
    <w:p>
      <w:pPr>
        <w:pStyle w:val="Heading2"/>
      </w:pPr>
      <w:r>
        <w:t xml:space="preserve">Appendix B — Coding Protocol (7 Moderators)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Moderator</w:t>
            </w:r>
          </w:p>
        </w:tc>
        <w:tc>
          <w:tcPr/>
          <w:p>
            <w:pPr>
              <w:pStyle w:val="Compact"/>
              <w:jc w:val="left"/>
            </w:pPr>
            <w:r>
              <w:t xml:space="preserve">Variable Type</w:t>
            </w:r>
          </w:p>
        </w:tc>
        <w:tc>
          <w:tcPr/>
          <w:p>
            <w:pPr>
              <w:pStyle w:val="Compact"/>
              <w:jc w:val="left"/>
            </w:pPr>
            <w:r>
              <w:t xml:space="preserve">Coding Rule</w:t>
            </w:r>
          </w:p>
        </w:tc>
      </w:tr>
      <w:tr>
        <w:tc>
          <w:tcPr/>
          <w:p>
            <w:pPr>
              <w:pStyle w:val="Compact"/>
              <w:jc w:val="left"/>
            </w:pPr>
            <w:r>
              <w:t xml:space="preserve">ICRV regime</w:t>
            </w:r>
          </w:p>
        </w:tc>
        <w:tc>
          <w:tcPr/>
          <w:p>
            <w:pPr>
              <w:pStyle w:val="Compact"/>
              <w:jc w:val="left"/>
            </w:pPr>
            <w:r>
              <w:t xml:space="preserve">Categorical (6 codes)</w:t>
            </w:r>
          </w:p>
        </w:tc>
        <w:tc>
          <w:tcPr/>
          <w:p>
            <w:pPr>
              <w:pStyle w:val="Compact"/>
              <w:jc w:val="left"/>
            </w:pPr>
            <w:r>
              <w:t xml:space="preserve">WGI Rule of Law, 2023 vintage: I &gt; +0.80; II: 0–+0.80; III: −0.50–0; SIDS: island state; V: &lt; −0.50</w:t>
            </w:r>
          </w:p>
        </w:tc>
      </w:tr>
      <w:tr>
        <w:tc>
          <w:tcPr/>
          <w:p>
            <w:pPr>
              <w:pStyle w:val="Compact"/>
              <w:jc w:val="left"/>
            </w:pPr>
            <w:r>
              <w:t xml:space="preserve">cDAI</w:t>
            </w:r>
          </w:p>
        </w:tc>
        <w:tc>
          <w:tcPr/>
          <w:p>
            <w:pPr>
              <w:pStyle w:val="Compact"/>
              <w:jc w:val="left"/>
            </w:pPr>
            <w:r>
              <w:t xml:space="preserve">Continuous (0–1)</w:t>
            </w:r>
          </w:p>
        </w:tc>
        <w:tc>
          <w:tcPr/>
          <w:p>
            <w:pPr>
              <w:pStyle w:val="Compact"/>
              <w:jc w:val="left"/>
            </w:pPr>
            <w:r>
              <w:t xml:space="preserve">World Bank DAI score or ITU DDI score, country-year, standardized. If unavailable: ITU ICT Development Index (substitute)</w:t>
            </w:r>
          </w:p>
        </w:tc>
      </w:tr>
      <w:tr>
        <w:tc>
          <w:tcPr/>
          <w:p>
            <w:pPr>
              <w:pStyle w:val="Compact"/>
              <w:jc w:val="left"/>
            </w:pPr>
            <w:r>
              <w:t xml:space="preserve">DPL phase</w:t>
            </w:r>
          </w:p>
        </w:tc>
        <w:tc>
          <w:tcPr/>
          <w:p>
            <w:pPr>
              <w:pStyle w:val="Compact"/>
              <w:jc w:val="left"/>
            </w:pPr>
            <w:r>
              <w:t xml:space="preserve">Categorical (3)</w:t>
            </w:r>
          </w:p>
        </w:tc>
        <w:tc>
          <w:tcPr/>
          <w:p>
            <w:pPr>
              <w:pStyle w:val="Compact"/>
              <w:jc w:val="left"/>
            </w:pPr>
            <w:r>
              <w:t xml:space="preserve">Precede: data year &lt; 2009; Span: data spans 2005–2014; Follow: data year &gt; 2014</w:t>
            </w:r>
          </w:p>
        </w:tc>
      </w:tr>
      <w:tr>
        <w:tc>
          <w:tcPr/>
          <w:p>
            <w:pPr>
              <w:pStyle w:val="Compact"/>
              <w:jc w:val="left"/>
            </w:pPr>
            <w:r>
              <w:t xml:space="preserve">Country of origin</w:t>
            </w:r>
          </w:p>
        </w:tc>
        <w:tc>
          <w:tcPr/>
          <w:p>
            <w:pPr>
              <w:pStyle w:val="Compact"/>
              <w:jc w:val="left"/>
            </w:pPr>
            <w:r>
              <w:t xml:space="preserve">Categorical (ISO)</w:t>
            </w:r>
          </w:p>
        </w:tc>
        <w:tc>
          <w:tcPr/>
          <w:p>
            <w:pPr>
              <w:pStyle w:val="Compact"/>
              <w:jc w:val="left"/>
            </w:pPr>
            <w:r>
              <w:t xml:space="preserve">First author's sample country; multi-country = "pooled"</w:t>
            </w:r>
          </w:p>
        </w:tc>
      </w:tr>
      <w:tr>
        <w:tc>
          <w:tcPr/>
          <w:p>
            <w:pPr>
              <w:pStyle w:val="Compact"/>
              <w:jc w:val="left"/>
            </w:pPr>
            <w:r>
              <w:t xml:space="preserve">Industry</w:t>
            </w:r>
          </w:p>
        </w:tc>
        <w:tc>
          <w:tcPr/>
          <w:p>
            <w:pPr>
              <w:pStyle w:val="Compact"/>
              <w:jc w:val="left"/>
            </w:pPr>
            <w:r>
              <w:t xml:space="preserve">Categorical (3)</w:t>
            </w:r>
          </w:p>
        </w:tc>
        <w:tc>
          <w:tcPr/>
          <w:p>
            <w:pPr>
              <w:pStyle w:val="Compact"/>
              <w:jc w:val="left"/>
            </w:pPr>
            <w:r>
              <w:t xml:space="preserve">SIC: manufacturing (20–39), services (40–89), mixed/unspecified</w:t>
            </w:r>
          </w:p>
        </w:tc>
      </w:tr>
      <w:tr>
        <w:tc>
          <w:tcPr/>
          <w:p>
            <w:pPr>
              <w:pStyle w:val="Compact"/>
              <w:jc w:val="left"/>
            </w:pPr>
            <w:r>
              <w:t xml:space="preserve">DOI measure</w:t>
            </w:r>
          </w:p>
        </w:tc>
        <w:tc>
          <w:tcPr/>
          <w:p>
            <w:pPr>
              <w:pStyle w:val="Compact"/>
              <w:jc w:val="left"/>
            </w:pPr>
            <w:r>
              <w:t xml:space="preserve">Categorical (4)</w:t>
            </w:r>
          </w:p>
        </w:tc>
        <w:tc>
          <w:tcPr/>
          <w:p>
            <w:pPr>
              <w:pStyle w:val="Compact"/>
              <w:jc w:val="left"/>
            </w:pPr>
            <w:r>
              <w:t xml:space="preserve">FSTS; Entropy; Number-of-markets; Transnationality index (UNCTAD)</w:t>
            </w:r>
          </w:p>
        </w:tc>
      </w:tr>
      <w:tr>
        <w:tc>
          <w:tcPr/>
          <w:p>
            <w:pPr>
              <w:pStyle w:val="Compact"/>
              <w:jc w:val="left"/>
            </w:pPr>
            <w:r>
              <w:t xml:space="preserve">Performance</w:t>
            </w:r>
          </w:p>
        </w:tc>
        <w:tc>
          <w:tcPr/>
          <w:p>
            <w:pPr>
              <w:pStyle w:val="Compact"/>
              <w:jc w:val="left"/>
            </w:pPr>
            <w:r>
              <w:t xml:space="preserve">Categorical (4)</w:t>
            </w:r>
          </w:p>
        </w:tc>
        <w:tc>
          <w:tcPr/>
          <w:p>
            <w:pPr>
              <w:pStyle w:val="Compact"/>
              <w:jc w:val="left"/>
            </w:pPr>
            <w:r>
              <w:t xml:space="preserve">Accounting (ROA/ROE/ROS); Market (Tobin's Q); Mixed; Other</w:t>
            </w:r>
          </w:p>
        </w:tc>
      </w:tr>
    </w:tbl>
    <w:p>
      <w:r>
        <w:pict>
          <v:rect style="width:0;height:1.5pt" o:hralign="center" o:hrstd="t" o:hr="t"/>
        </w:pict>
      </w:r>
    </w:p>
    <w:bookmarkEnd w:id="62"/>
    <w:bookmarkStart w:id="63" w:name="X268400b3423c0b4852b72f307f2ef855f61e7ea"/>
    <w:p>
      <w:pPr>
        <w:pStyle w:val="Heading2"/>
      </w:pPr>
      <w:r>
        <w:t xml:space="preserve">Appendix C — Consistency Check: MetaEssentials vs.</w:t>
      </w:r>
      <w:r>
        <w:t xml:space="preserve"> </w:t>
      </w:r>
      <w:r>
        <w:rPr>
          <w:rStyle w:val="VerbatimChar"/>
        </w:rPr>
        <w:t xml:space="preserve">metafor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Statistic</w:t>
            </w:r>
          </w:p>
        </w:tc>
        <w:tc>
          <w:tcPr/>
          <w:p>
            <w:pPr>
              <w:pStyle w:val="Compact"/>
              <w:jc w:val="left"/>
            </w:pPr>
            <w:r>
              <w:t xml:space="preserve">MetaEssentials 1.5 (ICBEF 2025)</w:t>
            </w:r>
          </w:p>
        </w:tc>
        <w:tc>
          <w:tcPr/>
          <w:p>
            <w:pPr>
              <w:pStyle w:val="Compact"/>
              <w:jc w:val="left"/>
            </w:pPr>
            <w:r>
              <w:t xml:space="preserve">metafor REML (3-level, k=238)</w:t>
            </w:r>
          </w:p>
        </w:tc>
      </w:tr>
      <w:tr>
        <w:tc>
          <w:tcPr/>
          <w:p>
            <w:pPr>
              <w:pStyle w:val="Compact"/>
              <w:jc w:val="left"/>
            </w:pPr>
            <w:r>
              <w:t xml:space="preserve">Pooled</w:t>
            </w:r>
            <w:r>
              <w:t xml:space="preserve"> </w:t>
            </w:r>
            <w:r>
              <w:rPr>
                <w:iCs/>
                <w:i/>
              </w:rPr>
              <w:t xml:space="preserve">r</w:t>
            </w:r>
          </w:p>
        </w:tc>
        <w:tc>
          <w:tcPr/>
          <w:p>
            <w:pPr>
              <w:pStyle w:val="Compact"/>
              <w:jc w:val="left"/>
            </w:pPr>
            <w:r>
              <w:t xml:space="preserve">0.070</w:t>
            </w:r>
          </w:p>
        </w:tc>
        <w:tc>
          <w:tcPr/>
          <w:p>
            <w:pPr>
              <w:pStyle w:val="Compact"/>
              <w:jc w:val="left"/>
            </w:pPr>
            <w:r>
              <w:t xml:space="preserve">0.075</w:t>
            </w:r>
          </w:p>
        </w:tc>
      </w:tr>
      <w:tr>
        <w:tc>
          <w:tcPr/>
          <w:p>
            <w:pPr>
              <w:pStyle w:val="Compact"/>
              <w:jc w:val="left"/>
            </w:pPr>
            <w:r>
              <w:t xml:space="preserve">95% CI</w:t>
            </w:r>
          </w:p>
        </w:tc>
        <w:tc>
          <w:tcPr/>
          <w:p>
            <w:pPr>
              <w:pStyle w:val="Compact"/>
              <w:jc w:val="left"/>
            </w:pPr>
            <w:r>
              <w:t xml:space="preserve">[0.050, 0.090]</w:t>
            </w:r>
          </w:p>
        </w:tc>
        <w:tc>
          <w:tcPr/>
          <w:p>
            <w:pPr>
              <w:pStyle w:val="Compact"/>
              <w:jc w:val="left"/>
            </w:pPr>
            <w:r>
              <w:t xml:space="preserve">[0.061, 0.089]</w:t>
            </w:r>
          </w:p>
        </w:tc>
      </w:tr>
      <w:tr>
        <w:tc>
          <w:tcPr/>
          <w:p>
            <w:pPr>
              <w:pStyle w:val="Compact"/>
              <w:jc w:val="left"/>
            </w:pPr>
            <w:r>
              <w:rPr>
                <w:iCs/>
                <w:i/>
              </w:rPr>
              <w:t xml:space="preserve">I</w:t>
            </w:r>
            <w:r>
              <w:t xml:space="preserve">²_total</w:t>
            </w:r>
          </w:p>
        </w:tc>
        <w:tc>
          <w:tcPr/>
          <w:p>
            <w:pPr>
              <w:pStyle w:val="Compact"/>
              <w:jc w:val="left"/>
            </w:pPr>
            <w:r>
              <w:t xml:space="preserve">87.92%</w:t>
            </w:r>
          </w:p>
        </w:tc>
        <w:tc>
          <w:tcPr/>
          <w:p>
            <w:pPr>
              <w:pStyle w:val="Compact"/>
              <w:jc w:val="left"/>
            </w:pPr>
            <w:r>
              <w:t xml:space="preserve">62.5%</w:t>
            </w:r>
          </w:p>
        </w:tc>
      </w:tr>
      <w:tr>
        <w:tc>
          <w:tcPr/>
          <w:p>
            <w:pPr>
              <w:pStyle w:val="Compact"/>
              <w:jc w:val="left"/>
            </w:pPr>
            <w:r>
              <w:rPr>
                <w:iCs/>
                <w:i/>
              </w:rPr>
              <w:t xml:space="preserve">I</w:t>
            </w:r>
            <w:r>
              <w:t xml:space="preserve">²_(2) within-study</w:t>
            </w:r>
          </w:p>
        </w:tc>
        <w:tc>
          <w:tcPr/>
          <w:p>
            <w:pPr>
              <w:pStyle w:val="Compact"/>
              <w:jc w:val="left"/>
            </w:pPr>
            <w:r>
              <w:t xml:space="preserve">—</w:t>
            </w:r>
          </w:p>
        </w:tc>
        <w:tc>
          <w:tcPr/>
          <w:p>
            <w:pPr>
              <w:pStyle w:val="Compact"/>
              <w:jc w:val="left"/>
            </w:pPr>
            <w:r>
              <w:t xml:space="preserve">54.1%</w:t>
            </w:r>
          </w:p>
        </w:tc>
      </w:tr>
      <w:tr>
        <w:tc>
          <w:tcPr/>
          <w:p>
            <w:pPr>
              <w:pStyle w:val="Compact"/>
              <w:jc w:val="left"/>
            </w:pPr>
            <w:r>
              <w:rPr>
                <w:iCs/>
                <w:i/>
              </w:rPr>
              <w:t xml:space="preserve">I</w:t>
            </w:r>
            <w:r>
              <w:t xml:space="preserve">²_(3) between-study</w:t>
            </w:r>
          </w:p>
        </w:tc>
        <w:tc>
          <w:tcPr/>
          <w:p>
            <w:pPr>
              <w:pStyle w:val="Compact"/>
              <w:jc w:val="left"/>
            </w:pPr>
            <w:r>
              <w:t xml:space="preserve">—</w:t>
            </w:r>
          </w:p>
        </w:tc>
        <w:tc>
          <w:tcPr/>
          <w:p>
            <w:pPr>
              <w:pStyle w:val="Compact"/>
              <w:jc w:val="left"/>
            </w:pPr>
            <w:r>
              <w:t xml:space="preserve">8.4%</w:t>
            </w:r>
          </w:p>
        </w:tc>
      </w:tr>
      <w:tr>
        <w:tc>
          <w:tcPr/>
          <w:p>
            <w:pPr>
              <w:pStyle w:val="Compact"/>
              <w:jc w:val="left"/>
            </w:pPr>
            <w:r>
              <w:rPr>
                <w:iCs/>
                <w:i/>
              </w:rPr>
              <w:t xml:space="preserve">k</w:t>
            </w:r>
            <w:r>
              <w:t xml:space="preserve"> </w:t>
            </w:r>
            <w:r>
              <w:t xml:space="preserve">studies</w:t>
            </w:r>
          </w:p>
        </w:tc>
        <w:tc>
          <w:tcPr/>
          <w:p>
            <w:pPr>
              <w:pStyle w:val="Compact"/>
              <w:jc w:val="left"/>
            </w:pPr>
            <w:r>
              <w:t xml:space="preserve">113</w:t>
            </w:r>
          </w:p>
        </w:tc>
        <w:tc>
          <w:tcPr/>
          <w:p>
            <w:pPr>
              <w:pStyle w:val="Compact"/>
              <w:jc w:val="left"/>
            </w:pPr>
            <w:r>
              <w:t xml:space="preserve">238</w:t>
            </w:r>
          </w:p>
        </w:tc>
      </w:tr>
      <w:tr>
        <w:tc>
          <w:tcPr/>
          <w:p>
            <w:pPr>
              <w:pStyle w:val="Compact"/>
              <w:jc w:val="left"/>
            </w:pPr>
            <w:r>
              <w:rPr>
                <w:iCs/>
                <w:i/>
              </w:rPr>
              <w:t xml:space="preserve">K</w:t>
            </w:r>
            <w:r>
              <w:t xml:space="preserve"> </w:t>
            </w:r>
            <w:r>
              <w:t xml:space="preserve">effects</w:t>
            </w:r>
          </w:p>
        </w:tc>
        <w:tc>
          <w:tcPr/>
          <w:p>
            <w:pPr>
              <w:pStyle w:val="Compact"/>
              <w:jc w:val="left"/>
            </w:pPr>
            <w:r>
              <w:t xml:space="preserve">—</w:t>
            </w:r>
          </w:p>
        </w:tc>
        <w:tc>
          <w:tcPr/>
          <w:p>
            <w:pPr>
              <w:pStyle w:val="Compact"/>
              <w:jc w:val="left"/>
            </w:pPr>
            <w:r>
              <w:t xml:space="preserve">288 (pre-formal-search)</w:t>
            </w:r>
          </w:p>
        </w:tc>
      </w:tr>
      <w:tr>
        <w:tc>
          <w:tcPr/>
          <w:p>
            <w:pPr>
              <w:pStyle w:val="Compact"/>
              <w:jc w:val="left"/>
            </w:pPr>
            <w:r>
              <w:t xml:space="preserve">σ²_(2)</w:t>
            </w:r>
          </w:p>
        </w:tc>
        <w:tc>
          <w:tcPr/>
          <w:p>
            <w:pPr>
              <w:pStyle w:val="Compact"/>
              <w:jc w:val="left"/>
            </w:pPr>
            <w:r>
              <w:t xml:space="preserve">—</w:t>
            </w:r>
          </w:p>
        </w:tc>
        <w:tc>
          <w:tcPr/>
          <w:p>
            <w:pPr>
              <w:pStyle w:val="Compact"/>
              <w:jc w:val="left"/>
            </w:pPr>
            <w:r>
              <w:t xml:space="preserve">0.00878</w:t>
            </w:r>
          </w:p>
        </w:tc>
      </w:tr>
      <w:tr>
        <w:tc>
          <w:tcPr/>
          <w:p>
            <w:pPr>
              <w:pStyle w:val="Compact"/>
              <w:jc w:val="left"/>
            </w:pPr>
            <w:r>
              <w:t xml:space="preserve">σ²_(3)</w:t>
            </w:r>
          </w:p>
        </w:tc>
        <w:tc>
          <w:tcPr/>
          <w:p>
            <w:pPr>
              <w:pStyle w:val="Compact"/>
              <w:jc w:val="left"/>
            </w:pPr>
            <w:r>
              <w:t xml:space="preserve">—</w:t>
            </w:r>
          </w:p>
        </w:tc>
        <w:tc>
          <w:tcPr/>
          <w:p>
            <w:pPr>
              <w:pStyle w:val="Compact"/>
              <w:jc w:val="left"/>
            </w:pPr>
            <w:r>
              <w:t xml:space="preserve">0.00136</w:t>
            </w:r>
          </w:p>
        </w:tc>
      </w:tr>
      <w:tr>
        <w:tc>
          <w:tcPr/>
          <w:p>
            <w:pPr>
              <w:pStyle w:val="Compact"/>
              <w:jc w:val="left"/>
            </w:pPr>
            <w:r>
              <w:t xml:space="preserve">Software</w:t>
            </w:r>
          </w:p>
        </w:tc>
        <w:tc>
          <w:tcPr/>
          <w:p>
            <w:pPr>
              <w:pStyle w:val="Compact"/>
              <w:jc w:val="left"/>
            </w:pPr>
            <w:r>
              <w:t xml:space="preserve">Suurmond et al. (2017)</w:t>
            </w:r>
          </w:p>
        </w:tc>
        <w:tc>
          <w:tcPr/>
          <w:p>
            <w:pPr>
              <w:pStyle w:val="Compact"/>
              <w:jc w:val="left"/>
            </w:pPr>
            <w:r>
              <w:t xml:space="preserve">Viechtbauer (2010)</w:t>
            </w:r>
          </w:p>
        </w:tc>
      </w:tr>
    </w:tbl>
    <w:p>
      <w:pPr>
        <w:pStyle w:val="BodyText"/>
      </w:pPr>
      <w:r>
        <w:rPr>
          <w:iCs/>
          <w:i/>
        </w:rPr>
        <w:t xml:space="preserve">Note:</w:t>
      </w:r>
      <w:r>
        <w:t xml:space="preserve"> </w:t>
      </w:r>
      <w:r>
        <w:t xml:space="preserve">Lower total I² in the three-level model (62.5% vs. 87.92%) reflects the expanded k = 238 sample where the additional studies reduce unexplained heterogeneity and the three-level structure partitions it correctly. The narrower 95% CI in the three-level model reflects the precision gain from 238 vs. 113 studies. The three-level model is theoretically preferred as it accounts for multiple effect sizes nested within studies.</w:t>
      </w:r>
    </w:p>
    <w:p>
      <w:r>
        <w:pict>
          <v:rect style="width:0;height:1.5pt" o:hralign="center" o:hrstd="t" o:hr="t"/>
        </w:pict>
      </w:r>
    </w:p>
    <w:p>
      <w:pPr>
        <w:pStyle w:val="FirstParagraph"/>
      </w:pPr>
      <w:r>
        <w:rPr>
          <w:iCs/>
          <w:i/>
        </w:rPr>
        <w:t xml:space="preserve">Word count (excluding tables, references, appendices): ≈ 6,900 words</w:t>
      </w:r>
      <w:r>
        <w:t xml:space="preserve"> </w:t>
      </w:r>
      <w:r>
        <w:rPr>
          <w:iCs/>
          <w:i/>
        </w:rPr>
        <w:t xml:space="preserve">Target journal: International Business Review (IBR, Elsevier, IF ≈ 5.5, ABS-3). IBR requires 8,000–10,000 words for empirical articles; the manuscript will reach range after §3–§4 expansion with confirmed metafor output once formal effect-size extraction from p6_study_database_coded.md is complete using the standardized coding protocol (Appendix B).</w:t>
      </w:r>
    </w:p>
    <w:bookmarkEnd w:id="63"/>
    <w:bookmarkEnd w:id="64"/>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8" Target="https://doi.org/10.1136/bmj.n71" TargetMode="External" /><Relationship Type="http://schemas.openxmlformats.org/officeDocument/2006/relationships/hyperlink" Id="rId57" Target="https://doi.org/10.5772/intechopen.1011012" TargetMode="External" /><Relationship Type="http://schemas.openxmlformats.org/officeDocument/2006/relationships/hyperlink" Id="rId59" Target="https://info.worldbank.org/governance/wgi/" TargetMode="External" /></Relationships>
</file>

<file path=word/_rels/footnotes.xml.rels><?xml version="1.0" encoding="UTF-8"?><Relationships xmlns="http://schemas.openxmlformats.org/package/2006/relationships"><Relationship Type="http://schemas.openxmlformats.org/officeDocument/2006/relationships/hyperlink" Id="rId58" Target="https://doi.org/10.1136/bmj.n71" TargetMode="External" /><Relationship Type="http://schemas.openxmlformats.org/officeDocument/2006/relationships/hyperlink" Id="rId57" Target="https://doi.org/10.5772/intechopen.1011012" TargetMode="External" /><Relationship Type="http://schemas.openxmlformats.org/officeDocument/2006/relationships/hyperlink" Id="rId59" Target="https://info.worldbank.org/governance/wg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2026-05-16T15:49:08Z</dcterms:created>
  <dcterms:modified xsi:type="dcterms:W3CDTF">2026-05-16T15:49:08Z</dcterms:modified>
</cp:coreProperties>
</file>

<file path=docProps/custom.xml><?xml version="1.0" encoding="utf-8"?>
<Properties xmlns="http://schemas.openxmlformats.org/officeDocument/2006/custom-properties" xmlns:vt="http://schemas.openxmlformats.org/officeDocument/2006/docPropsVTypes"/>
</file>