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7c3a2f9ec246b5120b9b19625fb58c0a5f9521"/>
    <w:p>
      <w:pPr>
        <w:pStyle w:val="Heading1"/>
      </w:pPr>
      <w:r>
        <w:t xml:space="preserve">Technological Capability, Digital Adoption, and the Internationalization–Performance Relationship: A Firm-Level Study of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0"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First, the I–P relationship within the observed export-intensity range is better characterized as predominantly positive with mild quadratic curvature than as an inverted-U; the implied turning point lies in a sparsely populated upper tail. Second, TCI is positively associated with labour productivity, but no TCI moderation of the I–P curve is detected. Third, DAI does not produce a uniform productivity premium; instead, its productivity association becomes more positive only at higher export intensity, with the clearest signal in the high-export tail. These findings suggest that foundational digital adoption functions as a contingent scaling resource — its productivity relevance activates under cross-border coordination demands —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 These conditions are empirically grounded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while the Smart Nation 2.0 initiative (launched 2024) formalizes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we term a</w:t>
      </w:r>
      <w:r>
        <w:t xml:space="preserve"> </w:t>
      </w:r>
      <w:r>
        <w:rPr>
          <w:iCs/>
          <w:i/>
        </w:rPr>
        <w:t xml:space="preserve">digital saturation paradox</w:t>
      </w:r>
      <w:r>
        <w:t xml:space="preserve">: in an environment where Tier 1–2 digital interfaces (websites, electronic payment systems) are already widely diffused, these tools function as hygiene factors for domestic operations rather than differentiating assets. This near-universal Tier 1–2 diffusion is enabled by Singapore's nationally deployed Digital Public Infrastructure — encompassing digital identity systems, payment rails, and data-exchange platforms — which the World Bank (2025a) identifies as the foundational enabling layer for firm-level digital adoption in advanced economies. Consistent with this, the Singapore sample reveals that 82% of firms report zero exports, while only 3% exceed 50% foreign sales to total sales — a striking domestic orientation despite the economy's mature digital infrastructure. As a result, the productivity returns to foundational digital adoption should not be expected to manifest uniformly across all firms; instead, they should become measurable primarily when firms face the intensified coordination and transaction demands of cross-border activity. Singapore therefore serves not merely as a convenient empirical backdrop, but as an analytically ideal stress test —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 Focusing on Tier 1–2 adoption — the most widely diffused and comparable digital layer — is therefore a deliberate design choice: if even these foundational tools exhibit export-contingent productivity associations, higher-tier technologies (automation, integrated ERP, AI-enabled systems) should produce even stronger differentiation, making this the most conservative and replicable test of the conditional digital adoption hypothesis.</w:t>
      </w:r>
      <w:r>
        <w:t xml:space="preserve"> </w:t>
      </w:r>
      <w:r>
        <w:t xml:space="preserve">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 DAI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FSTS=88.6%, in a sparsely populated upper tail, and the Lind–Mehlum test does not formally confirm a right-side decline at conventional thresholds. In a digitally mature economy where Tier 1–2 coordination tools are widely diffused, this is an informative positive null — consistent with the saturation hypothesis —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§4.5 R1 indicator-sensitivity diagnostic further clarifies that the Tier-1+2 composition of DAI — combining website presence with two-way electronic-payment intensity —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§5.1 for the 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we name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§4. The substitution and selection mechanisms are retained as alternative explanations to be assessed against the robustness evidence in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Barney 1991), with the amplification effect becoming detectable only beyond the export-intensity threshold at which transaction volume justifies intensive use of digital interfaces and electronic-payment systems.</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978568"/>
            <wp:effectExtent b="0" l="0" r="0" t="0"/>
            <wp:docPr descr="Figure 1: Conceptual model — TCI and DAI moderating the I–P relationship (Singapore)"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 internationalisation intensity (FSTS, FSTS²_c) — is placed at left; the dependent variable — ln(labour productivity) — is placed at right. H1 (inverted-U tendency with support-constrained turning point ~88.6% FSTS, bootstrap CI [53%, 253%]) is grounded in coordination-cost theory (Hitt et al., 1997); the right-side decline is not formally identified within the observed FSTS range — a theoretically informative result under the saturation framework (Lind–Mehlum p = .303). H1-TCI: technological capability (TCI_z, RBV: Barney, 1991) enters as a direct level-shift to firm performance. H2: DAI (Tier-1+2: website + e-payment) exhibits a non-uniform positive direct effect, varying across export intensity. H3: DAI amplifies I→P performance returns at high FSTS —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H3 amplification test conducted on exporters-only subsample (n ≈ 84; power ≈ 16% — corroborating signal, not independent identification). ICRV context: Singapore — Advanced I. Data: WBES 2023; N = 623.</w:t>
      </w:r>
    </w:p>
    <w:bookmarkEnd w:id="36"/>
    <w:bookmarkEnd w:id="37"/>
    <w:bookmarkStart w:id="46"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§5.1 for the construct-boundary discussion). The Lind–Mehlum equivalence test result (p = .303) reported in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§1.2 and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§1.3 supporting contribution on construct-tier specificity.</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ln(LP) = α + β₁·FSTS_c + β₂·FSTS_c² + β₃·TCI + β₄·DAI + β₅·(FSTS_c × DAI) + β₆·(FSTS_c² × DAI) + γ·controls + ε,</w:t>
      </w:r>
      <w:r>
        <w:t xml:space="preserve"> </w:t>
      </w:r>
      <w:r>
        <w:t xml:space="preserve">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show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§3.4 below for transparency, but is not treated as the primary specification. The associational nature of the OLS estimates is therefore acknowledged upfront, and inferential claims are bounded to within-context associations rather than causal effects.</w:t>
      </w:r>
    </w:p>
    <w:bookmarkEnd w:id="44"/>
    <w:bookmarkStart w:id="45" w:name="X4758c326240d97a48e7d79456dba8f6cc5c46be"/>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§4 results can be presented without recurrent caveats and the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88.6 %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 "the inverted-U fails", because the test is conditioned on dense support around the turning point, which the §3.4(i) sample-support boundary establishes is absent here. Read against the saturation hypothesis developed in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§4 results below are reported on this consolidated identification scope, and §5 interprets the substantive findings without further re-litigation of these boundary conditions.</w:t>
      </w:r>
    </w:p>
    <w:bookmarkEnd w:id="45"/>
    <w:bookmarkEnd w:id="46"/>
    <w:bookmarkStart w:id="58" w:name="X121719332867ee227f0a04b486098cee978c6e6"/>
    <w:p>
      <w:pPr>
        <w:pStyle w:val="Heading2"/>
      </w:pPr>
      <w:r>
        <w:t xml:space="preserve">4 Results</w:t>
      </w:r>
    </w:p>
    <w:bookmarkStart w:id="47"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7"/>
    <w:bookmarkStart w:id="48"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(β = +2.652, SE = 0.691, p &lt; .001), whereas the squared term is negative and marginally significant (β = −1.705, SE = 0.931, p &lt; .10).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 approximately 67% of firms report website presence and Tier 2 e-payment adoption is widespread —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 "no inverted-U" from "inverted-U whose right-side decline has been pushed into the unobserved upper tail." 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8"/>
    <w:bookmarkStart w:id="49"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9"/>
    <w:bookmarkStart w:id="56"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corrected marginal effects per reviewer fix #1).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88.6% on the original scale (−β₁/2β₂ on mean-centered FSTS ≈ 84.1%; adding back the sample mean of 0.045 gives ≈ 88.6%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visualizes the baseline quadratic fit between export intensity and labour productivity. The fitted curve implies a turning point near FSTS = 88.6% on the original scale (corrected per reviewer fix #3: −β₁/2β₂ applied to mean-centered FSTS ≈ 84.1%; +sample mean 0.045 ≈ 88.6%),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6"/>
    <w:bookmarkStart w:id="57"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 = 6.32, p = .003), corroborating the amplification mechanism documented in the full sample; the power-bounded inferential reading of this exporters-only result is established at §3.4(ii) and is not repeated here. (ii)</w:t>
      </w:r>
      <w:r>
        <w:t xml:space="preserve"> </w:t>
      </w:r>
      <w:r>
        <w:rPr>
          <w:iCs/>
          <w:i/>
        </w:rPr>
        <w:t xml:space="preserve">Export participation selection</w:t>
      </w:r>
      <w:r>
        <w:t xml:space="preserve">: the inverse-Mills-ratio sensitivity diagnostic for selection at the extensive margin of exporting is reported at §3.4(iv); the diagnostic confirms that the H3 amplification mechanism is robust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7"/>
    <w:bookmarkEnd w:id="58"/>
    <w:bookmarkStart w:id="61" w:name="X735612638e4e736e4693e459c258977262c0dfc"/>
    <w:p>
      <w:pPr>
        <w:pStyle w:val="Heading2"/>
      </w:pPr>
      <w:r>
        <w:t xml:space="preserve">5 Discussion</w:t>
      </w:r>
    </w:p>
    <w:bookmarkStart w:id="59" w:name="X027b31c2d090a00917aa7291770680fd40b64cd"/>
    <w:p>
      <w:pPr>
        <w:pStyle w:val="Heading3"/>
      </w:pPr>
      <w:r>
        <w:t xml:space="preserve">5.1 Theoretical implications</w:t>
      </w:r>
    </w:p>
    <w:p>
      <w:pPr>
        <w:pStyle w:val="FirstParagraph"/>
      </w:pPr>
      <w:r>
        <w:t xml:space="preserve">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is associated with a stronger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t xml:space="preserve"> </w:t>
      </w:r>
      <w:r>
        <w:t xml:space="preserve">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t xml:space="preserve"> </w:t>
      </w:r>
      <w:r>
        <w:t xml:space="preserve">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with the caveat that the evidence is concentrated in a thin-support region and should therefore be interpreted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The absence of a uniform DAI premium across the full sample is itself theoretically informative: in an environment where Tier 1–2 digital tools are near-universally diffused, these tools cannot generate cross-sectional productivity advantages in domestic operations — consistent with the digital saturation paradox outlined in the introduction. Their measurable return surfaces only when the scaling demands of high export intensity justify intensive use of digital interfaces and transaction systems. The scale of Singapore's innovation ecosystem —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 confirming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 for which no instrument satisfying the exclusion restriction is available in the single-wave Singapore design — and the §4.5 (ii) Heckman sensitivity diagnostic indicates mild but non-eliminating extensive-margin selection. Read together, the evidence supports amplification as the focal mechanism while retaining selection as a bounded residual concern, in line with the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 as the §4.5 R1 specification confirms: when DAI is reduced to the website-only Tier-1 binary, the quadratic interaction weakens substantially (β drops from +3.119 to +1.552, joint F retained marginal at 4.01, p = .019), and the item-swap falsification test shows that the moderation collapses entirely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universally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 website presence (c22b) combined with electronic payment integration (k33/k38) embedded in the public digital infrastructure — enabling firms to execute frictionless cross-border transactions. In contrast, in transitional economies where Tier-2 payment infrastructure remains institutionally bounded — settings where cross-border electronic-payment rails reached systemic scale only in the late 2010s, as documented across lower-middle-income Asia in World Bank digital infrastructure assessments (World Bank, 2023) —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59"/>
    <w:bookmarkStart w:id="60"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60"/>
    <w:bookmarkEnd w:id="61"/>
    <w:bookmarkStart w:id="62"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2"/>
    <w:bookmarkStart w:id="63" w:name="X422fdd10c3908fe492ea939b97371c73422dbba"/>
    <w:p>
      <w:pPr>
        <w:pStyle w:val="Heading2"/>
      </w:pPr>
      <w:r>
        <w:t xml:space="preserve">7 Limitations and Future Research</w:t>
      </w:r>
    </w:p>
    <w:p>
      <w:pPr>
        <w:pStyle w:val="FirstParagraph"/>
      </w:pPr>
      <w:r>
        <w:t xml:space="preserve">Three limitations warrant caution in interpreting the findings. First, the analysis is based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is therefore that the study documents how these variables co-vary in Singapore rather than establishing a causal mechanism.</w:t>
      </w:r>
      <w:r>
        <w:t xml:space="preserve"> </w:t>
      </w:r>
      <w:r>
        <w:t xml:space="preserve">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Third, the estimated digital-adoption effect should be interpreted within the measurement boundary of the available indicators. The DAI construct captures Tier 1–2 digital adoption — digital presence and electronic-transaction usage —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 including instrumental-variable or difference-in-differences specifications keyed to digital-infrastructure rollouts or trade-policy shocks —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3"/>
    <w:bookmarkStart w:id="65"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4">
        <w:r>
          <w:rPr>
            <w:rStyle w:val="Hyperlink"/>
          </w:rPr>
          <w:t xml:space="preserve">www.enterprisesurveys.org</w:t>
        </w:r>
      </w:hyperlink>
      <w:r>
        <w:t xml:space="preserve">. Analysis scripts to replicate the results are available from the corresponding author on reasonable request.</w:t>
      </w:r>
    </w:p>
    <w:bookmarkEnd w:id="65"/>
    <w:bookmarkStart w:id="6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66"/>
    <w:bookmarkStart w:id="67" w:name="funding"/>
    <w:p>
      <w:pPr>
        <w:pStyle w:val="Heading2"/>
      </w:pPr>
      <w:r>
        <w:t xml:space="preserve">Funding</w:t>
      </w:r>
    </w:p>
    <w:p>
      <w:pPr>
        <w:pStyle w:val="FirstParagraph"/>
      </w:pPr>
      <w:r>
        <w:t xml:space="preserve">This research received no external funding.</w:t>
      </w:r>
    </w:p>
    <w:bookmarkEnd w:id="67"/>
    <w:bookmarkStart w:id="68" w:name="conflict-of-interest"/>
    <w:p>
      <w:pPr>
        <w:pStyle w:val="Heading2"/>
      </w:pPr>
      <w:r>
        <w:t xml:space="preserve">Conflict of Interest</w:t>
      </w:r>
    </w:p>
    <w:p>
      <w:pPr>
        <w:pStyle w:val="FirstParagraph"/>
      </w:pPr>
      <w:r>
        <w:t xml:space="preserve">The authors declare no conflicts of interest.</w:t>
      </w:r>
    </w:p>
    <w:bookmarkEnd w:id="68"/>
    <w:bookmarkStart w:id="70"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w:t>
      </w:r>
      <w:r>
        <w:t xml:space="preserve"> </w:t>
      </w:r>
      <w:hyperlink r:id="rId69">
        <w:r>
          <w:rPr>
            <w:rStyle w:val="Hyperlink"/>
          </w:rPr>
          <w:t xml:space="preserve">https://www.enterprisesurveys.org</w:t>
        </w:r>
      </w:hyperlink>
      <w:r>
        <w:t xml:space="preserve">. Processed data and replication code are available from the corresponding author upon reasonable request.</w:t>
      </w:r>
    </w:p>
    <w:p>
      <w:r>
        <w:pict>
          <v:rect style="width:0;height:1.5pt" o:hralign="center" o:hrstd="t" o:hr="t"/>
        </w:pict>
      </w:r>
    </w:p>
    <w:bookmarkEnd w:id="70"/>
    <w:bookmarkStart w:id="106"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71">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72">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73">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74">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75">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6">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7">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8">
        <w:r>
          <w:rPr>
            <w:rStyle w:val="Hyperlink"/>
          </w:rPr>
          <w:t xml:space="preserve">https://doi.org/10.2307/2393553</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9">
        <w:r>
          <w:rPr>
            <w:rStyle w:val="Hyperlink"/>
          </w:rPr>
          <w:t xml:space="preserve">https://doi.org/10.1016/j.jbusres.2008.01.013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w:t>
      </w:r>
      <w:r>
        <w:t xml:space="preserve"> </w:t>
      </w:r>
      <w:r>
        <w:rPr>
          <w:iCs/>
          <w:i/>
        </w:rPr>
        <w:t xml:space="preserve">47</w:t>
      </w:r>
      <w:r>
        <w:t xml:space="preserve">(3), 453–475.</w:t>
      </w:r>
      <w:r>
        <w:t xml:space="preserve"> </w:t>
      </w:r>
      <w:hyperlink r:id="rId80">
        <w:r>
          <w:rPr>
            <w:rStyle w:val="Hyperlink"/>
          </w:rPr>
          <w:t xml:space="preserve">https://doi.org/10.1007/s11575-007-0024-2</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81">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82">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83">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84">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85">
        <w:r>
          <w:rPr>
            <w:rStyle w:val="Hyperlink"/>
          </w:rPr>
          <w:t xml:space="preserve">https://doi.org/10.1016/j.ibusrev.2017.07.003</w:t>
        </w:r>
      </w:hyperlink>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w:t>
      </w:r>
      <w:r>
        <w:t xml:space="preserve">,</w:t>
      </w:r>
      <w:r>
        <w:t xml:space="preserve"> </w:t>
      </w:r>
      <w:r>
        <w:rPr>
          <w:iCs/>
          <w:i/>
        </w:rPr>
        <w:t xml:space="preserve">1</w:t>
      </w:r>
      <w:r>
        <w:t xml:space="preserve">(2), 259–269.</w:t>
      </w:r>
      <w:r>
        <w:t xml:space="preserve"> </w:t>
      </w:r>
      <w:hyperlink r:id="rId86">
        <w:r>
          <w:rPr>
            <w:rStyle w:val="Hyperlink"/>
          </w:rPr>
          <w:t xml:space="preserve">https://doi.org/10.1177/2515245918770963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7">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8">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9">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90">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91">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92">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93">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94">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95">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96">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7">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8">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9">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100">
        <w:r>
          <w:rPr>
            <w:rStyle w:val="Hyperlink"/>
          </w:rPr>
          <w:t xml:space="preserve">https://doi.org/10.1002/smj.2995</w:t>
        </w:r>
      </w:hyperlink>
    </w:p>
    <w:p>
      <w:r>
        <w:pict>
          <v:rect style="width:0;height:1.5pt" o:hralign="center" o:hrstd="t" o:hr="t"/>
        </w:pict>
      </w:r>
    </w:p>
    <w:p>
      <w:pPr>
        <w:pStyle w:val="FirstParagraph"/>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1">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2">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3">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4">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5">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9">
        <w:r>
          <w:rPr>
            <w:rStyle w:val="Hyperlink"/>
          </w:rPr>
          <w:t xml:space="preserve">https://www.enterprisesurveys.org</w:t>
        </w:r>
      </w:hyperlink>
    </w:p>
    <w:bookmarkEnd w:id="106"/>
    <w:bookmarkEnd w:id="10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8" Target="https://doi.org/10.1002/gsj.1336" TargetMode="External" /><Relationship Type="http://schemas.openxmlformats.org/officeDocument/2006/relationships/hyperlink" Id="rId82" Target="https://doi.org/10.1002/smj.2399" TargetMode="External" /><Relationship Type="http://schemas.openxmlformats.org/officeDocument/2006/relationships/hyperlink" Id="rId100" Target="https://doi.org/10.1002/smj.2995" TargetMode="External" /><Relationship Type="http://schemas.openxmlformats.org/officeDocument/2006/relationships/hyperlink" Id="rId93" Target="https://doi.org/10.1007/s11135-006-9018-6" TargetMode="External" /><Relationship Type="http://schemas.openxmlformats.org/officeDocument/2006/relationships/hyperlink" Id="rId80" Target="https://doi.org/10.1007/s11575-007-0024-2" TargetMode="External" /><Relationship Type="http://schemas.openxmlformats.org/officeDocument/2006/relationships/hyperlink" Id="rId90" Target="https://doi.org/10.1016/0304-4076(85)90158-7" TargetMode="External" /><Relationship Type="http://schemas.openxmlformats.org/officeDocument/2006/relationships/hyperlink" Id="rId87" Target="https://doi.org/10.1016/0305-750X(92)90097-F" TargetMode="External" /><Relationship Type="http://schemas.openxmlformats.org/officeDocument/2006/relationships/hyperlink" Id="rId85" Target="https://doi.org/10.1016/j.ibusrev.2017.07.003" TargetMode="External" /><Relationship Type="http://schemas.openxmlformats.org/officeDocument/2006/relationships/hyperlink" Id="rId79" Target="https://doi.org/10.1016/j.jbusres.2008.01.013" TargetMode="External" /><Relationship Type="http://schemas.openxmlformats.org/officeDocument/2006/relationships/hyperlink" Id="rId99" Target="https://doi.org/10.1016/j.jbusres.2019.09.022" TargetMode="External" /><Relationship Type="http://schemas.openxmlformats.org/officeDocument/2006/relationships/hyperlink" Id="rId72" Target="https://doi.org/10.1016/j.leaqua.2010.10.010" TargetMode="External" /><Relationship Type="http://schemas.openxmlformats.org/officeDocument/2006/relationships/hyperlink" Id="rId71" Target="https://doi.org/10.1037/0021-9010.90.1.94" TargetMode="External" /><Relationship Type="http://schemas.openxmlformats.org/officeDocument/2006/relationships/hyperlink" Id="rId81" Target="https://doi.org/10.1057/palgrave.jibs.8400003" TargetMode="External" /><Relationship Type="http://schemas.openxmlformats.org/officeDocument/2006/relationships/hyperlink" Id="rId96" Target="https://doi.org/10.1057/palgrave.jibs.8400073" TargetMode="External" /><Relationship Type="http://schemas.openxmlformats.org/officeDocument/2006/relationships/hyperlink" Id="rId95" Target="https://doi.org/10.1057/palgrave.jibs.8400377" TargetMode="External" /><Relationship Type="http://schemas.openxmlformats.org/officeDocument/2006/relationships/hyperlink" Id="rId92" Target="https://doi.org/10.1057/s41267-017-0078-8" TargetMode="External" /><Relationship Type="http://schemas.openxmlformats.org/officeDocument/2006/relationships/hyperlink" Id="rId74" Target="https://doi.org/10.1057/s41267-019-00243-7" TargetMode="External" /><Relationship Type="http://schemas.openxmlformats.org/officeDocument/2006/relationships/hyperlink" Id="rId73" Target="https://doi.org/10.1057/s41287-020-00328-2" TargetMode="External" /><Relationship Type="http://schemas.openxmlformats.org/officeDocument/2006/relationships/hyperlink" Id="rId88" Target="https://doi.org/10.1111/j.1468-0084.2009.00569.x" TargetMode="External" /><Relationship Type="http://schemas.openxmlformats.org/officeDocument/2006/relationships/hyperlink" Id="rId91"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75" Target="https://doi.org/10.1177/014920639101700108" TargetMode="External" /><Relationship Type="http://schemas.openxmlformats.org/officeDocument/2006/relationships/hyperlink" Id="rId86" Target="https://doi.org/10.1177/2515245918770963" TargetMode="External" /><Relationship Type="http://schemas.openxmlformats.org/officeDocument/2006/relationships/hyperlink" Id="rId77" Target="https://doi.org/10.1257/mac.20180386" TargetMode="External" /><Relationship Type="http://schemas.openxmlformats.org/officeDocument/2006/relationships/hyperlink" Id="rId78" Target="https://doi.org/10.2307/2393553" TargetMode="External" /><Relationship Type="http://schemas.openxmlformats.org/officeDocument/2006/relationships/hyperlink" Id="rId76" Target="https://doi.org/10.25300/MISQ/2013/37:2.3" TargetMode="External" /><Relationship Type="http://schemas.openxmlformats.org/officeDocument/2006/relationships/hyperlink" Id="rId89" Target="https://doi.org/10.5465/20159604" TargetMode="External" /><Relationship Type="http://schemas.openxmlformats.org/officeDocument/2006/relationships/hyperlink" Id="rId84" Target="https://doi.org/10.5465/256948" TargetMode="External" /><Relationship Type="http://schemas.openxmlformats.org/officeDocument/2006/relationships/hyperlink" Id="rId83" Target="https://doi.org/10.5465/amr.1984.4277628" TargetMode="External" /><Relationship Type="http://schemas.openxmlformats.org/officeDocument/2006/relationships/hyperlink" Id="rId94" Target="https://doi.org/10.5465/amr.2003.9416341" TargetMode="External" /><Relationship Type="http://schemas.openxmlformats.org/officeDocument/2006/relationships/hyperlink" Id="rId101"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9" Target="https://www.enterprisesurveys.org" TargetMode="External" /><Relationship Type="http://schemas.openxmlformats.org/officeDocument/2006/relationships/hyperlink" Id="rId103" Target="https://www.imda.gov.sg/resources/press-releases-factsheets-and-speeches/press-releases/2025/asia-tech-x-singapore-turns-five" TargetMode="External" /><Relationship Type="http://schemas.openxmlformats.org/officeDocument/2006/relationships/hyperlink" Id="rId105" Target="https://www.startupblink.com/blog/innovators-business-environment-index/" TargetMode="External" /><Relationship Type="http://schemas.openxmlformats.org/officeDocument/2006/relationships/hyperlink" Id="rId104" Target="https://www.startupblink.com/startup-ecosystem/singapore" TargetMode="External" /><Relationship Type="http://schemas.openxmlformats.org/officeDocument/2006/relationships/hyperlink" Id="rId102"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2026-05-16T09:58:18Z</dcterms:created>
  <dcterms:modified xsi:type="dcterms:W3CDTF">2026-05-16T09:58:18Z</dcterms:modified>
</cp:coreProperties>
</file>

<file path=docProps/custom.xml><?xml version="1.0" encoding="utf-8"?>
<Properties xmlns="http://schemas.openxmlformats.org/officeDocument/2006/custom-properties" xmlns:vt="http://schemas.openxmlformats.org/officeDocument/2006/docPropsVTypes"/>
</file>