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91.982 doanh nghiệp / 49 nền;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91.982 doanh nghiệp / 49 nền (pool phân loại 96.415 / 52 nền), được hợp nhất và hài hòa hóa theo quy trình tại Phụ lục A của luận án, mọi kết quả kinh tế lượng được dẫn chiếu theo khung này.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91,982 firms / 49 economies;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trường hợp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103 cặp nền kinh tế × năm (2006–2026)</w:t>
      </w:r>
      <w:r>
        <w:t xml:space="preserve">, gấp hơn 2 lần phạm vi của Đỗ &amp; Phan (2026, VEFR), và khung phân loại thống nhất với bộ dữ liệu ước lượng của luận án (91.982 doanh nghiệp / 49 nền;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50 nền kinh tế,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49 nền kinh tế (91.982 doanh nghiệp;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8"/>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8"/>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(pool mô tả 88.869 DN / 103 cặp; khung ước lượng 91.982 DN;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pool — gồm Nhật Bản khảo sát lần đầu)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Đạt</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(pool mô tả 88.869 DN; khung ước lượng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Tier 1 trở thành điểm nghẽn. Singapore (Tier 1+2) sang</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tc>
      </w:tr>
      <w:tr>
        <w:tc>
          <w:tcPr/>
          <w:p>
            <w:pPr>
              <w:pStyle w:val="Compact"/>
              <w:jc w:val="lef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tc>
      </w:tr>
      <w:tr>
        <w:tc>
          <w:tcPr/>
          <w:p>
            <w:pPr>
              <w:pStyle w:val="Compact"/>
              <w:jc w:val="lef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tc>
      </w:tr>
      <w:tr>
        <w:tc>
          <w:tcPr/>
          <w:p>
            <w:pPr>
              <w:pStyle w:val="Compact"/>
              <w:jc w:val="left"/>
            </w:pPr>
            <w:r>
              <w:t xml:space="preserve">#### 2.3.2.3 Danh sách 50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w:t>
            </w:r>
            <w:r>
              <w:t xml:space="preserve"> </w:t>
            </w:r>
            <w:r>
              <w:rPr>
                <w:bCs/>
                <w:b/>
              </w:rPr>
              <w:t xml:space="preserve">Nhật Bản</w:t>
            </w:r>
            <w:r>
              <w:t xml:space="preserve"> </w:t>
            </w:r>
            <w:r>
              <w:t xml:space="preserve">| 6.390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2.231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45.003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18.957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2.295 |</w:t>
            </w:r>
            <w:r>
              <w:t xml:space="preserve"> </w:t>
            </w:r>
            <w:r>
              <w:t xml:space="preserve">|</w:t>
            </w:r>
            <w:r>
              <w:t xml:space="preserve"> </w:t>
            </w:r>
            <w:r>
              <w:rPr>
                <w:bCs/>
                <w:b/>
              </w:rPr>
              <w:t xml:space="preserve">Tổng</w:t>
            </w:r>
            <w:r>
              <w:t xml:space="preserve"> </w:t>
            </w:r>
            <w:r>
              <w:t xml:space="preserve">| |</w:t>
            </w:r>
            <w:r>
              <w:t xml:space="preserve"> </w:t>
            </w:r>
            <w:r>
              <w:rPr>
                <w:bCs/>
                <w:b/>
              </w:rPr>
              <w:t xml:space="preserve">50 nền kinh tế</w:t>
            </w:r>
            <w:r>
              <w:t xml:space="preserve"> </w:t>
            </w:r>
            <w:r>
              <w:t xml:space="preserve">|</w:t>
            </w:r>
            <w:r>
              <w:t xml:space="preserve"> </w:t>
            </w:r>
            <w:r>
              <w:rPr>
                <w:bCs/>
                <w:b/>
              </w:rPr>
              <w:t xml:space="preserve">88.869</w:t>
            </w:r>
            <w:r>
              <w:t xml:space="preserve"> </w:t>
            </w:r>
            <w:r>
              <w:t xml:space="preserve">(pool mô tả) |</w:t>
            </w:r>
          </w:p>
        </w:tc>
      </w:tr>
      <w:tr>
        <w:tc>
          <w:tcPr/>
          <w:p>
            <w:pPr>
              <w:pStyle w:val="Compact"/>
              <w:jc w:val="lef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ước lượng 49 nền/91.982 quan sát (pool phân loại 96.415 / 52 nền) theo đúng dữ liệu sẵn có tại thời điểm ước lượng; việc đưa Nhật Bản và các đợt mới nhất vào ước lượng là vòng tái ước lượng tiếp theo.</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 Innovation | &gt;+0,80 | &gt;$30k | R&amp;D + dịch vụ tri thức | Trung bình (6–15%) | ~1,00 | U ngược nhẹ / tuyến tính dương; điểm uốn ~88,6% (SG) |</w:t>
            </w:r>
            <w:r>
              <w:t xml:space="preserve"> </w:t>
            </w:r>
            <w:r>
              <w:t xml:space="preserve">| II — Resource | +0,00→+0,50 | &gt;$20k | Xuất khẩu dầu/khí | Thấp (1–4%) | ~1,14 | Phi tuyến suy yếu; nhà nước tô phân phối lại |</w:t>
            </w:r>
            <w:r>
              <w:t xml:space="preserve"> </w:t>
            </w:r>
            <w:r>
              <w:t xml:space="preserve">| III — Upper-mid | 0,00→+0,80 | $5k–$20k | Sản xuất + chuyển đổi | Trung bình (8–12%) | ~1,37 | U ngược; điểm uốn ~47% |</w:t>
            </w:r>
            <w:r>
              <w:t xml:space="preserve"> </w:t>
            </w:r>
            <w:r>
              <w:t xml:space="preserve">| IV — Lower-mid transition | -0,50→0,00 | $1k–$5k | FDI-driven sản xuất | Biến động (7–23%) | ~1,31 | U ngược; điểm uốn 39–46% (VNM) — bẫy chuyển hướng nguồn lực |</w:t>
            </w:r>
            <w:r>
              <w:t xml:space="preserve"> </w:t>
            </w:r>
            <w:r>
              <w:t xml:space="preserve">| V — Emerging | &lt;-0,50 | &lt;$1k–$3k | Tự cấp + phi chính thức | Thấp–trung bình | ~1,39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pool — gồm Nhật Bản, đợt khảo sát đầu tiên, n=2.168); đợt khảo sát Nepal 2025 dùng bảng hỏi BREADY Micro (doanh nghiệp siêu nhỏ), không phải cross-section chuẩn nên không thuộc pool, chỉ được nhắc đến như tham chiếu.</w:t>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56"/>
    <w:bookmarkEnd w:id="57"/>
    <w:bookmarkStart w:id="66" w:name="bảy-trường-hợp-điển-hình"/>
    <w:p>
      <w:pPr>
        <w:pStyle w:val="Heading3"/>
      </w:pPr>
      <w:r>
        <w:t xml:space="preserve">2.3.7 Bảy trường hợp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62"/>
    <w:bookmarkStart w:id="63"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FSTS đình trệ; FDI giảm dần phản ánh lời nguyền tài nguyên giai đoạn 1.</w:t>
      </w:r>
    </w:p>
    <w:bookmarkEnd w:id="63"/>
    <w:bookmarkStart w:id="64"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 Adv. đổi mới</w:t>
            </w:r>
          </w:p>
        </w:tc>
        <w:tc>
          <w:tcPr/>
          <w:p>
            <w:pPr>
              <w:pStyle w:val="Compact"/>
              <w:jc w:val="right"/>
            </w:pPr>
            <w:r>
              <w:t xml:space="preserve">II — Adv. tài nguyên</w:t>
            </w:r>
          </w:p>
        </w:tc>
        <w:tc>
          <w:tcPr/>
          <w:p>
            <w:pPr>
              <w:pStyle w:val="Compact"/>
              <w:jc w:val="right"/>
            </w:pPr>
            <w:r>
              <w:t xml:space="preserve">III — Trung bình cao</w:t>
            </w:r>
          </w:p>
        </w:tc>
        <w:tc>
          <w:tcPr/>
          <w:p>
            <w:pPr>
              <w:pStyle w:val="Compact"/>
              <w:jc w:val="right"/>
            </w:pPr>
            <w:r>
              <w:t xml:space="preserve">IV — Chuyển đổi TB-thấp</w:t>
            </w:r>
          </w:p>
        </w:tc>
        <w:tc>
          <w:tcPr/>
          <w:p>
            <w:pPr>
              <w:pStyle w:val="Compact"/>
              <w:jc w:val="right"/>
            </w:pPr>
            <w:r>
              <w:t xml:space="preserve">V — Đang nổi</w:t>
            </w:r>
          </w:p>
        </w:tc>
        <w:tc>
          <w:tcPr/>
          <w:p>
            <w:pPr>
              <w:pStyle w:val="Compact"/>
              <w:jc w:val="right"/>
            </w:pPr>
            <w:r>
              <w:t xml:space="preserve">VI —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pool,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49 nền với 91.982 doanh nghiệp ở tầng ước lượng (pool phân loại 96.415 DN / 52 nền) và 88.869 doanh nghiệp / 103 cặp nền kinh tế × năm ở tầng mô tả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50 nền kinh tế châu Á – Thái Bình Dương (pool mô tả 88.869 doanh nghiệp / 103 cặp nền kinh tế × năm, WBES 2006–2026; khung ước lượng của luận án 91.982 doanh nghiệp):</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(49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91.982 doanh nghiệp / 49 nền; pool phân loại 96.415 / 52 nền) được chạy trên dữ liệu sẵn có tại thời điểm ước lượng theo quy trình tại Phụ lục A; đưa Nhật Bản và các đợt mới nhất vào ước lượng là vòng tái ước lượng tiếp theo.</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2026-06-12T18:27:46Z</dcterms:created>
  <dcterms:modified xsi:type="dcterms:W3CDTF">2026-06-12T18:27:46Z</dcterms:modified>
</cp:coreProperties>
</file>

<file path=docProps/custom.xml><?xml version="1.0" encoding="utf-8"?>
<Properties xmlns="http://schemas.openxmlformats.org/officeDocument/2006/custom-properties" xmlns:vt="http://schemas.openxmlformats.org/officeDocument/2006/docPropsVTypes"/>
</file>