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7"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Resource-Based View (Barney, 1991; Wernerfelt, 1984), Institutional Theory (North, 1990; Khanna &amp; Palepu, 2010; Peng, 2003) và Upper Echelons Theory (Hambrick &amp; Mason, 1984; Hambrick, 2007), kết hợp với Foundational Digital Adoption Framework (Banalieva &amp; Dhanaraj, 2019; Verhoef et al., 2021; Stallkamp &amp; Schotter, 2021) làm nền tảng lý thuyết. Lược khảo năm dạng hàm quan hệ quốc tế hóa, hiệu quả (I–P) gồm tuyến tính, chữ U ngược, S-curve, M-curve, và forced penalty, cùng năm meta-analysis lớn giai đoạn 1980–2024, cho thấy khoảng trống thực nghiệm trong việc kiểm định đồng thời phi tuyến và điều tiết đa tầng ở châu Á. Hệ giả thuyết H1–H6 được phát triển: H1 phi tuyến dạng chữ U ngược hoặc S-curve; H2 Technological Capability Index (TCI) điều tiết tích cực; H3a–H3b Digital Adoption Index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gradient ICRV sáu nhóm; H6 tính không đồng nhất theo thời gian. Tám mô hình thực nghiệm M0–M7 được đặc tả, từ baseline tuyến tính đến mô hình điều tiết ba chiều cấp luận án. Chiến lược nhận dạng đa tầng và kế hoạch kiểm định độ vững toàn diện được thiết kế cho pool 91.982 doanh nghiệp ở 49 nền kinh tế châu Á và Thái Bình Dương, bao gồm 108 cặp quốc gia-năm qua 14 mốc khảo sát WBES giai đoạn 2009–2025. Bốn đóng góp chính: (i) khung tích hợp 4 tầng kết hợp Foundational Digital Adoption Framework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(JABS, đang phản biện), P4 Singapore (MIR, đang phản biện), P5 Trung Quốc (IJOEM, đang phản biện),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Upper Echelons;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gradient; H6 temporal heterogeneity. Eight empirical models M0–M7 are specified, from linear baseline to three-way moderation. A multi-level identification strategy and comprehensive robustness plan are designed for a pool of 91,982 firms across 49 Asian and Pacific economies (96,415 ICRV-classified across 52 source economies), spanning 108 country-year pairs across 14 WBES survey waves (2009–2025). The four main contributions are: (i) an integrated 4-tier framework combined with the Foundational Digital Adoption Framework with no equivalent for Asia; (ii) the separation of TCI and DAI within the Country–Digital–Capability Moderation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văn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Hạn chế nghiên cứu</w:t>
      </w:r>
      <w:r>
        <w:t xml:space="preserve"> </w:t>
      </w:r>
      <w:r>
        <w:t xml:space="preserve">2.4.3 Hướng nghiên cứu tiếp theo</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I–P,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49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Country–Digital–Capability Moderation —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 Chỉ số áp dụng số</w:t>
            </w:r>
          </w:p>
        </w:tc>
      </w:tr>
      <w:tr>
        <w:tc>
          <w:tcPr/>
          <w:p>
            <w:pPr>
              <w:pStyle w:val="Compact"/>
              <w:jc w:val="left"/>
            </w:pPr>
            <w:r>
              <w:t xml:space="preserve">FDI</w:t>
            </w:r>
          </w:p>
        </w:tc>
        <w:tc>
          <w:tcPr/>
          <w:p>
            <w:pPr>
              <w:pStyle w:val="Compact"/>
              <w:jc w:val="left"/>
            </w:pPr>
            <w:r>
              <w:t xml:space="preserve">Foreign Direct Investment — Đầu tư trực tiếp nước ngoài</w:t>
            </w:r>
          </w:p>
        </w:tc>
      </w:tr>
      <w:tr>
        <w:tc>
          <w:tcPr/>
          <w:p>
            <w:pPr>
              <w:pStyle w:val="Compact"/>
              <w:jc w:val="left"/>
            </w:pPr>
            <w:r>
              <w:t xml:space="preserve">FE</w:t>
            </w:r>
          </w:p>
        </w:tc>
        <w:tc>
          <w:tcPr/>
          <w:p>
            <w:pPr>
              <w:pStyle w:val="Compact"/>
              <w:jc w:val="left"/>
            </w:pPr>
            <w:r>
              <w:t xml:space="preserve">Fixed Effects — Hiệu ứng cố định</w:t>
            </w:r>
          </w:p>
        </w:tc>
      </w:tr>
      <w:tr>
        <w:tc>
          <w:tcPr/>
          <w:p>
            <w:pPr>
              <w:pStyle w:val="Compact"/>
              <w:jc w:val="left"/>
            </w:pPr>
            <w:r>
              <w:t xml:space="preserve">FSTS</w:t>
            </w:r>
          </w:p>
        </w:tc>
        <w:tc>
          <w:tcPr/>
          <w:p>
            <w:pPr>
              <w:pStyle w:val="Compact"/>
              <w:jc w:val="left"/>
            </w:pPr>
            <w:r>
              <w:t xml:space="preserve">Foreign Sales to Total Sales ratio —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 → Performance — Quan hệ quốc tế hóa — hiệu quả</w:t>
            </w:r>
          </w:p>
        </w:tc>
      </w:tr>
      <w:tr>
        <w:tc>
          <w:tcPr/>
          <w:p>
            <w:pPr>
              <w:pStyle w:val="Compact"/>
              <w:jc w:val="left"/>
            </w:pPr>
            <w:r>
              <w:t xml:space="preserve">IB</w:t>
            </w:r>
          </w:p>
        </w:tc>
        <w:tc>
          <w:tcPr/>
          <w:p>
            <w:pPr>
              <w:pStyle w:val="Compact"/>
              <w:jc w:val="left"/>
            </w:pPr>
            <w:r>
              <w:t xml:space="preserve">International Business — Kinh doanh quốc tế</w:t>
            </w:r>
          </w:p>
        </w:tc>
      </w:tr>
      <w:tr>
        <w:tc>
          <w:tcPr/>
          <w:p>
            <w:pPr>
              <w:pStyle w:val="Compact"/>
              <w:jc w:val="left"/>
            </w:pPr>
            <w:r>
              <w:t xml:space="preserve">ICRV</w:t>
            </w:r>
          </w:p>
        </w:tc>
        <w:tc>
          <w:tcPr/>
          <w:p>
            <w:pPr>
              <w:pStyle w:val="Compact"/>
              <w:jc w:val="left"/>
            </w:pPr>
            <w:r>
              <w:t xml:space="preserve">Institutional Context Regime Variation —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 Nghiên cứu và phát triển</w:t>
            </w:r>
          </w:p>
        </w:tc>
      </w:tr>
      <w:tr>
        <w:tc>
          <w:tcPr/>
          <w:p>
            <w:pPr>
              <w:pStyle w:val="Compact"/>
              <w:jc w:val="left"/>
            </w:pPr>
            <w:r>
              <w:t xml:space="preserve">RBV</w:t>
            </w:r>
          </w:p>
        </w:tc>
        <w:tc>
          <w:tcPr/>
          <w:p>
            <w:pPr>
              <w:pStyle w:val="Compact"/>
              <w:jc w:val="left"/>
            </w:pPr>
            <w:r>
              <w:t xml:space="preserve">Resource-Based View —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 Lợi nhuận trên tổng tài sản</w:t>
            </w:r>
          </w:p>
        </w:tc>
      </w:tr>
      <w:tr>
        <w:tc>
          <w:tcPr/>
          <w:p>
            <w:pPr>
              <w:pStyle w:val="Compact"/>
              <w:jc w:val="left"/>
            </w:pPr>
            <w:r>
              <w:t xml:space="preserve">ROS</w:t>
            </w:r>
          </w:p>
        </w:tc>
        <w:tc>
          <w:tcPr/>
          <w:p>
            <w:pPr>
              <w:pStyle w:val="Compact"/>
              <w:jc w:val="left"/>
            </w:pPr>
            <w:r>
              <w:t xml:space="preserve">Return on Sales — Lợi nhuận trên doanh thu</w:t>
            </w:r>
          </w:p>
        </w:tc>
      </w:tr>
      <w:tr>
        <w:tc>
          <w:tcPr/>
          <w:p>
            <w:pPr>
              <w:pStyle w:val="Compact"/>
              <w:jc w:val="left"/>
            </w:pPr>
            <w:r>
              <w:t xml:space="preserve">SE</w:t>
            </w:r>
          </w:p>
        </w:tc>
        <w:tc>
          <w:tcPr/>
          <w:p>
            <w:pPr>
              <w:pStyle w:val="Compact"/>
              <w:jc w:val="left"/>
            </w:pPr>
            <w:r>
              <w:t xml:space="preserve">Standard Errors — Sai số chuẩn</w:t>
            </w:r>
          </w:p>
        </w:tc>
      </w:tr>
      <w:tr>
        <w:tc>
          <w:tcPr/>
          <w:p>
            <w:pPr>
              <w:pStyle w:val="Compact"/>
              <w:jc w:val="left"/>
            </w:pPr>
            <w:r>
              <w:t xml:space="preserve">SIDS</w:t>
            </w:r>
          </w:p>
        </w:tc>
        <w:tc>
          <w:tcPr/>
          <w:p>
            <w:pPr>
              <w:pStyle w:val="Compact"/>
              <w:jc w:val="left"/>
            </w:pPr>
            <w:r>
              <w:t xml:space="preserve">Small Island Developing States — Các quốc đảo nhỏ đang phát triển</w:t>
            </w:r>
          </w:p>
        </w:tc>
      </w:tr>
      <w:tr>
        <w:tc>
          <w:tcPr/>
          <w:p>
            <w:pPr>
              <w:pStyle w:val="Compact"/>
              <w:jc w:val="left"/>
            </w:pPr>
            <w:r>
              <w:t xml:space="preserve">SME</w:t>
            </w:r>
          </w:p>
        </w:tc>
        <w:tc>
          <w:tcPr/>
          <w:p>
            <w:pPr>
              <w:pStyle w:val="Compact"/>
              <w:jc w:val="left"/>
            </w:pPr>
            <w:r>
              <w:t xml:space="preserve">Small and Medium-sized Enterprise — Doanh nghiệp vừa và nhỏ</w:t>
            </w:r>
          </w:p>
        </w:tc>
      </w:tr>
      <w:tr>
        <w:tc>
          <w:tcPr/>
          <w:p>
            <w:pPr>
              <w:pStyle w:val="Compact"/>
              <w:jc w:val="left"/>
            </w:pPr>
            <w:r>
              <w:t xml:space="preserve">SOE</w:t>
            </w:r>
          </w:p>
        </w:tc>
        <w:tc>
          <w:tcPr/>
          <w:p>
            <w:pPr>
              <w:pStyle w:val="Compact"/>
              <w:jc w:val="left"/>
            </w:pPr>
            <w:r>
              <w:t xml:space="preserve">State-Owned Enterprise — Doanh nghiệp nhà nước</w:t>
            </w:r>
          </w:p>
        </w:tc>
      </w:tr>
      <w:tr>
        <w:tc>
          <w:tcPr/>
          <w:p>
            <w:pPr>
              <w:pStyle w:val="Compact"/>
              <w:jc w:val="left"/>
            </w:pPr>
            <w:r>
              <w:t xml:space="preserve">TCI</w:t>
            </w:r>
          </w:p>
        </w:tc>
        <w:tc>
          <w:tcPr/>
          <w:p>
            <w:pPr>
              <w:pStyle w:val="Compact"/>
              <w:jc w:val="left"/>
            </w:pPr>
            <w:r>
              <w:t xml:space="preserve">Technological Capability Index — Chỉ số năng lực công nghệ</w:t>
            </w:r>
          </w:p>
        </w:tc>
      </w:tr>
      <w:tr>
        <w:tc>
          <w:tcPr/>
          <w:p>
            <w:pPr>
              <w:pStyle w:val="Compact"/>
              <w:jc w:val="left"/>
            </w:pPr>
            <w:r>
              <w:t xml:space="preserve">UE</w:t>
            </w:r>
          </w:p>
        </w:tc>
        <w:tc>
          <w:tcPr/>
          <w:p>
            <w:pPr>
              <w:pStyle w:val="Compact"/>
              <w:jc w:val="left"/>
            </w:pPr>
            <w:r>
              <w:t xml:space="preserve">Upper Echelons Theory —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90" w:name="phần-2-nội-dung-chuyên-đề"/>
    <w:p>
      <w:pPr>
        <w:pStyle w:val="Heading2"/>
      </w:pPr>
      <w:r>
        <w:t xml:space="preserve">Phần 2: NỘI DUNG CHUYÊN ĐỀ</w:t>
      </w:r>
    </w:p>
    <w:bookmarkStart w:id="32" w:name="đặt-vấn-đề"/>
    <w:p>
      <w:pPr>
        <w:pStyle w:val="Heading3"/>
      </w:pPr>
      <w:r>
        <w:t xml:space="preserve">2.1 Đặt vấn đề</w:t>
      </w:r>
    </w:p>
    <w:bookmarkStart w:id="27"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Văn liệu kinh doanh quốc tế (IB) đã ghi nhận năm dạng hàm khác nhau trong quan hệ giữa cường độ quốc tế hóa và hiệu quả doanh nghiệp: tuyến tính (Hsu &amp; Boggs, 2003), chữ U ngược (Gomes &amp; Ramaswamy, 1999; Hitt, Hoskisson &amp; Kim, 1997), S-curve (Lu &amp; Beamish, 2004; Contractor, Kundu &amp; Hsu, 2003), M-curve (Riahi-Belkaoui, 1998), và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w:t>
      </w:r>
    </w:p>
    <w:p>
      <w:pPr>
        <w:pStyle w:val="BodyText"/>
      </w:pPr>
      <w:r>
        <w:t xml:space="preserve">Châu Á trong giai đoạn 2009–2025 là phòng thí nghiệm tự nhiên độc đáo cho nghiên cứu quan hệ I–P.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w:t>
      </w:r>
      <w:r>
        <w:t xml:space="preserve"> </w:t>
      </w:r>
      <w:r>
        <w:rPr>
          <w:rStyle w:val="VerbatimChar"/>
        </w:rPr>
        <w:t xml:space="preserve">Lower_mid_transition</w:t>
      </w:r>
      <w:r>
        <w:t xml:space="preserve">) gồm Việt Nam, Ấn Độ, Indonesia, Philippines, Mông Cổ, Bangladesh, Pakistan; nhóm đang nổi (ICRV Nhóm V,</w:t>
      </w:r>
      <w:r>
        <w:t xml:space="preserve"> </w:t>
      </w:r>
      <w:r>
        <w:rPr>
          <w:rStyle w:val="VerbatimChar"/>
        </w:rPr>
        <w:t xml:space="preserve">Emerging</w:t>
      </w:r>
      <w:r>
        <w:t xml:space="preserve">) gồm 17 nền kinh tế (gồm Sri Lanka, Jordan); và nhóm quốc đảo nhỏ (ICRV Nhóm VI,</w:t>
      </w:r>
      <w:r>
        <w:t xml:space="preserve"> </w:t>
      </w:r>
      <w:r>
        <w:rPr>
          <w:rStyle w:val="VerbatimChar"/>
        </w:rPr>
        <w:t xml:space="preserve">SIDS_small</w:t>
      </w:r>
      <w:r>
        <w:t xml:space="preserve">) gồm 8 nền (7 Pacific + Timor-Leste). Tổng cộng 49 nền kinh tế châu Á–Thái Bình Dương tạo thành 108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(Banalieva &amp; Dhanaraj, 2019; Verhoef et al., 2021; Yang, Zhao &amp; Wei, 2025).</w:t>
      </w:r>
    </w:p>
    <w:p>
      <w:pPr>
        <w:pStyle w:val="BodyText"/>
      </w:pPr>
      <w:r>
        <w:t xml:space="preserve">Khung lý thuyết hiện hành về quan hệ I–P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91.982 doanh nghiệp WBES xuyên 49 nền kinh tế, làm rõ ba pattern then chốt: phân tán năng suất tăng đơn điệu theo chế độ từ Nhóm I đến Nhóm VI; tính không đồng nhất nội bộ trong nhóm Advanced; và pattern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pattern đó.</w:t>
      </w:r>
    </w:p>
    <w:p>
      <w:pPr>
        <w:pStyle w:val="BodyText"/>
      </w:pPr>
      <w:r>
        <w:t xml:space="preserve">Bốn bản thảo thực nghiệm đồng hành cung cấp bằng chứng quốc gia cụ thể kiểm định khả năng của khung đề xuất. P2 Trung Quốc SMEs (Đỗ &amp; Phan, 2026, JFAR đã công bố) phân tích 2.700 doanh nghiệp SMEs Trung Quốc và tìm thấy dạng bậc ba (cubic nonlinearity / S-curve ba giai đoạn), cung cấp tiền thân thực nghiệm cho H1 và cơ sở để so sánh với P5. P3 Việt Nam (Đỗ &amp; Phan, 2026, JABS đang phản biện)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đang phản biện) phân tích 623 doanh nghiệp WBES 2023, cho thấy điểm uốn hàm ý ở FSTS khoảng 88,6% và DAI hoạt động như nguồn lực mở rộng tình huống với hệ số DAI×FSTS² = +3,119 (p = 0,005). P5 Trung Quốc (Đỗ &amp; Phan, 2026, IJOEM đang phản biện) phân tích 4.559 doanh nghiệp WBES hai sóng (2012, 2024) xác nhận chữ U ngược bền vững cấu trúc với điểm uốn 49,4% (2012) và 47,2% (2024).</w:t>
      </w:r>
    </w:p>
    <w:bookmarkEnd w:id="27"/>
    <w:bookmarkStart w:id="28"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91.982 doanh nghiệp xuyên 49 nền kinh tế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49 nền kinh tế phân theo sáu nhóm ICRV (5+6+6+7+17+8).</w:t>
      </w:r>
    </w:p>
    <w:p>
      <w:pPr>
        <w:pStyle w:val="BodyText"/>
      </w:pPr>
      <w:r>
        <w:t xml:space="preserve">Phạm vi thời gian: 2009–2025 (kèm một đợt khảo sát Oman 2003 trong bộ dữ liệu hợp nhất), bao trùm ba thế hệ schema WBES, tạo thành 101 cặp nền kinh tế–năm trên khung phân tích 49 nền.</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đó là nhiệm vụ của các bài báo tiếp theo trong chuỗi luận án. Chuyên đề này tập trung xây dựng và đặc tả mô hình.</w:t>
      </w:r>
    </w:p>
    <w:bookmarkEnd w:id="30"/>
    <w:bookmarkStart w:id="31" w:name="ý-nghĩa"/>
    <w:p>
      <w:pPr>
        <w:pStyle w:val="Heading4"/>
      </w:pPr>
      <w:r>
        <w:t xml:space="preserve">2.1.5 Ý nghĩa</w:t>
      </w:r>
    </w:p>
    <w:p>
      <w:pPr>
        <w:pStyle w:val="FirstParagraph"/>
      </w:pPr>
      <w:r>
        <w:t xml:space="preserve">Về lý thuyết, chuyên đề đóng góp khung tích hợp 4 tầng kết hợp Foundational Digital Adoption Framework, chưa có khung tương đương trong văn liệu IB cho khu vực 49 nền kinh tế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văn liệu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emerging Asia về cách tận dụng quốc tế hóa kết hợp năng lực công nghệ và số hóa, đặc biệt trong giai đoạn AI bùng nổ.</w:t>
      </w:r>
    </w:p>
    <w:p>
      <w:r>
        <w:pict>
          <v:rect style="width:0;height:1.5pt" o:hralign="center" o:hrstd="t" o:hr="t"/>
        </w:pict>
      </w:r>
    </w:p>
    <w:bookmarkEnd w:id="31"/>
    <w:bookmarkEnd w:id="32"/>
    <w:bookmarkStart w:id="33" w:name="phương-pháp-nghiên-cứu"/>
    <w:p>
      <w:pPr>
        <w:pStyle w:val="Heading3"/>
      </w:pPr>
      <w:r>
        <w:t xml:space="preserve">2.2 Phương pháp nghiên cứu</w:t>
      </w:r>
    </w:p>
    <w:p>
      <w:pPr>
        <w:pStyle w:val="FirstParagraph"/>
      </w:pPr>
      <w:r>
        <w:t xml:space="preserve">Chuyên đề tiếp cận theo lối tổng quan văn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robust standard errors (Long &amp; Ervin, 2000) làm chuẩn, hai chiều fixed effects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3"/>
    <w:bookmarkStart w:id="85" w:name="kết-quả-và-thảo-luận"/>
    <w:p>
      <w:pPr>
        <w:pStyle w:val="Heading3"/>
      </w:pPr>
      <w:r>
        <w:t xml:space="preserve">2.3 Kết quả và thảo luận</w:t>
      </w:r>
    </w:p>
    <w:bookmarkStart w:id="37" w:name="Xe9d3ddc50a975426938b90e9f8f17c0f4735086"/>
    <w:p>
      <w:pPr>
        <w:pStyle w:val="Heading4"/>
      </w:pPr>
      <w:r>
        <w:t xml:space="preserve">2.3.1 Tổng quan văn liệu về quan hệ quốc tế hóa và hiệu quả kinh doanh</w:t>
      </w:r>
    </w:p>
    <w:bookmarkStart w:id="34" w:name="năm-dạng-hàm-của-quan-hệ-ip"/>
    <w:p>
      <w:pPr>
        <w:pStyle w:val="Heading5"/>
      </w:pPr>
      <w:r>
        <w:t xml:space="preserve">Năm dạng hàm của quan hệ I–P</w:t>
      </w:r>
    </w:p>
    <w:p>
      <w:pPr>
        <w:pStyle w:val="FirstParagraph"/>
      </w:pPr>
      <w:r>
        <w:t xml:space="preserve">Văn liệu IB đã ghi nhận không dưới năm dạng hàm khác nhau trong quan hệ giữa cường độ quốc tế hóa và hiệu quả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 β₁(FSTS) &gt; 0, β₂(FSTS²) &lt; 0, β₃(FSTS³)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pattern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I–P,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 quy mô —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lớn cung cấp bức tranh tổng thể về quan hệ I–P.</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±15% FSTS, đây là nền tảng quan trọng nhất ủng hộ gradient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91.982 doanh nghiệp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 (không kiểm định hệ thống)</w:t>
            </w:r>
          </w:p>
        </w:tc>
        <w:tc>
          <w:tcPr/>
          <w:p>
            <w:pPr>
              <w:pStyle w:val="Compact"/>
              <w:jc w:val="left"/>
            </w:pPr>
            <w:r>
              <w:t xml:space="preserve">Partial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 (GDP, văn hóa)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Kirca et al. (2012)</w:t>
            </w:r>
          </w:p>
        </w:tc>
        <w:tc>
          <w:tcPr/>
          <w:p>
            <w:pPr>
              <w:pStyle w:val="Compact"/>
              <w:jc w:val="left"/>
            </w:pPr>
            <w:r>
              <w:t xml:space="preserve">✗</w:t>
            </w:r>
          </w:p>
        </w:tc>
        <w:tc>
          <w:tcPr/>
          <w:p>
            <w:pPr>
              <w:pStyle w:val="Compact"/>
              <w:jc w:val="left"/>
            </w:pPr>
            <w:r>
              <w:t xml:space="preserve">✓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 (ngành)</w:t>
            </w:r>
          </w:p>
        </w:tc>
        <w:tc>
          <w:tcPr/>
          <w:p>
            <w:pPr>
              <w:pStyle w:val="Compact"/>
              <w:jc w:val="left"/>
            </w:pPr>
            <w:r>
              <w:t xml:space="preserve">✗</w:t>
            </w:r>
          </w:p>
        </w:tc>
      </w:tr>
      <w:tr>
        <w:tc>
          <w:tcPr/>
          <w:p>
            <w:pPr>
              <w:pStyle w:val="Compact"/>
              <w:jc w:val="left"/>
            </w:pPr>
            <w:r>
              <w:t xml:space="preserve">Marano et al. (2016)</w:t>
            </w:r>
          </w:p>
        </w:tc>
        <w:tc>
          <w:tcPr/>
          <w:p>
            <w:pPr>
              <w:pStyle w:val="Compact"/>
              <w:jc w:val="left"/>
            </w:pPr>
            <w:r>
              <w:t xml:space="preserve">✓ (TP ±15% FSTS)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Wu, Wood &amp; Khan (2022)</w:t>
            </w:r>
          </w:p>
        </w:tc>
        <w:tc>
          <w:tcPr/>
          <w:p>
            <w:pPr>
              <w:pStyle w:val="Compact"/>
              <w:jc w:val="left"/>
            </w:pPr>
            <w:r>
              <w:t xml:space="preserve">✓ (TP thấp hơn EMNE)</w:t>
            </w:r>
          </w:p>
        </w:tc>
        <w:tc>
          <w:tcPr/>
          <w:p>
            <w:pPr>
              <w:pStyle w:val="Compact"/>
              <w:jc w:val="left"/>
            </w:pPr>
            <w:r>
              <w:t xml:space="preserve">Partial (absorptive capacity)</w:t>
            </w:r>
          </w:p>
        </w:tc>
        <w:tc>
          <w:tcPr/>
          <w:p>
            <w:pPr>
              <w:pStyle w:val="Compact"/>
              <w:jc w:val="left"/>
            </w:pPr>
            <w:r>
              <w:t xml:space="preserve">✗</w:t>
            </w:r>
          </w:p>
        </w:tc>
        <w:tc>
          <w:tcPr/>
          <w:p>
            <w:pPr>
              <w:pStyle w:val="Compact"/>
              <w:jc w:val="left"/>
            </w:pPr>
            <w:r>
              <w:t xml:space="preserve">✗</w:t>
            </w:r>
          </w:p>
        </w:tc>
        <w:tc>
          <w:tcPr/>
          <w:p>
            <w:pPr>
              <w:pStyle w:val="Compact"/>
              <w:jc w:val="left"/>
            </w:pPr>
            <w:r>
              <w:t xml:space="preserve">Có</w:t>
            </w:r>
          </w:p>
        </w:tc>
        <w:tc>
          <w:tcPr/>
          <w:p>
            <w:pPr>
              <w:pStyle w:val="Compact"/>
              <w:jc w:val="left"/>
            </w:pPr>
            <w:r>
              <w:t xml:space="preserve">✓ (20 năm)</w:t>
            </w:r>
          </w:p>
        </w:tc>
        <w:tc>
          <w:tcPr/>
          <w:p>
            <w:pPr>
              <w:pStyle w:val="Compact"/>
              <w:jc w:val="left"/>
            </w:pPr>
            <w:r>
              <w:t xml:space="preserve">✓ (EMNE/DMNE)</w:t>
            </w:r>
          </w:p>
        </w:tc>
        <w:tc>
          <w:tcPr/>
          <w:p>
            <w:pPr>
              <w:pStyle w:val="Compact"/>
              <w:jc w:val="left"/>
            </w:pPr>
            <w:r>
              <w:t xml:space="preserve">✗</w:t>
            </w:r>
          </w:p>
        </w:tc>
      </w:tr>
      <w:tr>
        <w:tc>
          <w:tcPr/>
          <w:p>
            <w:pPr>
              <w:pStyle w:val="Compact"/>
              <w:jc w:val="left"/>
            </w:pPr>
            <w:r>
              <w:t xml:space="preserve">Đỗ &amp; Phan (2026 — JFAR)</w:t>
            </w:r>
          </w:p>
        </w:tc>
        <w:tc>
          <w:tcPr/>
          <w:p>
            <w:pPr>
              <w:pStyle w:val="Compact"/>
              <w:jc w:val="left"/>
            </w:pPr>
            <w:r>
              <w:t xml:space="preserve">✓ (bậc ba / S-curve)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 (H1: chữ U ngược + S-curve)</w:t>
            </w:r>
          </w:p>
        </w:tc>
        <w:tc>
          <w:tcPr/>
          <w:p>
            <w:pPr>
              <w:pStyle w:val="Compact"/>
              <w:jc w:val="left"/>
            </w:pPr>
            <w:r>
              <w:rPr>
                <w:bCs/>
                <w:b/>
              </w:rPr>
              <w:t xml:space="preserve">✓ (H2: nhân quả IV)</w:t>
            </w:r>
          </w:p>
        </w:tc>
        <w:tc>
          <w:tcPr/>
          <w:p>
            <w:pPr>
              <w:pStyle w:val="Compact"/>
              <w:jc w:val="left"/>
            </w:pPr>
            <w:r>
              <w:rPr>
                <w:bCs/>
                <w:b/>
              </w:rPr>
              <w:t xml:space="preserve">✓ (H3: CDCM phân biệt)</w:t>
            </w:r>
          </w:p>
        </w:tc>
        <w:tc>
          <w:tcPr/>
          <w:p>
            <w:pPr>
              <w:pStyle w:val="Compact"/>
              <w:jc w:val="left"/>
            </w:pPr>
            <w:r>
              <w:rPr>
                <w:bCs/>
                <w:b/>
              </w:rPr>
              <w:t xml:space="preserve">✓ (H4a–H4c)</w:t>
            </w:r>
          </w:p>
        </w:tc>
        <w:tc>
          <w:tcPr/>
          <w:p>
            <w:pPr>
              <w:pStyle w:val="Compact"/>
              <w:jc w:val="left"/>
            </w:pPr>
            <w:r>
              <w:rPr>
                <w:bCs/>
                <w:b/>
              </w:rPr>
              <w:t xml:space="preserve">✓ (H5: ICRV 6 nhóm)</w:t>
            </w:r>
          </w:p>
        </w:tc>
        <w:tc>
          <w:tcPr/>
          <w:p>
            <w:pPr>
              <w:pStyle w:val="Compact"/>
              <w:jc w:val="left"/>
            </w:pPr>
            <w:r>
              <w:rPr>
                <w:bCs/>
                <w:b/>
              </w:rPr>
              <w:t xml:space="preserve">✓ (H6: 3 giai đoạn)</w:t>
            </w:r>
          </w:p>
        </w:tc>
        <w:tc>
          <w:tcPr/>
          <w:p>
            <w:pPr>
              <w:pStyle w:val="Compact"/>
              <w:jc w:val="left"/>
            </w:pPr>
            <w:r>
              <w:rPr>
                <w:bCs/>
                <w:b/>
              </w:rPr>
              <w:t xml:space="preserve">✓ (Nhóm I→VI)</w:t>
            </w:r>
          </w:p>
        </w:tc>
        <w:tc>
          <w:tcPr/>
          <w:p>
            <w:pPr>
              <w:pStyle w:val="Compact"/>
              <w:jc w:val="left"/>
            </w:pPr>
            <w:r>
              <w:rPr>
                <w:bCs/>
                <w:b/>
              </w:rPr>
              <w:t xml:space="preserve">✓ (Nhóm VI FIP)</w:t>
            </w:r>
          </w:p>
        </w:tc>
      </w:tr>
    </w:tbl>
    <w:p>
      <w:pPr>
        <w:pStyle w:val="BodyText"/>
      </w:pPr>
      <w:r>
        <w:rPr>
          <w:iCs/>
          <w:i/>
        </w:rPr>
        <w:t xml:space="preserve">Ghi chú:</w:t>
      </w:r>
      <w:r>
        <w:rPr>
          <w:iCs/>
          <w:i/>
        </w:rPr>
        <w:t xml:space="preserve"> </w:t>
      </w:r>
      <w:r>
        <w:rPr>
          <w:iCs/>
          <w:i/>
        </w:rPr>
        <w:t xml:space="preserve">“</w:t>
      </w:r>
      <w:r>
        <w:rPr>
          <w:iCs/>
          <w:i/>
        </w:rPr>
        <w:t xml:space="preserve">Có</w:t>
      </w:r>
      <w:r>
        <w:rPr>
          <w:iCs/>
          <w:i/>
        </w:rPr>
        <w:t xml:space="preserve">”</w:t>
      </w:r>
      <w:r>
        <w:rPr>
          <w:iCs/>
          <w:i/>
        </w:rPr>
        <w:t xml:space="preserve"> </w:t>
      </w:r>
      <w:r>
        <w:rPr>
          <w:iCs/>
          <w:i/>
        </w:rPr>
        <w:t xml:space="preserve">= kiểm định chính thức hoặc đóng góp lý thuyết rõ ràng; Partial = đề cập nhưng không phải trọng tâm; ✗ = không bao gồm; – = không áp dụng. FIP = Forced Internationalization Penalty. TCI và DAI được phân tách theo tiêu chí CDCM; P2 JFAR không kiểm định CDCM (pre-framework) nhưng cung cấp bằng chứng phi tuyến cubic tiền thân.</w:t>
      </w:r>
    </w:p>
    <w:bookmarkEnd w:id="35"/>
    <w:bookmarkStart w:id="36" w:name="Xc1ee8ae98659a4ba0165f9ba23dbc70e097d79e"/>
    <w:p>
      <w:pPr>
        <w:pStyle w:val="Heading5"/>
      </w:pPr>
      <w:r>
        <w:t xml:space="preserve">Bằng chứng châu Á từ ba bản thảo đồng hành</w:t>
      </w:r>
    </w:p>
    <w:p>
      <w:pPr>
        <w:pStyle w:val="FirstParagraph"/>
      </w:pPr>
      <w:r>
        <w:t xml:space="preserve">P3 Việt Nam (Đỗ &amp; Phan, 2026, JABS đang phản biện):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P3: P3 Vietnam sử dụng chuỗi M0–M8 riêng, trong đó M8 là mô hình đầy đủ: lnLP_it = α + β₁ FSTS_c + β₂ FSTS_c² + β₃ TCI_z + β₄ DAI_z + β₅(FSTS_c × DAI_z) + β₆(FSTS_c² × DAI_z) + γ·X + δ_s + [λ_t] + ε_it. Đặc tả đầy đủ M0–M8 và bảng định nghĩa biến được trình bày trong bản thảo P3 (§3.2–§3.3) và luận án (§4.5.1). Chuỗi M0–M7 trong Chuyên đề 2 là các mô hình cấp độ pool 47 quốc gia, khác với đặc tả cấp độ quốc gia của P3.</w:t>
      </w:r>
    </w:p>
    <w:p>
      <w:pPr>
        <w:pStyle w:val="BodyText"/>
      </w:pPr>
      <w:r>
        <w:t xml:space="preserve">P4 Singapore (Mar, Đỗ &amp; Phan, 2026, MIR đang phản biện): Phân tích 623 doanh nghiệp WBES 2023. Trong nền kinh tế số bão hòa, đường cong I–P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 IJOEM đang phản biện): Phân tích 4.559 doanh nghiệp WBES hai sóng (2012, 2024). Chữ U ngược bền vững cấu trúc, điểm uốn 49,4% (2012), 47,2% (2024), kiểm định Paternoster cho hệ số FSTS² không có sự khác biệt đáng kể (p = 0,545). TCI tăng cường theo thời gian (+0,260 sang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(under review)</w:t>
            </w:r>
          </w:p>
        </w:tc>
        <w:tc>
          <w:tcPr/>
          <w:p>
            <w:pPr>
              <w:pStyle w:val="Compact"/>
              <w:jc w:val="left"/>
            </w:pPr>
            <w:r>
              <w:t xml:space="preserve">MIR (under review)</w:t>
            </w:r>
          </w:p>
        </w:tc>
        <w:tc>
          <w:tcPr/>
          <w:p>
            <w:pPr>
              <w:pStyle w:val="Compact"/>
              <w:jc w:val="left"/>
            </w:pPr>
            <w:r>
              <w:t xml:space="preserve">IJOEM (under review)</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uốn (cubic)</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 JFAR) là bản thảo tiền thân đã công bố, tìm thấy bậc ba (cubic nonlinearity) trong mẫu SMEs Trung Quốc, bằng chứng quan trọng cho dạng S-curve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(hoặc S-curve cubic trong P2) là dạng hàm phổ biến nhất cho doanh nghiệp vừa và nhỏ châu Á với điểm uốn phụ thuộc vào ICRV.</w:t>
      </w:r>
    </w:p>
    <w:bookmarkEnd w:id="36"/>
    <w:bookmarkEnd w:id="37"/>
    <w:bookmarkStart w:id="44" w:name="khung-lý-thuyết-tích-hợp-4-tầng"/>
    <w:p>
      <w:pPr>
        <w:pStyle w:val="Heading4"/>
      </w:pPr>
      <w:r>
        <w:t xml:space="preserve">2.3.2 Khung lý thuyết tích hợp 4 tầng</w:t>
      </w:r>
    </w:p>
    <w:bookmarkStart w:id="38"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8"/>
    <w:bookmarkStart w:id="39" w:name="X2c85e26e6ba3228bf003793c40503d5a193d2b2"/>
    <w:p>
      <w:pPr>
        <w:pStyle w:val="Heading5"/>
      </w:pPr>
      <w:r>
        <w:t xml:space="preserve">Tầng 2: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sang +0,426) ủng hộ TCI là nguồn lực VRIN bền vững.</w:t>
      </w:r>
    </w:p>
    <w:bookmarkEnd w:id="39"/>
    <w:bookmarkStart w:id="40"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1"/>
    <w:bookmarkStart w:id="42" w:name="X779d21652c68b5127bf6de7b7bac06c339791f2"/>
    <w:p>
      <w:pPr>
        <w:pStyle w:val="Heading5"/>
      </w:pPr>
      <w:r>
        <w:t xml:space="preserve">Foundational Digital Adoption Framework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Tier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 FSTS²)</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DAI×FSTS² =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(Upper Echelons/Hambrick &amp; Mason, 1984); bị khuôn khổ bởi thể chế nội địa (Institutional Theory/North, 1990), gradient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fixed effects có thể đa cộng; CDCM chỉ đo ở Tier 1–2 do hạn chế WBES.</w:t>
      </w:r>
    </w:p>
    <w:bookmarkEnd w:id="43"/>
    <w:bookmarkEnd w:id="44"/>
    <w:bookmarkStart w:id="54"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Resource-Based View, Institutional Theory, Upper Echelons Theory và Foundational Digital Adoption Framework,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8" w:name="X554d9a38aa5071c54dd41cf832555f814bf88a4"/>
    <w:p>
      <w:pPr>
        <w:pStyle w:val="Heading5"/>
      </w:pPr>
      <w:r>
        <w:t xml:space="preserve">Hình 2.1: Khung khái niệm tích hợp (tổng quan)</w:t>
      </w:r>
    </w:p>
    <w:p>
      <w:pPr>
        <w:pStyle w:val="CaptionedFigure"/>
      </w:pPr>
      <w:r>
        <w:drawing>
          <wp:inline>
            <wp:extent cx="5753100" cy="4009802"/>
            <wp:effectExtent b="0" l="0" r="0" t="0"/>
            <wp:docPr descr="Hình 2.1: Khung khái niệm tích hợp CĐ2" title="" id="46" name="Picture"/>
            <a:graphic>
              <a:graphicData uri="http://schemas.openxmlformats.org/drawingml/2006/picture">
                <pic:pic>
                  <pic:nvPicPr>
                    <pic:cNvPr descr="figures/hinh_2_1_khung_khai_niem.png" id="47" name="Picture"/>
                    <pic:cNvPicPr>
                      <a:picLocks noChangeArrowheads="1" noChangeAspect="1"/>
                    </pic:cNvPicPr>
                  </pic:nvPicPr>
                  <pic:blipFill>
                    <a:blip r:embed="rId45"/>
                    <a:stretch>
                      <a:fillRect/>
                    </a:stretch>
                  </pic:blipFill>
                  <pic:spPr bwMode="auto">
                    <a:xfrm>
                      <a:off x="0" y="0"/>
                      <a:ext cx="5753100" cy="4009802"/>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Foundational Digital Adoption Framework (CDCM) biện minh cho H3; Upper Echelons biện minh cho H4; Institutional Theory biện minh cho H5. Bằng chứng neo đậu từ P3 Việt Nam, P4 Singapore và P5 Trung Quốc xác nhận tính khả nghiệm trước khi áp dụng cho toàn pool 91.982 doanh nghiệp.</w:t>
      </w:r>
    </w:p>
    <w:bookmarkEnd w:id="48"/>
    <w:bookmarkStart w:id="52" w:name="hình-2.2-cơ-chế-cdcm-chi-tiết"/>
    <w:p>
      <w:pPr>
        <w:pStyle w:val="Heading5"/>
      </w:pPr>
      <w:r>
        <w:t xml:space="preserve">Hình 2.2: Cơ chế CDCM chi tiết</w:t>
      </w:r>
    </w:p>
    <w:p>
      <w:pPr>
        <w:pStyle w:val="CaptionedFigure"/>
      </w:pPr>
      <w:r>
        <w:drawing>
          <wp:inline>
            <wp:extent cx="5753100" cy="2573755"/>
            <wp:effectExtent b="0" l="0" r="0" t="0"/>
            <wp:docPr descr="Hình 2.2: Cơ chế CDCM theo ba nhóm ICRV" title="" id="50" name="Picture"/>
            <a:graphic>
              <a:graphicData uri="http://schemas.openxmlformats.org/drawingml/2006/picture">
                <pic:pic>
                  <pic:nvPicPr>
                    <pic:cNvPr descr="figures/hinh_2_2_cdcm_detail.png" id="51" name="Picture"/>
                    <pic:cNvPicPr>
                      <a:picLocks noChangeArrowheads="1" noChangeAspect="1"/>
                    </pic:cNvPicPr>
                  </pic:nvPicPr>
                  <pic:blipFill>
                    <a:blip r:embed="rId49"/>
                    <a:stretch>
                      <a:fillRect/>
                    </a:stretch>
                  </pic:blipFill>
                  <pic:spPr bwMode="auto">
                    <a:xfrm>
                      <a:off x="0" y="0"/>
                      <a:ext cx="5753100" cy="2573755"/>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Country–Digital–Capability Moderation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I–P thay đổi theo regime thể chế và mức bão hòa số của nền kinh tế. Nhóm I (Singapore, Advanced I, bão hòa số cao): DAI Tier-1+2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Tier-1 là ràng buộc đo lường; tác động dương theo OLS nhưng biến mất sau hiệu chỉnh nội sinh biến công cụ (β = 0,018, p = 0,942; P3). Nhóm III (Trung Quốc, Upper-Middle/Emerging transition, bão hòa số trung bình): DAI Tier-1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2"/>
    <w:bookmarkStart w:id="53"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β₁ &gt; 0</w:t>
            </w:r>
          </w:p>
        </w:tc>
        <w:tc>
          <w:tcPr/>
          <w:p>
            <w:pPr>
              <w:pStyle w:val="Compact"/>
              <w:jc w:val="left"/>
            </w:pPr>
            <w:r>
              <w:t xml:space="preserve">H1</w:t>
            </w:r>
          </w:p>
        </w:tc>
      </w:tr>
      <w:tr>
        <w:tc>
          <w:tcPr/>
          <w:p>
            <w:pPr>
              <w:pStyle w:val="Compact"/>
              <w:jc w:val="left"/>
            </w:pPr>
            <w:r>
              <w:t xml:space="preserve">FSTS²</w:t>
            </w:r>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w:r>
              <w:t xml:space="preserve">β₂ &lt; 0</w:t>
            </w:r>
          </w:p>
        </w:tc>
        <w:tc>
          <w:tcPr/>
          <w:p>
            <w:pPr>
              <w:pStyle w:val="Compact"/>
              <w:jc w:val="left"/>
            </w:pPr>
            <w:r>
              <w:t xml:space="preserve">H1</w:t>
            </w:r>
          </w:p>
        </w:tc>
      </w:tr>
      <w:tr>
        <w:tc>
          <w:tcPr/>
          <w:p>
            <w:pPr>
              <w:pStyle w:val="Compact"/>
              <w:jc w:val="left"/>
            </w:pPr>
            <w:r>
              <w:t xml:space="preserve">FSTS³</w:t>
            </w:r>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w:r>
              <w:t xml:space="preserve">β₃ &gt;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w:r>
              <w:t xml:space="preserve">FSTS²×DAI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 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 FSTS² để giảm đa cộng tuyến.</w:t>
      </w:r>
    </w:p>
    <w:bookmarkEnd w:id="53"/>
    <w:bookmarkEnd w:id="54"/>
    <w:bookmarkStart w:id="63" w:name="hệ-giả-thuyết-nghiên-cứu-h1h6"/>
    <w:p>
      <w:pPr>
        <w:pStyle w:val="Heading4"/>
      </w:pPr>
      <w:r>
        <w:t xml:space="preserve">2.3.4 Hệ giả thuyết nghiên cứu (H1–H6)</w:t>
      </w:r>
    </w:p>
    <w:bookmarkStart w:id="55"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văn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magnitude khám phá). H4c là hoàn toàn khám phá (two-sided, không có dấu tiên nghiệm).</w:t>
      </w:r>
    </w:p>
    <w:bookmarkEnd w:id="55"/>
    <w:bookmarkStart w:id="56" w:name="h1-phi-tuyến-trong-quan-hệ-ip"/>
    <w:p>
      <w:pPr>
        <w:pStyle w:val="Heading5"/>
      </w:pPr>
      <w:r>
        <w:t xml:space="preserve">H1: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và chính sự tồn tại của chữ U ngược khác nhau theo chế độ thể chế: trên khung 50 nền, chữ U ngược định hình rõ nét và tin cậy nhất ở Nhóm IV (điểm uốn 43,0%, trùng các ước lượng đơn quốc gia Việt Nam 39–46% và Ấn Độ 40,7%); ở Nhóm I đường cong duỗi thẳng gần tuyến tính dương (điểm uốn ngoài miền dữ liệu, trùng Singapore); ở Nhóm V quan hệ mất ý nghĩa thống kê và Nhóm VI không có chữ U ngược (~50–55%). Nhóm VI có pattern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gradient ICRV:</w:t>
      </w:r>
      <w:r>
        <w:t xml:space="preserve"> </w:t>
      </w:r>
      <w:r>
        <w:rPr>
          <w:bCs/>
          <w:b/>
        </w:rPr>
        <w:t xml:space="preserve">thấp nhất ở Nhóm I (~28%)</w:t>
      </w:r>
      <w:r>
        <w:t xml:space="preserve">, tăng dần qua Nhóm III (~47–49%) sang Nhóm IV (~39–46%) sang Nhóm V (~50–55%), với Nhóm VI có pattern gánh nặng bắt buộc (không có điểm uốn). Thể chế càng mạnh, doanh nghiệp đạt đỉnh hiệu suất xuất khẩu ở mức cường độ thấp hơn.</w:t>
      </w:r>
    </w:p>
    <w:p>
      <w:pPr>
        <w:pStyle w:val="BodyText"/>
      </w:pPr>
      <w:r>
        <w:t xml:space="preserve">H1a (biên tham gia): Bước chuyển từ không xuất khẩu (FSTS = 0) sang xuất khẩu (FSTS &gt; 0) tạo ra mức tăng năng suất lao động đáng kể và dương, tác động tham gia thị trường xuất khẩu là động lực chính của hiệu ứng I–P.</w:t>
      </w:r>
    </w:p>
    <w:p>
      <w:pPr>
        <w:pStyle w:val="BodyText"/>
      </w:pPr>
      <w:r>
        <w:t xml:space="preserve">H1b (biên cường độ, gần phẳng): Trong mẫu chỉ gồm doanh nghiệp xuất khẩu, đường cong I–P gần phẳng, tức là sau khi đã xuất khẩu, việc tăng cường độ tiếp theo không tạo thêm nhiều lợi ích năng suất nếu không có TCI và DAI đủ mạnh.</w:t>
      </w:r>
    </w:p>
    <w:bookmarkEnd w:id="56"/>
    <w:bookmarkStart w:id="57" w:name="h2-tci-điều-tiết-tích-cực-nâng-mặt-bằng"/>
    <w:p>
      <w:pPr>
        <w:pStyle w:val="Heading5"/>
      </w:pPr>
      <w:r>
        <w:t xml:space="preserve">H2: TCI điều tiết tích cực (nâng mặt bằng)</w:t>
      </w:r>
    </w:p>
    <w:p>
      <w:pPr>
        <w:pStyle w:val="FirstParagraph"/>
      </w:pPr>
      <w:r>
        <w:t xml:space="preserve">Cơ sở lý thuyết: RBV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sang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Technological Capability Index (TCI) có mối quan hệ dương trực tiếp với hiệu quả doanh nghiệp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7"/>
    <w:bookmarkStart w:id="58"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 FSTS²×DAI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I–P.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(các nền đang nổi và chuyển đổi, Nhóm III–V): Trong các nền kinh tế này, DAI điều tiết tích cực quan hệ FSTS sang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sub-hypothesis (CDCM distinctiveness hypothesis, H3c: β(TCI) ≠ β(DAI) và hai cấu trúc thỏa mãn tiêu chí discriminant validity).</w:t>
      </w:r>
    </w:p>
    <w:bookmarkEnd w:id="58"/>
    <w:bookmarkStart w:id="59" w:name="h4ah4c-đặc-điểm-nhà-quản-trị-điều-tiết"/>
    <w:p>
      <w:pPr>
        <w:pStyle w:val="Heading5"/>
      </w:pPr>
      <w:r>
        <w:t xml:space="preserve">H4a–H4c: Đặc điểm nhà quản trị điều tiết</w:t>
      </w:r>
    </w:p>
    <w:p>
      <w:pPr>
        <w:pStyle w:val="FirstParagraph"/>
      </w:pPr>
      <w:r>
        <w:t xml:space="preserve">Cơ sở lý thuyết: Upper Echelons Theory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 sang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sang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two-sided. Bằng chứng trong văn liệu Upper Echelons không đồng nhất về chiều hướng cho châu Á (Hambrick, 2007); H4c vì vậy là exploratory.</w:t>
      </w:r>
    </w:p>
    <w:p>
      <w:pPr>
        <w:pStyle w:val="BodyText"/>
      </w:pPr>
      <w:r>
        <w:t xml:space="preserve">Phạm vi kiểm định: H4a–H4b là biến đại diện (proxy) cho cơ chế Upper Echelons, kết quả là chỉ báo gián tiếp, không phải kiểm định trực tiếp cấu trúc lý thuyết gốc. Hạn chế này cần được thừa nhận rõ trong phần thảo luận kết quả.</w:t>
      </w:r>
    </w:p>
    <w:bookmarkEnd w:id="59"/>
    <w:bookmarkStart w:id="60" w:name="h5-thể-chế-icrv-điều-tiết-theo-gradient"/>
    <w:p>
      <w:pPr>
        <w:pStyle w:val="Heading5"/>
      </w:pPr>
      <w:r>
        <w:t xml:space="preserve">H5: Thể chế ICRV điều tiết theo gradient</w:t>
      </w:r>
    </w:p>
    <w:p>
      <w:pPr>
        <w:pStyle w:val="FirstParagraph"/>
      </w:pPr>
      <w:r>
        <w:t xml:space="preserve">Cơ sở lý thuyết: Institutional Theory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gần tuyến tính dương; điểm uốn ngoài miền dữ liệu</w:t>
            </w:r>
          </w:p>
        </w:tc>
        <w:tc>
          <w:tcPr/>
          <w:p>
            <w:pPr>
              <w:pStyle w:val="Compact"/>
              <w:jc w:val="left"/>
            </w:pPr>
            <w:r>
              <w:t xml:space="preserve">P7 50 nền: pooled TP M5 = 43,6% (N=79.080; M2 N=81.022); trong Nhóm I đường cong không định hình (LM p = ,30), nhất quán P4 Singapore (TP ~88,6%, LM p = ,303, không có ý nghĩa)</w:t>
            </w:r>
          </w:p>
        </w:tc>
      </w:tr>
      <w:tr>
        <w:tc>
          <w:tcPr/>
          <w:p>
            <w:pPr>
              <w:pStyle w:val="Compact"/>
              <w:jc w:val="left"/>
            </w:pPr>
            <w:r>
              <w:t xml:space="preserve">Nhóm II (tiên tiến tài nguyên)</w:t>
            </w:r>
          </w:p>
        </w:tc>
        <w:tc>
          <w:tcPr/>
          <w:p>
            <w:pPr>
              <w:pStyle w:val="Compact"/>
              <w:jc w:val="left"/>
            </w:pPr>
            <w:r>
              <w:t xml:space="preserve">Chữ U ngược ở biên ý nghĩa (~62%)</w:t>
            </w:r>
          </w:p>
        </w:tc>
        <w:tc>
          <w:tcPr/>
          <w:p>
            <w:pPr>
              <w:pStyle w:val="Compact"/>
              <w:jc w:val="left"/>
            </w:pPr>
            <w:r>
              <w:t xml:space="preserve">Kết quả 50 nền: TP 62,0%, LM p = ,081</w:t>
            </w:r>
          </w:p>
        </w:tc>
      </w:tr>
      <w:tr>
        <w:tc>
          <w:tcPr/>
          <w:p>
            <w:pPr>
              <w:pStyle w:val="Compact"/>
              <w:jc w:val="left"/>
            </w:pPr>
            <w:r>
              <w:t xml:space="preserve">Nhóm III (trung bình cao)</w:t>
            </w:r>
          </w:p>
        </w:tc>
        <w:tc>
          <w:tcPr/>
          <w:p>
            <w:pPr>
              <w:pStyle w:val="Compact"/>
              <w:jc w:val="left"/>
            </w:pPr>
            <w:r>
              <w:t xml:space="preserve">Không xác định ở cấp nhóm; ~47–49% ở Trung Quốc</w:t>
            </w:r>
          </w:p>
        </w:tc>
        <w:tc>
          <w:tcPr/>
          <w:p>
            <w:pPr>
              <w:pStyle w:val="Compact"/>
              <w:jc w:val="left"/>
            </w:pPr>
            <w:r>
              <w:t xml:space="preserve">Kết quả 50 nền: LM p = ,26; P5 Trung Quốc TP 47–49%***</w:t>
            </w:r>
          </w:p>
        </w:tc>
      </w:tr>
      <w:tr>
        <w:tc>
          <w:tcPr/>
          <w:p>
            <w:pPr>
              <w:pStyle w:val="Compact"/>
              <w:jc w:val="left"/>
            </w:pPr>
            <w:r>
              <w:t xml:space="preserve">Nhóm IV (chuyển đổi TB-thấp)</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(đang nổi)</w:t>
            </w:r>
          </w:p>
        </w:tc>
        <w:tc>
          <w:tcPr/>
          <w:p>
            <w:pPr>
              <w:pStyle w:val="Compact"/>
              <w:jc w:val="left"/>
            </w:pPr>
            <w:r>
              <w:t xml:space="preserve">Quan hệ mất cấu trúc, không xác định</w:t>
            </w:r>
          </w:p>
        </w:tc>
        <w:tc>
          <w:tcPr/>
          <w:p>
            <w:pPr>
              <w:pStyle w:val="Compact"/>
              <w:jc w:val="left"/>
            </w:pPr>
            <w:r>
              <w:t xml:space="preserve">Kết quả 50 nền: LM p = ,18; khoảng trống thể chế làm phần thưởng nhỏ và bất định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ba vùng: chữ U ngược định hình rõ ở vùng giữa gradient (Nhóm IV, điểm uốn 43,0%); duỗi thẳng gần tuyến tính dương ở biên trên (Nhóm I–II); mất cấu trúc ở biên dưới (Nhóm V không ý nghĩa; Nhóm VI có pattern gánh nặng bắt buộc). Thể chế càng mạnh; ở biên trên gradient, chi phí giao dịch thấp và năng lực điều phối cao đẩy nhánh đi xuống ra ngoài miền quan sát thay vì tạo đỉnh sớm hơn.</w:t>
      </w:r>
    </w:p>
    <w:bookmarkEnd w:id="60"/>
    <w:bookmarkStart w:id="61"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I–P dịch chuyển đáng kể. P5 Trung Quốc: TCI Paternoster p = 0,011, hiệu ứng TCI tăng cường 2012 xuống 2024. P5 Trung Quốc: FSTS Paternoster p = 0,545,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1"/>
    <w:bookmarkStart w:id="62"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 FSTS², FSTS³</w:t>
            </w:r>
          </w:p>
        </w:tc>
        <w:tc>
          <w:tcPr/>
          <w:p>
            <w:pPr>
              <w:pStyle w:val="Compact"/>
              <w:jc w:val="left"/>
            </w:pPr>
            <w:r>
              <w:t xml:space="preserve">β₁ &gt; 0; β₂ &lt;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 FSTS²×DAI</w:t>
            </w:r>
          </w:p>
        </w:tc>
        <w:tc>
          <w:tcPr/>
          <w:p>
            <w:pPr>
              <w:pStyle w:val="Compact"/>
              <w:jc w:val="left"/>
            </w:pPr>
            <w:r>
              <w:t xml:space="preserve">Direct: null/–; cond: β(FSTS²×DAI)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gradient;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 ≠ 0</w:t>
            </w:r>
          </w:p>
        </w:tc>
        <w:tc>
          <w:tcPr/>
          <w:p>
            <w:pPr>
              <w:pStyle w:val="Compact"/>
              <w:jc w:val="left"/>
            </w:pPr>
            <w:r>
              <w:t xml:space="preserve">P3 Paternoster p &lt; 0,001; P5 TCI p = 0,011</w:t>
            </w:r>
          </w:p>
        </w:tc>
      </w:tr>
    </w:tbl>
    <w:p>
      <w:pPr>
        <w:pStyle w:val="BodyText"/>
      </w:pPr>
      <w:r>
        <w:t xml:space="preserve">Mười một mệnh đề con dưới sáu giả thuyết chính H1–H6 (H1a–H1b, H2, H3a–H3b với H3c distinctiveness, H4a–H4c, H5, H6) tạo thành hệ thống logic nhất quán: H1a/H1b (phi tuyến, biên tham gia vs biên cường độ) là trọng tâm; H2 (TCI nâng mặt bằng) và H3a/H3b (DAI phụ thuộc regime) phân rã cơ chế năng lực doanh nghiệp với dấu kỳ vọng khác nhau theo ngữ cảnh; H4a–H4c (Quản trị) bổ sung tầng Upper Echelons với dấu kỳ vọng phân biệt theo đặc điểm nhà quản trị; H5 (ICRV gradient)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I–P ở Nhóm I, câu hỏi chưa được trả lời trong bất kỳ nghiên cứu I–P nào trước đây.</w:t>
      </w:r>
    </w:p>
    <w:bookmarkEnd w:id="62"/>
    <w:bookmarkEnd w:id="63"/>
    <w:bookmarkStart w:id="74" w:name="thiết-kế-mô-hình-thực-nghiệm-m0m7"/>
    <w:p>
      <w:pPr>
        <w:pStyle w:val="Heading4"/>
      </w:pPr>
      <w:r>
        <w:t xml:space="preserve">2.3.5 Thiết kế mô hình thực nghiệm (M0–M7)</w:t>
      </w:r>
    </w:p>
    <w:bookmarkStart w:id="64"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PPP / lao động thường xuyên); sai số chuẩn HC1 robust (Long &amp; Ervin, 2000) làm chuẩn; fixed effects quốc gia (α_j) và năm (δ_t); FSTS được tính trung tâm theo mean trước khi tính FSTS² để giảm đa cộng tuyến.</w:t>
      </w:r>
    </w:p>
    <w:p>
      <w:pPr>
        <w:pStyle w:val="BodyText"/>
      </w:pPr>
      <w:r>
        <w:t xml:space="preserve">Tiêu chí lựa chọn mô hình: ΔR² &gt; 0,01 để thêm biến điều tiết; ΔAIC &lt; −2 ủng hộ mô hình phức tạp hơn; ΔBIC &lt; −10 là bằng chứng mạnh; F-test p &lt; 0,05 để thêm khối biến. M7 được báo cáo nếu ΔAIC(M7 vs M4+M3 kết hợp) &lt; −2 VÀ F-test p &lt; 0,05.</w:t>
      </w:r>
    </w:p>
    <w:bookmarkEnd w:id="64"/>
    <w:bookmarkStart w:id="65" w:name="m0-baseline-tuyến-tính"/>
    <w:p>
      <w:pPr>
        <w:pStyle w:val="Heading5"/>
      </w:pPr>
      <w:r>
        <w:t xml:space="preserve">M0: Baseline tuyến tính</w:t>
      </w:r>
    </w:p>
    <w:p>
      <w:pPr>
        <w:pStyle w:val="FirstParagraph"/>
      </w:pPr>
    </w:p>
    <w:p>
      <w:pPr>
        <w:pStyle w:val="BodyText"/>
      </w:pPr>
      <w:r>
        <w:t xml:space="preserve">Mục đích: thiết lập baseline và kiểm tra hướng tác động tuyến tính thuần túy.</w:t>
      </w:r>
      <w:r>
        <w:t xml:space="preserve"> </w:t>
      </w:r>
      <w:r>
        <w:t xml:space="preserve">Kỳ vọng: β₁ &gt; 0 (tác động dương trung bình của xuất khẩu).</w:t>
      </w:r>
      <w:r>
        <w:t xml:space="preserve"> </w:t>
      </w:r>
      <w:r>
        <w:t xml:space="preserve">Hạn chế: không nắm bắt được phi tuyến tính, cung cấp ước lượng cận dưới cho tác động quốc tế hóa.</w:t>
      </w:r>
    </w:p>
    <w:bookmarkEnd w:id="65"/>
    <w:bookmarkStart w:id="66"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văn liệu.</w:t>
      </w:r>
      <w:r>
        <w:t xml:space="preserve"> </w:t>
      </w:r>
      <w:r>
        <w:t xml:space="preserve">Kỳ vọng: β₁ &gt; 0, β₂ &lt; 0.</w:t>
      </w:r>
      <w:r>
        <w:t xml:space="preserve"> </w:t>
      </w:r>
      <w:r>
        <w:t xml:space="preserve">Điểm uốn: TP₁ = −β₁/(2β₂), mức FSTS tối ưu (trên thang mean-centered).</w:t>
      </w:r>
      <w:r>
        <w:t xml:space="preserve"> </w:t>
      </w:r>
      <w:r>
        <w:t xml:space="preserve">Kiểm định bổ sung: Lind–Mehlum (2010) để xác nhận chữ U ngược thực sự.</w:t>
      </w:r>
    </w:p>
    <w:bookmarkEnd w:id="66"/>
    <w:bookmarkStart w:id="67" w:name="m2-s-curve-bậc-ba-kiểm-định-h1-đầy-đủ"/>
    <w:p>
      <w:pPr>
        <w:pStyle w:val="Heading5"/>
      </w:pPr>
      <w:r>
        <w:t xml:space="preserve">M2: S-curve bậc ba (kiểm định H1 đầy đủ)</w:t>
      </w:r>
    </w:p>
    <w:p>
      <w:pPr>
        <w:pStyle w:val="FirstParagraph"/>
      </w:pPr>
    </w:p>
    <w:p>
      <w:pPr>
        <w:pStyle w:val="BodyText"/>
      </w:pPr>
      <w:r>
        <w:t xml:space="preserve">Mục đích: kiểm định S-curve ba giai đoạn (Lu &amp; Beamish, 2004; Contractor et al., 2003).</w:t>
      </w:r>
      <w:r>
        <w:t xml:space="preserve"> </w:t>
      </w:r>
      <w:r>
        <w:t xml:space="preserve">Kỳ vọng: β₁ &gt; 0, β₂ &lt; 0, β₃ &gt; 0.</w:t>
      </w:r>
      <w:r>
        <w:t xml:space="preserve"> </w:t>
      </w:r>
      <w:r>
        <w:t xml:space="preserve">Lựa chọn mô hình: so sánh M1 và M2 bằng AIC, BIC, và F-test β₃ = 0.</w:t>
      </w:r>
    </w:p>
    <w:bookmarkEnd w:id="67"/>
    <w:bookmarkStart w:id="68"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(β₃ &gt; 0) và/hoặc điều tiết độ cong (β₄, β₅).</w:t>
      </w:r>
      <w:r>
        <w:t xml:space="preserve"> </w:t>
      </w:r>
      <w:r>
        <w:t xml:space="preserve">Kỳ vọng chính: β₃ &gt; 0 (hiệu ứng TCI trực tiếp).</w:t>
      </w:r>
      <w:r>
        <w:t xml:space="preserve"> </w:t>
      </w:r>
      <w:r>
        <w:t xml:space="preserve">Kiểm định: F-test (β₄ = β₅ = 0) = kiểm định joint moderation; nếu p &gt; 0,10 sang TCI là nâng mặt bằng thuần túy.</w:t>
      </w:r>
    </w:p>
    <w:bookmarkEnd w:id="68"/>
    <w:bookmarkStart w:id="69"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 β₅(FSTS²×DAI) &gt; 0 trong Nhóm I (nhất quán P4 Singapore +3,119); β₃(DAI trực tiếp) rồi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9"/>
    <w:bookmarkStart w:id="70"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 β₄ &gt; 0; educ_manager (b7a, H4b), biến phụ với kỳ vọng β₄ &gt; 0; gender_manager (b7, H4c), khám phá, kiểm định two-sided.</w:t>
      </w:r>
      <w:r>
        <w:t xml:space="preserve"> </w:t>
      </w:r>
      <w:r>
        <w:t xml:space="preserve">Kỳ vọng: β₄(FSTS×exp_manager) &gt; 0 [H4a]; β₄(FSTS×educ_manager) &gt; 0 [H4b]; β₄(FSTS×gender_manager), không có kỳ vọng tiên nghiệm [H4c].</w:t>
      </w:r>
    </w:p>
    <w:bookmarkEnd w:id="70"/>
    <w:bookmarkStart w:id="71"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gradient ICRV và gánh nặng bắt buộc (Nhóm VI).</w:t>
      </w:r>
      <w:r>
        <w:t xml:space="preserve"> </w:t>
      </w:r>
      <w:r>
        <w:t xml:space="preserve">Nhóm tham chiếu: Nhóm I (tiên tiến đổi mới).</w:t>
      </w:r>
      <w:r>
        <w:t xml:space="preserve"> </w:t>
      </w:r>
      <w:r>
        <w:t xml:space="preserve">Kỳ vọng: cấu trúc ba vùng: hệ số bậc hai âm và có ý nghĩa chỉ ở Nhóm IV (và biên ý nghĩa ở Nhóm II); không ý nghĩa ở Nhóm I, III, V; Nhóm VI không có chữ U ngược; Nhóm VI có β(FSTS×ICRV_VI) ≤ 0.</w:t>
      </w:r>
      <w:r>
        <w:t xml:space="preserve"> </w:t>
      </w:r>
      <w:r>
        <w:t xml:space="preserve">Lưu ý: Country FE bị omit trong M6 do ICRV_j là biến cấp quốc gia bất biến theo thời gian, thay bằng Year FE + Region FE (6 vùng).</w:t>
      </w:r>
    </w:p>
    <w:bookmarkEnd w:id="71"/>
    <w:bookmarkStart w:id="72"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 X_i gồm: ln_employees, firm_age, foreign_own (≥10%),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 β₈(FSTS²×DAI) &gt; 0 trong Nhóm I; β₃(TCI) &gt; 0; β₁₂/β₁₃ ≠ β₁₀/β₁₁ (dịch chuyển thời gian).</w:t>
      </w:r>
      <w:r>
        <w:t xml:space="preserve"> </w:t>
      </w:r>
      <w:r>
        <w:t xml:space="preserve">Yêu cầu mẫu: với k = 13 tham số trọng tâm + controls, n ≥ 5.000 cần thiết cho power &gt; 0,80 tại f² = 0,02, dễ dàng đáp ứng với pool 91.982.</w:t>
      </w:r>
    </w:p>
    <w:bookmarkEnd w:id="72"/>
    <w:bookmarkStart w:id="73"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w:r>
              <w:t xml:space="preserve">β₁ &gt; 0</w:t>
            </w:r>
          </w:p>
        </w:tc>
      </w:tr>
      <w:tr>
        <w:tc>
          <w:tcPr/>
          <w:p>
            <w:pPr>
              <w:pStyle w:val="Compact"/>
              <w:jc w:val="left"/>
            </w:pPr>
            <w:r>
              <w:t xml:space="preserve">M1</w:t>
            </w:r>
          </w:p>
        </w:tc>
        <w:tc>
          <w:tcPr/>
          <w:p>
            <w:pPr>
              <w:pStyle w:val="Compact"/>
              <w:jc w:val="left"/>
            </w:pPr>
            <w:r>
              <w:t xml:space="preserve">+ FSTS²</w:t>
            </w:r>
          </w:p>
        </w:tc>
        <w:tc>
          <w:tcPr/>
          <w:p>
            <w:pPr>
              <w:pStyle w:val="Compact"/>
              <w:jc w:val="left"/>
            </w:pPr>
            <w:r>
              <w:t xml:space="preserve">H1 (chữ U ngược)</w:t>
            </w:r>
          </w:p>
        </w:tc>
        <w:tc>
          <w:tcPr/>
          <w:p>
            <w:pPr>
              <w:pStyle w:val="Compact"/>
              <w:jc w:val="left"/>
            </w:pPr>
            <w:r>
              <w:t xml:space="preserve">β₂ &lt; 0; Lind–Mehlum</w:t>
            </w:r>
          </w:p>
        </w:tc>
      </w:tr>
      <w:tr>
        <w:tc>
          <w:tcPr/>
          <w:p>
            <w:pPr>
              <w:pStyle w:val="Compact"/>
              <w:jc w:val="left"/>
            </w:pPr>
            <w:r>
              <w:t xml:space="preserve">M2</w:t>
            </w:r>
          </w:p>
        </w:tc>
        <w:tc>
          <w:tcPr/>
          <w:p>
            <w:pPr>
              <w:pStyle w:val="Compact"/>
              <w:jc w:val="left"/>
            </w:pPr>
            <w:r>
              <w:t xml:space="preserve">+ FSTS³</w:t>
            </w:r>
          </w:p>
        </w:tc>
        <w:tc>
          <w:tcPr/>
          <w:p>
            <w:pPr>
              <w:pStyle w:val="Compact"/>
              <w:jc w:val="left"/>
            </w:pPr>
            <w:r>
              <w:t xml:space="preserve">H1 (S-curve)</w:t>
            </w:r>
          </w:p>
        </w:tc>
        <w:tc>
          <w:tcPr/>
          <w:p>
            <w:pPr>
              <w:pStyle w:val="Compact"/>
              <w:jc w:val="left"/>
            </w:pPr>
            <w:r>
              <w:t xml:space="preserve">β₃ &gt; 0; F-test β₃ = 0</w:t>
            </w:r>
          </w:p>
        </w:tc>
      </w:tr>
      <w:tr>
        <w:tc>
          <w:tcPr/>
          <w:p>
            <w:pPr>
              <w:pStyle w:val="Compact"/>
              <w:jc w:val="left"/>
            </w:pPr>
            <w:r>
              <w:t xml:space="preserve">M3</w:t>
            </w:r>
          </w:p>
        </w:tc>
        <w:tc>
          <w:tcPr/>
          <w:p>
            <w:pPr>
              <w:pStyle w:val="Compact"/>
              <w:jc w:val="left"/>
            </w:pPr>
            <w:r>
              <w:t xml:space="preserve">+ TCI, FSTS×TCI, FSTS²×TCI</w:t>
            </w:r>
          </w:p>
        </w:tc>
        <w:tc>
          <w:tcPr/>
          <w:p>
            <w:pPr>
              <w:pStyle w:val="Compact"/>
              <w:jc w:val="left"/>
            </w:pPr>
            <w:r>
              <w:t xml:space="preserve">H2</w:t>
            </w:r>
          </w:p>
        </w:tc>
        <w:tc>
          <w:tcPr/>
          <w:p>
            <w:pPr>
              <w:pStyle w:val="Compact"/>
              <w:jc w:val="left"/>
            </w:pPr>
            <w:r>
              <w:t xml:space="preserve">β₃ &gt; 0; F-test (β₄ = β₅ = 0)</w:t>
            </w:r>
          </w:p>
        </w:tc>
      </w:tr>
      <w:tr>
        <w:tc>
          <w:tcPr/>
          <w:p>
            <w:pPr>
              <w:pStyle w:val="Compact"/>
              <w:jc w:val="left"/>
            </w:pPr>
            <w:r>
              <w:t xml:space="preserve">M4</w:t>
            </w:r>
          </w:p>
        </w:tc>
        <w:tc>
          <w:tcPr/>
          <w:p>
            <w:pPr>
              <w:pStyle w:val="Compact"/>
              <w:jc w:val="left"/>
            </w:pPr>
            <w:r>
              <w:t xml:space="preserve">+ DAI, FSTS×DAI, FSTS²×DAI</w:t>
            </w:r>
          </w:p>
        </w:tc>
        <w:tc>
          <w:tcPr/>
          <w:p>
            <w:pPr>
              <w:pStyle w:val="Compact"/>
              <w:jc w:val="left"/>
            </w:pPr>
            <w:r>
              <w:t xml:space="preserve">H3a/H3b</w:t>
            </w:r>
          </w:p>
        </w:tc>
        <w:tc>
          <w:tcPr/>
          <w:p>
            <w:pPr>
              <w:pStyle w:val="Compact"/>
              <w:jc w:val="left"/>
            </w:pPr>
            <w:r>
              <w:t xml:space="preserve">H3a: β(FSTS×DAI) &gt; 0 Nhóm III–V; H3b: β(FSTS²×DAI)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 β₄(FSTS×exp) &gt; 0; H4b: β₄(FSTS×educ) &gt; 0; H4c: two-sided</w:t>
            </w:r>
          </w:p>
        </w:tc>
      </w:tr>
      <w:tr>
        <w:tc>
          <w:tcPr/>
          <w:p>
            <w:pPr>
              <w:pStyle w:val="Compact"/>
              <w:jc w:val="left"/>
            </w:pPr>
            <w:r>
              <w:t xml:space="preserve">M6</w:t>
            </w:r>
          </w:p>
        </w:tc>
        <w:tc>
          <w:tcPr/>
          <w:p>
            <w:pPr>
              <w:pStyle w:val="Compact"/>
              <w:jc w:val="left"/>
            </w:pPr>
            <w:r>
              <w:t xml:space="preserve">+ ICRV_j × FSTS, ICRV_j × FSTS²</w:t>
            </w:r>
          </w:p>
        </w:tc>
        <w:tc>
          <w:tcPr/>
          <w:p>
            <w:pPr>
              <w:pStyle w:val="Compact"/>
              <w:jc w:val="left"/>
            </w:pPr>
            <w:r>
              <w:t xml:space="preserve">H5</w:t>
            </w:r>
          </w:p>
        </w:tc>
        <w:tc>
          <w:tcPr/>
          <w:p>
            <w:pPr>
              <w:pStyle w:val="Compact"/>
              <w:jc w:val="left"/>
            </w:pPr>
            <w:r>
              <w:t xml:space="preserve">Gradient TP; gánh nặng bắt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3"/>
    <w:bookmarkEnd w:id="74"/>
    <w:bookmarkStart w:id="79" w:name="dữ-liệu-và-chiến-lược-nhận-dạng-nhân-quả"/>
    <w:p>
      <w:pPr>
        <w:pStyle w:val="Heading4"/>
      </w:pPr>
      <w:r>
        <w:t xml:space="preserve">2.3.6 Dữ liệu và chiến lược nhận dạng nhân quả</w:t>
      </w:r>
    </w:p>
    <w:bookmarkStart w:id="75" w:name="nguồn-dữ-liệu-và-cấu-trúc-pool"/>
    <w:p>
      <w:pPr>
        <w:pStyle w:val="Heading5"/>
      </w:pPr>
      <w:r>
        <w:t xml:space="preserve">Nguồn dữ liệu và cấu trúc pool</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khung 50 nền kinh tế châu Á và Thái Bình Dương (gồm Nhật Bản 2025), 88.869 doanh nghiệp, 103 cặp nền kinh tế–năm trong giai đoạn 2006–2026; mẫu hồi quy chính của vòng ước lượng chính thức: M2 N = 81.022, M5 N = 79.080.</w:t>
      </w:r>
    </w:p>
    <w:p>
      <w:pPr>
        <w:pStyle w:val="BodyText"/>
      </w:pPr>
      <w:r>
        <w:t xml:space="preserve">Bảng 2.8. Cấu trúc pool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 Adv. đổi mới (</w:t>
            </w:r>
            <w:r>
              <w:rPr>
                <w:rStyle w:val="VerbatimChar"/>
              </w:rPr>
              <w:t xml:space="preserve">Advanced_innovation</w:t>
            </w:r>
            <w:r>
              <w:t xml:space="preserve">)</w:t>
            </w:r>
          </w:p>
        </w:tc>
        <w:tc>
          <w:tcPr/>
          <w:p>
            <w:pPr>
              <w:pStyle w:val="Compact"/>
              <w:jc w:val="left"/>
            </w:pPr>
            <w:r>
              <w:t xml:space="preserve">Singapore, HongKong, Hàn Quốc, Đài Loan, Israel, Nhật Bản¹</w:t>
            </w:r>
          </w:p>
        </w:tc>
        <w:tc>
          <w:tcPr/>
          <w:p>
            <w:pPr>
              <w:pStyle w:val="Compact"/>
              <w:jc w:val="center"/>
            </w:pPr>
            <w:r>
              <w:t xml:space="preserve">6</w:t>
            </w:r>
          </w:p>
        </w:tc>
        <w:tc>
          <w:tcPr/>
          <w:p>
            <w:pPr>
              <w:pStyle w:val="Compact"/>
              <w:jc w:val="center"/>
            </w:pPr>
            <w:r>
              <w:t xml:space="preserve">6.390</w:t>
            </w:r>
          </w:p>
        </w:tc>
      </w:tr>
      <w:tr>
        <w:tc>
          <w:tcPr/>
          <w:p>
            <w:pPr>
              <w:pStyle w:val="Compact"/>
              <w:jc w:val="left"/>
            </w:pPr>
            <w:r>
              <w:t xml:space="preserve">II —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2.231</w:t>
            </w:r>
          </w:p>
        </w:tc>
      </w:tr>
      <w:tr>
        <w:tc>
          <w:tcPr/>
          <w:p>
            <w:pPr>
              <w:pStyle w:val="Compact"/>
              <w:jc w:val="left"/>
            </w:pPr>
            <w:r>
              <w:t xml:space="preserve">III —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45.003</w:t>
            </w:r>
          </w:p>
        </w:tc>
      </w:tr>
      <w:tr>
        <w:tc>
          <w:tcPr/>
          <w:p>
            <w:pPr>
              <w:pStyle w:val="Compact"/>
              <w:jc w:val="left"/>
            </w:pPr>
            <w:r>
              <w:t xml:space="preserve">V —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18.957</w:t>
            </w:r>
          </w:p>
        </w:tc>
      </w:tr>
      <w:tr>
        <w:tc>
          <w:tcPr/>
          <w:p>
            <w:pPr>
              <w:pStyle w:val="Compact"/>
              <w:jc w:val="left"/>
            </w:pPr>
            <w:r>
              <w:t xml:space="preserve">VI — SIDS (</w:t>
            </w:r>
            <w:r>
              <w:rPr>
                <w:rStyle w:val="VerbatimChar"/>
              </w:rPr>
              <w:t xml:space="preserve">SIDS_small</w:t>
            </w:r>
            <w:r>
              <w:t xml:space="preserve">)</w:t>
            </w:r>
          </w:p>
        </w:tc>
        <w:tc>
          <w:tcPr/>
          <w:p>
            <w:pPr>
              <w:pStyle w:val="Compact"/>
              <w:jc w:val="left"/>
            </w:pPr>
            <w:r>
              <w:t xml:space="preserve">Fiji, Kiribati, PNG, Samoa, Solomon, Tonga, Vanuatu, Timor-Leste</w:t>
            </w:r>
          </w:p>
        </w:tc>
        <w:tc>
          <w:tcPr/>
          <w:p>
            <w:pPr>
              <w:pStyle w:val="Compact"/>
              <w:jc w:val="center"/>
            </w:pPr>
            <w:r>
              <w:t xml:space="preserve">8</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50</w:t>
            </w:r>
          </w:p>
        </w:tc>
        <w:tc>
          <w:tcPr/>
          <w:p>
            <w:pPr>
              <w:pStyle w:val="Compact"/>
              <w:jc w:val="center"/>
            </w:pPr>
            <w:r>
              <w:rPr>
                <w:bCs/>
                <w:b/>
              </w:rPr>
              <w:t xml:space="preserve">88.869</w:t>
            </w:r>
            <w:r>
              <w:t xml:space="preserve"> </w:t>
            </w:r>
            <w:r>
              <w:t xml:space="preserve">(pool mô tả; N hồi quy M2 = 81.022)</w:t>
            </w:r>
          </w:p>
        </w:tc>
      </w:tr>
    </w:tbl>
    <w:p>
      <w:pPr>
        <w:pStyle w:val="BodyText"/>
      </w:pPr>
      <w:r>
        <w:rPr>
          <w:iCs/>
          <w:i/>
        </w:rPr>
        <w:t xml:space="preserve">Ghi chú: ¹Nhật Bản được WBES khảo sát lần đầu năm 2025 (n=2.168) và là thành viên thứ sáu của Nhóm I trong khung mô tả 50 nền (Chuyên đề 1); bộ dữ liệu ước lượng đa quốc gia của chuyên đề này (P7) được chạy trên 49 nền theo dữ liệu sẵn có tại thời điểm ước lượng, đưa Nhật Bản vào ước lượng là vòng tái ước lượng tiếp theo. Nhãn nhóm theo biến phân loại</w:t>
      </w:r>
      <w:r>
        <w:rPr>
          <w:iCs/>
          <w:i/>
        </w:rPr>
        <w:t xml:space="preserve"> </w:t>
      </w:r>
      <w:r>
        <w:rPr>
          <w:rStyle w:val="VerbatimChar"/>
          <w:iCs/>
          <w:i/>
        </w:rPr>
        <w:t xml:space="preserve">icrv_label</w:t>
      </w:r>
      <w:r>
        <w:rPr>
          <w:iCs/>
          <w:i/>
        </w:rPr>
        <w:t xml:space="preserve">, dùng thống nhất trong luận án và Chuyên đề 1,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(8 nền). Nghiên cứu chuyên sâu SIDS (P8) lấy mẫu chính 7 nền Thái Bình Dương và kiểm định bền vững mở rộng 9 nền (thêm Comoros + Timor-Leste). Pool phân loại đầy đủ = 96.415 DN/52 nền; loại 3 nền ngoài châu Á (Comoros, Turkey, Cyprus) sang khung phân tích 49 nền Á–TBD = 91.864 DN.</w:t>
      </w:r>
    </w:p>
    <w:p>
      <w:pPr>
        <w:pStyle w:val="BodyText"/>
      </w:pPr>
      <w:r>
        <w:t xml:space="preserve">Ba thế hệ schema WBES và giao thức hòa hợp: PICS3 (2006–2012): biến FSTS từ d3b/d3c; TCI từ h1/h8/b8; DAI từ c22b only. Standardized (2013–2017): biến tái định dạng nhưng tương thích. BREADY/BEE (2018–2025): schema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I–P tại cấp doanh nghiệp (conditional on observables), không phải ước lượng thống kê mô tả đại diện tổng thể. Thứ hai, hai chiều fixed effects (quốc gia × năm) đã hấp thụ phần lớn biến thiên liên quan đến thiết kế lấy mẫu phân tầng. Thứ ba, tích hợp trọng số mẫu vào mô hình fixed effects không đồng nhất gây phức tạp ước lượng mà không đem lại cải thiện tính hợp lệ nội tại (Solon et al., 2015). Phân tích độ nhạy với trọng số được đề xuất như kiểm định tương lai (xem §2.4.2) để xác nhận tính vững của kết quả so với mẫu không có trọng số.</w:t>
      </w:r>
    </w:p>
    <w:p>
      <w:pPr>
        <w:pStyle w:val="BodyText"/>
      </w:pPr>
      <w:r>
        <w:t xml:space="preserve">Giao thức hòa hợp bao gồm: crosswalk biến giữa ba schema; xử lý giá trị thiếu; loại bỏ ngoại lệ tại phân vị 1/99 trong cụm nền kinh tế × năm; và chuẩn hóa năng suất xuyên tiền tệ (xem dưới).</w:t>
      </w:r>
    </w:p>
    <w:bookmarkEnd w:id="75"/>
    <w:bookmarkStart w:id="76"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t>L</m:t>
            </m:r>
            <m: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đặc tả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I–P được nhận dạng từ biến thiên</w:t>
      </w:r>
      <w:r>
        <w:t xml:space="preserve"> </w:t>
      </w:r>
      <w:r>
        <w:rPr>
          <w:iCs/>
          <w:i/>
        </w:rPr>
        <w:t xml:space="preserve">nội bộ</w:t>
      </w:r>
      <w:r>
        <w:t xml:space="preserve"> </w:t>
      </w:r>
      <w:r>
        <w:t xml:space="preserve">nền kinh tế–năm, nhất quán với Phụ lục A của luận án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t>L</m:t>
            </m:r>
            <m:r>
              <m:t>P</m:t>
            </m:r>
          </m:e>
        </m:d>
      </m:oMath>
      <w:r>
        <w:t xml:space="preserve"> </w:t>
      </w:r>
      <w:r>
        <w:t xml:space="preserve">thô. Giá trị được winsorize tại phân vị 1/99 trong cụm nền kinh tế × năm để giảm ảnh hưởng ngoại lệ. Lựa chọn năng suất lao động làm thước đo hiệu quả phù hợp với dữ liệu WBES (Combs et al., 2005; Cusolito &amp; Maloney, 2018; Richard et al., 2009).</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 + gián tiếp</m:t>
                  </m:r>
                </m:e>
                <m:sub>
                  <m:r>
                    <m:t>i</m:t>
                  </m:r>
                </m:sub>
              </m:sSub>
            </m:num>
            <m:den>
              <m:sSub>
                <m:e>
                  <m:r>
                    <m:rPr>
                      <m:nor/>
                      <m:sty m:val="p"/>
                    </m:rPr>
                    <m:t>tổng doanh thu hằng năm</m:t>
                  </m:r>
                </m:e>
                <m:sub>
                  <m:r>
                    <m:t>i</m:t>
                  </m:r>
                </m:sub>
              </m:sSub>
            </m:den>
          </m:f>
          <m:r>
            <m:rPr>
              <m:sty m:val="p"/>
            </m:rPr>
            <m:t>=</m:t>
          </m:r>
          <m:f>
            <m:fPr>
              <m:type m:val="bar"/>
            </m:fPr>
            <m:num>
              <m:r>
                <m:t>d</m:t>
              </m:r>
              <m:r>
                <m:t>3</m:t>
              </m:r>
              <m:sSub>
                <m:e>
                  <m:r>
                    <m:t>b</m:t>
                  </m:r>
                </m:e>
                <m:sub>
                  <m:r>
                    <m:t>i</m:t>
                  </m:r>
                </m:sub>
              </m:sSub>
              <m:r>
                <m:rPr>
                  <m:sty m:val="p"/>
                </m:rPr>
                <m:t>+</m:t>
              </m:r>
              <m:r>
                <m:t>d</m:t>
              </m:r>
              <m:r>
                <m:t>3</m:t>
              </m:r>
              <m:sSub>
                <m:e>
                  <m:r>
                    <m:t>c</m:t>
                  </m:r>
                </m:e>
                <m:sub>
                  <m:r>
                    <m:t>i</m:t>
                  </m:r>
                </m:sub>
              </m:sSub>
            </m:num>
            <m:den>
              <m:r>
                <m:t>100</m:t>
              </m:r>
            </m:den>
          </m:f>
        </m:oMath>
      </m:oMathPara>
    </w:p>
    <w:p>
      <w:pPr>
        <w:pStyle w:val="FirstParagraph"/>
      </w:pPr>
      <w:r>
        <w:t xml:space="preserve">d3b là tỉ lệ phần trăm doanh thu xuất khẩu gián tiếp (qua trung gian) và d3c là xuất khẩu trực tiếp, theo nhãn biến chính thức WBES; tổng hai thành phần là định nghĩa tham gia xuất khẩu chuẩn của WBES, dùng thống nhất với khung ước lượng đa quốc gia của luận án (P7). FSTS_c = FSTS − mean(FSTS) trong mỗi ô sóng-quốc gia trước khi tính FSTS². Tỷ trọng doanh thu xuất khẩu là thước đo cường độ quốc tế hóa chuẩn của văn liệu I–P (Lu &amp; Beamish, 2001; Sullivan, 1994); hai nghiên cứu thành phần đơn quốc gia (P3 Việt Nam, P5 Trung Quốc) dùng riêng d3c với luận chứng kênh xuất khẩu trực tiếp/gián tiếp (Hessels &amp; Terjesen, 2010; Peng &amp; Ilinitch, 1998).</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 Construct phản ánh chiều sâu năng lực công nghệ nội tại theo truyền thống năng lực hấp thụ và năng lực công nghệ hóa công nghiệp (Cohen &amp; Levinthal, 1990; Lall, 1992).</w:t>
      </w:r>
    </w:p>
    <w:p>
      <w:pPr>
        <w:pStyle w:val="BodyText"/>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schema BEE (2019 trở đi).</w:t>
      </w:r>
      <w:r>
        <w:t xml:space="preserve"> </w:t>
      </w:r>
      <w:r>
        <w:t xml:space="preserve">DAI_z_tier1 (Tier 1 only): z-mean(c22b), có xuyên tất cả schema. Phân tầng đo lường số hóa theo Verhoef et al. (2021); vai trò công cụ số trong quốc tế hóa theo Banalieva &amp; Dhanaraj (2019).</w:t>
      </w:r>
    </w:p>
    <w:p>
      <w:pPr>
        <w:pStyle w:val="BodyText"/>
      </w:pPr>
      <w:r>
        <w:t xml:space="preserve">Chiến lược đo lường DAI: sử dụng DAI_z_full làm biến chính trong mẫu con BEE; DAI_z_tier1 cho so sánh xuyên schema và kiểm định độ vững.</w:t>
      </w:r>
    </w:p>
    <w:bookmarkEnd w:id="76"/>
    <w:bookmarkStart w:id="77" w:name="phân-loại-icrv-6-nhóm"/>
    <w:p>
      <w:pPr>
        <w:pStyle w:val="Heading5"/>
      </w:pPr>
      <w:r>
        <w:t xml:space="preserve">Phân loại ICRV 6 nhóm</w:t>
      </w:r>
    </w:p>
    <w:p>
      <w:pPr>
        <w:pStyle w:val="FirstParagraph"/>
      </w:pPr>
      <w:r>
        <w:t xml:space="preserve">Bảng 2.11. Phân loại 49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bắt buộc</w:t>
            </w:r>
          </w:p>
        </w:tc>
        <w:tc>
          <w:tcPr/>
          <w:p>
            <w:pPr>
              <w:pStyle w:val="Compact"/>
              <w:jc w:val="left"/>
            </w:pPr>
            <w:r>
              <w:t xml:space="preserve">Fiji, Kiribati, Papua New Guinea, Samoa, Solomon Islands, Tonga, Vanuatu, Timor-Leste (8 nền; P8 mẫu chính 7 Pacific)</w:t>
            </w:r>
          </w:p>
        </w:tc>
      </w:tr>
    </w:tbl>
    <w:p>
      <w:pPr>
        <w:pStyle w:val="BodyText"/>
      </w:pPr>
      <w:r>
        <w:t xml:space="preserve">Tổng: 5 + 6 + 6 + 7 + 17 + 8 =</w:t>
      </w:r>
      <w:r>
        <w:t xml:space="preserve"> </w:t>
      </w:r>
      <w:r>
        <w:rPr>
          <w:bCs/>
          <w:b/>
        </w:rPr>
        <w:t xml:space="preserve">49 nền kinh tế châu Á–Thái Bình Dương</w:t>
      </w:r>
      <w:r>
        <w:t xml:space="preserve"> </w:t>
      </w:r>
      <w:r>
        <w:t xml:space="preserve">(căn theo nhãn</w:t>
      </w:r>
      <w:r>
        <w:t xml:space="preserve"> </w:t>
      </w:r>
      <w:r>
        <w:rPr>
          <w:rStyle w:val="VerbatimChar"/>
        </w:rPr>
        <w:t xml:space="preserve">icrv_label</w:t>
      </w:r>
      <w:r>
        <w:t xml:space="preserve"> </w:t>
      </w:r>
      <w:r>
        <w:t xml:space="preserve">dữ liệu P7).</w:t>
      </w:r>
      <w:r>
        <w:t xml:space="preserve"> </w:t>
      </w:r>
      <w:r>
        <w:rPr>
          <w:iCs/>
          <w:i/>
        </w:rPr>
        <w:t xml:space="preserve">(Pool phân loại đầy đủ 52 nền/96.415 DN gồm thêm Comoros, Turkey, Cyprus ngoài châu Á, loại khỏi khung 49. P8 mẫu chính 7 nền Pacific; độ vững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49 nền kinh tế không thay đổi nhóm ICRV trong giai đoạn 2009–2025 (ngưỡng kiểm tra: chuyển nhóm nếu GNI/người vượt ngưỡng ±15% trong ≥3 năm liên tiếp, không có trường hợp nào).</w:t>
      </w:r>
    </w:p>
    <w:bookmarkEnd w:id="77"/>
    <w:bookmarkStart w:id="78" w:name="chiến-lược-nhận-dạng-nhân-quả"/>
    <w:p>
      <w:pPr>
        <w:pStyle w:val="Heading5"/>
      </w:pPr>
      <w:r>
        <w:t xml:space="preserve">Chiến lược nhận dạng nhân quả</w:t>
      </w:r>
    </w:p>
    <w:p>
      <w:pPr>
        <w:pStyle w:val="FirstParagraph"/>
      </w:pPr>
      <w:r>
        <w:t xml:space="preserve">Tầng 1, OLS với SE robust và fixed effects (tất cả mô hình M0–M7): HC1 SE (chuẩn), điều chỉnh không đồng nhất phương sai cấp doanh nghiệp; two-way fixed effects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sang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sang bằng chứng xác nhận không phụ thuộc giả định phân phối.</w:t>
      </w:r>
    </w:p>
    <w:p>
      <w:pPr>
        <w:pStyle w:val="BodyText"/>
      </w:pPr>
      <w:r>
        <w:t xml:space="preserve">Tầng 4, Nhân rộng mẫu con: Pool đủ lớn (91.982) cho phép chạy M0–M7 riêng cho từng nhóm ICRV (Nhóm I: 6.390; Nhóm IV: 45.003) để kiểm định tính không đồng nhất.</w:t>
      </w:r>
    </w:p>
    <w:bookmarkEnd w:id="78"/>
    <w:bookmarkEnd w:id="79"/>
    <w:bookmarkStart w:id="80"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 ROS; (b) Biến độc lập →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 không tìm thấy phi tuyến; (b) Thay TCI bằng nhiễu →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bookmarkEnd w:id="80"/>
    <w:bookmarkStart w:id="84" w:name="Xa7a3e024942ac139f282b38617464477c22cff4"/>
    <w:p>
      <w:pPr>
        <w:pStyle w:val="Heading4"/>
      </w:pPr>
      <w:r>
        <w:t xml:space="preserve">2.3.8 Thảo luận: đóng góp lý thuyết và thực tiễn</w:t>
      </w:r>
    </w:p>
    <w:bookmarkStart w:id="81" w:name="đóng-góp-lý-thuyết"/>
    <w:p>
      <w:pPr>
        <w:pStyle w:val="Heading5"/>
      </w:pPr>
      <w:r>
        <w:t xml:space="preserve">Đóng góp lý thuyết</w:t>
      </w:r>
    </w:p>
    <w:p>
      <w:pPr>
        <w:pStyle w:val="FirstParagraph"/>
      </w:pPr>
      <w:r>
        <w:t xml:space="preserve">Đóng góp 1: Khung tích hợp 4 tầng + Foundational Digital Adoption Framework cho châu Á. Không có khung tương đương trong văn liệu IB cho khu vực 49 nền kinh tế bao gồm cả quốc đảo nhỏ Thái Bình Dương. Khung tích hợp Uppsala + RBV + Institutional Theory + Upper Echelons + Foundational Digital Adoption Framework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văn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I–P khác nhau do nguồn lực dẫn dắt khác nhau.</w:t>
      </w:r>
    </w:p>
    <w:p>
      <w:pPr>
        <w:pStyle w:val="BodyText"/>
      </w:pPr>
      <w:r>
        <w:t xml:space="preserve">Đóng góp 4: Giả thuyết gánh nặng bắt buộc trong khung I–P. Dạng hàm forced penalty (SIDS Nhóm VI) được tích hợp vào H5 như trường hợp cực đoan của gradient thể chế, SIDS không có chữ U ngược điển hình do quốc tế hóa bắt buộc (Briguglio, 1995). Tích hợp này mở rộng văn liệu I–P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văn liệu châu Á kiểm định đồng thời I×TCI×DAI điều tiết ba chiều kết hợp với tính không đồng nhất thời gian, cho phép kiểm tra xem TCI và DAI là bổ sung hay thay thế trong điều tiết I–P.</w:t>
      </w:r>
    </w:p>
    <w:p>
      <w:pPr>
        <w:pStyle w:val="BodyText"/>
      </w:pPr>
      <w:r>
        <w:t xml:space="preserve">Đóng góp 6: Pool 91.982 doanh nghiệp,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fixed effects,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văn liệu I–P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emerging Asia:</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RBV, Institutional Theory, Upper Echelons, Foundational Digital Adoption Framework, vào tám mô hình thực nghiệm M0–M7 có thể kiểm định trên pool 91.982 doanh nghiệp WBES xuyên 49 nền kinh tế và 108 cặp quốc gia-năm. Hệ giả thuyết H1–H6 được phát triển có neo đậu thực nghiệm từ ba bản thảo đồng hành (P3 Việt Nam, P4 Singapore, P5 Trung Quốc), xác nhận tính khả nghiệm của khung đề xuất trước khi áp dụng cho toàn pool.</w:t>
      </w:r>
    </w:p>
    <w:p>
      <w:pPr>
        <w:pStyle w:val="BodyText"/>
      </w:pPr>
      <w:r>
        <w:t xml:space="preserve">Kết quả dự kiến từ bằng chứng neo đậu: H1 (phi tuyến) xác nhận chữ U ngược ở hầu hết nhóm ICRV với gradient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exploratory; H5 (ICRV gradient) điểm uốn gradient từ Nhóm I đến VI, Nhóm VI gánh nặng bắt buộc; H6 (Thời gian) DAI dịch chuyển 2009 xuống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tích hợp ERP, triển khai AI, quản trị dữ liệu xuyên biên giới,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panel meta-analysis; Borenstein et al. (2021), Bayesian meta-regression với thông tin tiền nghiệm. Về mở rộng bậc số hóa: Verhoef et al. (2021), phân cấp Tier 1–4. Về mở rộng quốc tế hóa đa chiều: Contractor et al. (2003); Sullivan (1994) về DOI composite.</w:t>
      </w:r>
    </w:p>
    <w:p>
      <w:r>
        <w:pict>
          <v:rect style="width:0;height:1.5pt" o:hralign="center" o:hrstd="t" o:hr="t"/>
        </w:pict>
      </w:r>
    </w:p>
    <w:bookmarkEnd w:id="87"/>
    <w:bookmarkStart w:id="88"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IBR đang phản biện):</w:t>
      </w:r>
      <w:r>
        <w:t xml:space="preserve"> </w:t>
      </w:r>
      <w:r>
        <w:t xml:space="preserve">Bản thảo P6 đã hoàn thành, mở rộng ICBEF 2025 baseline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6 nhóm; (iii) DPL phase. Kết quả MARA xác nhận: pooled</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publication bias xác nhận qua Begg–Mazumdar τ=−0,134 (p=.0007), trim-and-fill k=58 imputed,</w:t>
      </w:r>
      <w:r>
        <w:t xml:space="preserve"> </w:t>
      </w:r>
      <w:r>
        <w:rPr>
          <w:iCs/>
          <w:i/>
        </w:rPr>
        <w:t xml:space="preserve">r</w:t>
      </w:r>
      <w:r>
        <w:t xml:space="preserve">_adj=0,035, pooled effect thực tế thấp hơn khoảng 50% so với ước lượng thô. Đóng góp của P6 trong khuôn khổ CD2: xác nhận gradient ICRV tổng thể (Q_M có ý nghĩa) nhưng không đủ k ở mỗi nhóm để xác nhận đường gradient đơn điệu E1a/E1b.</w:t>
      </w:r>
    </w:p>
    <w:p>
      <w:pPr>
        <w:pStyle w:val="BodyText"/>
      </w:pPr>
      <w:r>
        <w:rPr>
          <w:bCs/>
          <w:b/>
        </w:rPr>
        <w:t xml:space="preserve">Hướng 2, P7: Kiểm định H1–H6 toàn pool 50 nền kinh tế (mục tiêu JIBS):</w:t>
      </w:r>
      <w:r>
        <w:t xml:space="preserve"> </w:t>
      </w:r>
      <w:r>
        <w:t xml:space="preserve">P7 đã ước lượng trên N=81.022 doanh nghiệp, 50 nền kinh tế châu Á và Thái Bình Dương, 103 cặp nền kinh tế và năm, 6 nhóm ICRV. Kết quả xác nhận: H1 (phi tuyến) điểm uốn M5 = 43,6% (Lind–Mehlum p&lt;,001); H2 TCI hiệu ứng mức +0,141 (p&lt;,001); H3 DAI hiệu ứng mức +0,201 (p&lt;,001), tương tác độ cong cùng chiều nhưng không ý nghĩa; H5 ba vùng thể chế, chữ U ngược</w:t>
      </w:r>
      <w:r>
        <w:t xml:space="preserve"> </w:t>
      </w:r>
      <w:r>
        <w:rPr>
          <w:bCs/>
          <w:b/>
        </w:rPr>
        <w:t xml:space="preserve">rõ</w:t>
      </w:r>
      <w:r>
        <w:t xml:space="preserve"> </w:t>
      </w:r>
      <w:r>
        <w:t xml:space="preserve">từ SIDS/Frontier (~55%) xuống Advanced Innovation (~28%); DAI×ICRV p=.012 (digital shield strongest khi thể chế yếu). P3 (Nhóm IV), P4 (Nhóm I), P5 (Nhóm III) cung cấp neo đậu cross-context đã được xác nhận bởi pooled 49-economy results.</w:t>
      </w:r>
    </w:p>
    <w:p>
      <w:pPr>
        <w:pStyle w:val="BodyText"/>
      </w:pPr>
      <w:r>
        <w:rPr>
          <w:bCs/>
          <w:b/>
        </w:rPr>
        <w:t xml:space="preserve">Hướng 3, P8: SIDS Thái Bình Dương, gánh nặng bắt buộc (World Development, đang phản biện vòng hai):</w:t>
      </w:r>
      <w:r>
        <w:t xml:space="preserve"> </w:t>
      </w:r>
      <w:r>
        <w:t xml:space="preserve">P8 đã hoàn thành,</w:t>
      </w:r>
      <w:r>
        <w:t xml:space="preserve"> </w:t>
      </w:r>
      <w:r>
        <w:rPr>
          <w:bCs/>
          <w:b/>
        </w:rPr>
        <w:t xml:space="preserve">mẫu chính 7 nền Pacific SIDS (N=209 complete-case; pool 1.371), β(FSTS_c)=−1,339</w:t>
      </w:r>
      <w:r>
        <w:t xml:space="preserve"> </w:t>
      </w:r>
      <w:r>
        <w:t xml:space="preserve">(p&lt;.001); kiểm định độ vững mở rộng 9 nền (thêm Comoros + Timor-Leste, N≈1.469, β≈−0,4), xác nhận Forced Internationalization Penalty: quan hệ âm đơn điệu không có điểm uốn, nhất quán với giả thuyết gánh nặng bắt buộc (Briguglio, 1995; Bertram, 2006). Khoảng trống H1b trong CD2 đã được lấp đầy bởi P8.</w:t>
      </w:r>
    </w:p>
    <w:p>
      <w:pPr>
        <w:pStyle w:val="BodyText"/>
      </w:pPr>
      <w:r>
        <w:rPr>
          <w:bCs/>
          <w:b/>
        </w:rPr>
        <w:t xml:space="preserve">Hướng 4,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Panel longitudinal WBES core 2023–2027 (JIBS hoặc SMJ):</w:t>
      </w:r>
      <w:r>
        <w:t xml:space="preserve"> </w:t>
      </w:r>
      <w:r>
        <w:t xml:space="preserve">WBES core panel theo dõi một nhóm doanh nghiệp trong ít nhất hai sóng liên tiếp, cho phép kiểm định nhân quả TCI sang năng suất và DAI sang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91"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https://doi.org/10.1596/978-1-4648-1334-4</w:t>
      </w:r>
    </w:p>
    <w:p>
      <w:pPr>
        <w:pStyle w:val="BodyText"/>
      </w:pPr>
      <w:r>
        <w:t xml:space="preserve">Đỗ, T. H., &amp; Phan, A. T. (2026).</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đang phản biện].</w:t>
      </w:r>
      <w:r>
        <w:t xml:space="preserve"> </w:t>
      </w:r>
      <w:r>
        <w:rPr>
          <w:iCs/>
          <w:i/>
        </w:rPr>
        <w:t xml:space="preserve">Journal of Asia Business Studies</w:t>
      </w:r>
      <w:r>
        <w:t xml:space="preserve">. [P3, Việt Nam]</w:t>
      </w:r>
    </w:p>
    <w:p>
      <w:pPr>
        <w:pStyle w:val="BodyText"/>
      </w:pPr>
      <w:r>
        <w:t xml:space="preserve">Đỗ, T. H., &amp; Phan, A. T. (2026).</w:t>
      </w:r>
      <w:r>
        <w:t xml:space="preserve"> </w:t>
      </w:r>
      <w:r>
        <w:rPr>
          <w:iCs/>
          <w:i/>
        </w:rPr>
        <w:t xml:space="preserve">Technological capability, digital adoption, and internationalization performance in China: Evidence from two WBES waves</w:t>
      </w:r>
      <w:r>
        <w:t xml:space="preserve"> </w:t>
      </w:r>
      <w:r>
        <w:t xml:space="preserve">[Manuscript đang phản biện].</w:t>
      </w:r>
      <w:r>
        <w:t xml:space="preserve"> </w:t>
      </w:r>
      <w:r>
        <w:rPr>
          <w:iCs/>
          <w:i/>
        </w:rPr>
        <w:t xml:space="preserve">International Journal of Emerging Markets</w:t>
      </w:r>
      <w:r>
        <w:t xml:space="preserve">. [P5, Trung Quốc]</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K. S.,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[Manuscript under review].</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https://doi.org/10.1177/0149206316648proper</w:t>
      </w:r>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91"/>
    <w:bookmarkStart w:id="96" w:name="phụ-lục"/>
    <w:p>
      <w:pPr>
        <w:pStyle w:val="Heading2"/>
      </w:pPr>
      <w:r>
        <w:t xml:space="preserve">PHỤ LỤC</w:t>
      </w:r>
    </w:p>
    <w:bookmarkStart w:id="92" w:name="X99c2132ff359a6f3a08cce74cdac275000718c2"/>
    <w:p>
      <w:pPr>
        <w:pStyle w:val="Heading3"/>
      </w:pPr>
      <w:r>
        <w:t xml:space="preserve">Phụ lục A: Danh sách 50 nền kinh tế theo nhóm ICRV</w:t>
      </w:r>
    </w:p>
    <w:p>
      <w:pPr>
        <w:pStyle w:val="FirstParagraph"/>
      </w:pPr>
      <w:r>
        <w:t xml:space="preserve">ICRV Nhóm I, Tiên tiến đổi mới sáng tạo dẫn dắt (6 nền kinh tế):</w:t>
      </w:r>
      <w:r>
        <w:t xml:space="preserve"> </w:t>
      </w:r>
      <w:r>
        <w:t xml:space="preserve">Singapore, Hong Kong SAR, Hàn Quốc, Đài Loan, Israel, Nhật Bản (đợt khảo sát WBES đầu tiên năm 2025).</w:t>
      </w:r>
    </w:p>
    <w:p>
      <w:pPr>
        <w:pStyle w:val="BodyText"/>
      </w:pPr>
      <w:r>
        <w:t xml:space="preserve">ICRV Nhóm II, Tiên tiến tài nguyên dẫn dắt (6 nền kinh tế):</w:t>
      </w:r>
      <w:r>
        <w:t xml:space="preserve"> </w:t>
      </w:r>
      <w:r>
        <w:t xml:space="preserve">Saudi Arabia, Qatar, Kuwait, Bahrain, Brunei, Oman.</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Chuyển đổi thu nhập trung bình–thấp (7 nền kinh tế):</w:t>
      </w:r>
      <w:r>
        <w:t xml:space="preserve"> </w:t>
      </w:r>
      <w:r>
        <w:t xml:space="preserve">Việt Nam, Ấn Độ, Indonesia, Philippines, Mông Cổ, Bangladesh, Pakistan.</w:t>
      </w:r>
    </w:p>
    <w:p>
      <w:pPr>
        <w:pStyle w:val="BodyText"/>
      </w:pPr>
      <w:r>
        <w:t xml:space="preserve">ICRV Nhóm V, Đang nổi (17 nền kinh tế):</w:t>
      </w:r>
      <w:r>
        <w:t xml:space="preserve"> </w:t>
      </w:r>
      <w:r>
        <w:t xml:space="preserve">Sri Lanka, Jordan, Lào, Campuchia, Myanmar, Nepal, Bhutan, Maldives, Uzbekistan, Tajikistan, Kyrgyzstan, Turkmenistan, Afghanistan, Azerbaijan, Iraq, Lebanon, Yemen.</w:t>
      </w:r>
    </w:p>
    <w:p>
      <w:pPr>
        <w:pStyle w:val="BodyText"/>
      </w:pPr>
      <w:r>
        <w:t xml:space="preserve">ICRV Nhóm VI, SIDS, trường hợp biên (8 nền kinh tế):</w:t>
      </w:r>
      <w:r>
        <w:t xml:space="preserve"> </w:t>
      </w:r>
      <w:r>
        <w:t xml:space="preserve">Fiji, Kiribati, Papua New Guinea, Samoa, Solomon Islands, Tonga, Vanuatu, Timor-Leste.</w:t>
      </w:r>
      <w:r>
        <w:t xml:space="preserve"> </w:t>
      </w:r>
      <w:r>
        <w:rPr>
          <w:iCs/>
          <w:i/>
        </w:rPr>
        <w:t xml:space="preserve">(Ghi chú: mẫu chính của nghiên cứu chuyên sâu SIDS là 7 nền Thái Bình Dương; kiểm định độ vững mở rộng 9 nền, bổ sung Comoros.)</w:t>
      </w:r>
    </w:p>
    <w:p>
      <w:pPr>
        <w:pStyle w:val="BodyText"/>
      </w:pPr>
      <w:r>
        <w:t xml:space="preserve">Tổng: 6 + 6 + 6 + 7 + 17 + 8 = 50 nền kinh tế.</w:t>
      </w:r>
    </w:p>
    <w:bookmarkEnd w:id="92"/>
    <w:bookmarkStart w:id="93" w:name="phụ-lục-b-tóm-tắt-ba-bản-thảo-đồng-hành"/>
    <w:p>
      <w:pPr>
        <w:pStyle w:val="Heading3"/>
      </w:pPr>
      <w:r>
        <w:t xml:space="preserve">Phụ lục B: Tóm tắt ba bản thảo đồng hành</w:t>
      </w:r>
    </w:p>
    <w:p>
      <w:pPr>
        <w:pStyle w:val="FirstParagraph"/>
      </w:pPr>
      <w:r>
        <w:t xml:space="preserve">P3, Việt Nam (JABS, đang phản biện): Đỗ, T. H., &amp; Phan, A. T. (2026).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(MIR, đang phản biện): Mar, K. S.,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(IJOEM, đang phản biện): Đỗ, T. H., &amp; Phan, A. T. (2026). Phân tích 4.559 doanh nghiệp WBES hai sóng 2012/2024. Kết quả chính: chữ U ngược bền vững cấu trúc, điểm uốn 49,4% (2012), 47,2% (2024), Paternoster FSTS² p = 0,545 (không có sự khác biệt đáng kể); TCI tăng cường theo thời gian (+0,260 sang +0,426, Paternoster p = 0,011).</w:t>
      </w:r>
    </w:p>
    <w:bookmarkEnd w:id="93"/>
    <w:bookmarkStart w:id="94"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4"/>
    <w:bookmarkStart w:id="95" w:name="Xa84ffce5c253a184851e54c82ab1310212e4bc3"/>
    <w:p>
      <w:pPr>
        <w:pStyle w:val="Heading3"/>
      </w:pPr>
      <w:r>
        <w:t xml:space="preserve">Phụ lục D: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Pool 47 quốc gia × 5 ngành chính ≈ 235 cụm,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95"/>
    <w:bookmarkEnd w:id="96"/>
    <w:bookmarkEnd w:id="9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2026-06-12T18:27:48Z</dcterms:created>
  <dcterms:modified xsi:type="dcterms:W3CDTF">2026-06-12T18:27:48Z</dcterms:modified>
</cp:coreProperties>
</file>

<file path=docProps/custom.xml><?xml version="1.0" encoding="utf-8"?>
<Properties xmlns="http://schemas.openxmlformats.org/officeDocument/2006/custom-properties" xmlns:vt="http://schemas.openxmlformats.org/officeDocument/2006/docPropsVTypes"/>
</file>