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tài-liệu-tham-khảo-apa-7th"/>
    <w:p>
      <w:pPr>
        <w:pStyle w:val="Heading1"/>
      </w:pPr>
      <w:r>
        <w:t xml:space="preserve">Tài liệu tham khảo — APA 7th</w:t>
      </w:r>
    </w:p>
    <w:p>
      <w:pPr>
        <w:pStyle w:val="FirstParagraph"/>
      </w:pPr>
      <w:r>
        <w:t xml:space="preserve">Danh mục tham khảo cho luận án, sắp xếp theo thứ tự alphabet của tên tác giả đầu tiên theo chuẩn APA 7th. Những tham khảo này được dùng xuyên suốt bốn file</w:t>
      </w:r>
      <w:r>
        <w:t xml:space="preserve"> </w:t>
      </w:r>
      <w:r>
        <w:rPr>
          <w:rStyle w:val="VerbatimChar"/>
        </w:rPr>
        <w:t xml:space="preserve">00</w:t>
      </w:r>
      <w:r>
        <w:t xml:space="preserve">–</w:t>
      </w:r>
      <w:r>
        <w:rPr>
          <w:rStyle w:val="VerbatimChar"/>
        </w:rPr>
        <w:t xml:space="preserve">03</w:t>
      </w:r>
      <w:r>
        <w:t xml:space="preserve"> </w:t>
      </w:r>
      <w:r>
        <w:t xml:space="preserve">và bản thảo luận án.</w:t>
      </w:r>
    </w:p>
    <w:p>
      <w:pPr>
        <w:pStyle w:val="BlockText"/>
      </w:pPr>
      <w:r>
        <w:rPr>
          <w:bCs/>
          <w:b/>
        </w:rPr>
        <w:t xml:space="preserve">Phiên bản 2.0 (06/05/2026)</w:t>
      </w:r>
      <w:r>
        <w:t xml:space="preserve">: Bổ sung 11 entries học thuật mới (Section N) và 7 văn bản pháp lý Việt Nam (Section O).</w:t>
      </w:r>
    </w:p>
    <w:p>
      <w:pPr>
        <w:pStyle w:val="BlockText"/>
      </w:pPr>
      <w:r>
        <w:rPr>
          <w:bCs/>
          <w:b/>
        </w:rPr>
        <w:t xml:space="preserve">Phiên bản 2.1 (06/05/2026 — QW7)</w:t>
      </w:r>
      <w:r>
        <w:t xml:space="preserve">: Bổ sung 5 entries 2026 (IMF/ADB/WBES) và Kiribati/Tonga country profiles. Sửa</w:t>
      </w:r>
      <w:r>
        <w:t xml:space="preserve"> </w:t>
      </w:r>
      <w:r>
        <w:t xml:space="preserve">“</w:t>
      </w:r>
      <w:r>
        <w:t xml:space="preserve">World Bank (n.d.)</w:t>
      </w:r>
      <w:r>
        <w:t xml:space="preserve">”</w:t>
      </w:r>
      <w:r>
        <w:t xml:space="preserve"> </w:t>
      </w:r>
      <w:r>
        <w:t xml:space="preserve">→</w:t>
      </w:r>
      <w:r>
        <w:t xml:space="preserve"> </w:t>
      </w:r>
      <w:r>
        <w:t xml:space="preserve">“</w:t>
      </w:r>
      <w:r>
        <w:t xml:space="preserve">World Bank Enterprise Surveys (2025)</w:t>
      </w:r>
      <w:r>
        <w:t xml:space="preserve">”</w:t>
      </w:r>
      <w:r>
        <w:t xml:space="preserve"> </w:t>
      </w:r>
      <w:r>
        <w:t xml:space="preserve">theo APA 7th §8.31.</w:t>
      </w:r>
    </w:p>
    <w:p>
      <w:pPr>
        <w:pStyle w:val="BlockText"/>
      </w:pPr>
      <w:r>
        <w:rPr>
          <w:bCs/>
          <w:b/>
        </w:rPr>
        <w:t xml:space="preserve">Phiên bản 2.2 (06/05/2026 — Asia context synthesis)</w:t>
      </w:r>
      <w:r>
        <w:t xml:space="preserve">: Bổ sung 7 entries từ tổng hợp 4 nguồn ADB mới (ABM March 2026, Mongolia Critical Minerals May 2026, AEIR 2016 Highlights) và 3 academic AI-Asia studies (Babina et al. 2024, Wang/Huang/Hong 2024, Anil/Misra 2022). Phục vụ CĐ1 v3.2.</w:t>
      </w:r>
    </w:p>
    <w:p>
      <w:pPr>
        <w:pStyle w:val="BlockText"/>
      </w:pPr>
      <w:r>
        <w:rPr>
          <w:bCs/>
          <w:b/>
        </w:rPr>
        <w:t xml:space="preserve">Phiên bản 2.3 (07/05/2026 — Đợt 2 academic + Asia 2026 catch-up)</w:t>
      </w:r>
      <w:r>
        <w:t xml:space="preserve">: Bổ sung</w:t>
      </w:r>
      <w:r>
        <w:t xml:space="preserve"> </w:t>
      </w:r>
      <w:r>
        <w:rPr>
          <w:bCs/>
          <w:b/>
        </w:rPr>
        <w:t xml:space="preserve">9 entries</w:t>
      </w:r>
      <w:r>
        <w:t xml:space="preserve">: (i) 4 entries academic 2023-2025 từ Đợt 2 reading; (ii) 5 entries Asia 2026 catch-up.</w:t>
      </w:r>
    </w:p>
    <w:p>
      <w:pPr>
        <w:pStyle w:val="BlockText"/>
      </w:pPr>
      <w:r>
        <w:rPr>
          <w:bCs/>
          <w:b/>
        </w:rPr>
        <w:t xml:space="preserve">Phiên bản 2.4 (07/05/2026 — Citation audit APA 7th cho v3.4-v3.7)</w:t>
      </w:r>
      <w:r>
        <w:t xml:space="preserve">: Bổ sung</w:t>
      </w:r>
      <w:r>
        <w:t xml:space="preserve"> </w:t>
      </w:r>
      <w:r>
        <w:rPr>
          <w:bCs/>
          <w:b/>
        </w:rPr>
        <w:t xml:space="preserve">5 verified references</w:t>
      </w:r>
      <w:r>
        <w:t xml:space="preserve"> </w:t>
      </w:r>
      <w:r>
        <w:t xml:space="preserve">(Bello &amp; Kostova 2012 JIBS, Meyer et al. 2017 JIBS, Dunning 1988 JIBS, Williamson 2000 JEL, Aguinis Hill &amp; Bailey 2019 ORM, Malerba &amp; Orsenigo 1995 CJE). 3 audit warnings cho NCS fix.</w:t>
      </w:r>
    </w:p>
    <w:p>
      <w:pPr>
        <w:pStyle w:val="BlockText"/>
      </w:pPr>
      <w:r>
        <w:rPr>
          <w:bCs/>
          <w:b/>
        </w:rPr>
        <w:t xml:space="preserve">Phiên bản 2.6 (10/05/2026 — World Bank Data360 Atlas 2026 + G20 AI FinSupervision)</w:t>
      </w:r>
      <w:r>
        <w:t xml:space="preserve">: Bổ sung</w:t>
      </w:r>
      <w:r>
        <w:t xml:space="preserve"> </w:t>
      </w:r>
      <w:r>
        <w:rPr>
          <w:bCs/>
          <w:b/>
        </w:rPr>
        <w:t xml:space="preserve">Section P mới</w:t>
      </w:r>
      <w:r>
        <w:t xml:space="preserve"> </w:t>
      </w:r>
      <w:r>
        <w:t xml:space="preserve">(5 entries): (i) Pirlea &amp; Corso (2026) internet access digital divide; (ii) Mahler, Wang &amp; Weber (2026) AI inequality; (iii) Pirlea et al. (2026) Atlas of Global Development 2026; (iv) Agnolucci, Kenworthy &amp; Kose (2026) Middle East war → commodity markets; (v) Boeddu, Feyen et al. (2025) AI for Financial Sector Supervision (G20 report).</w:t>
      </w:r>
    </w:p>
    <w:p>
      <w:pPr>
        <w:pStyle w:val="BlockText"/>
      </w:pPr>
      <w:r>
        <w:rPr>
          <w:bCs/>
          <w:b/>
        </w:rPr>
        <w:t xml:space="preserve">Phiên bản 2.7 (10/05/2026 — Singapore innovation ecosystem 2025/2026)</w:t>
      </w:r>
      <w:r>
        <w:t xml:space="preserve">: Bổ sung</w:t>
      </w:r>
      <w:r>
        <w:t xml:space="preserve"> </w:t>
      </w:r>
      <w:r>
        <w:rPr>
          <w:bCs/>
          <w:b/>
        </w:rPr>
        <w:t xml:space="preserve">Section Q mới</w:t>
      </w:r>
      <w:r>
        <w:t xml:space="preserve"> </w:t>
      </w:r>
      <w:r>
        <w:t xml:space="preserve">(5 entries) phục vụ cập nhật §1.1 và §5.1 của P4 Singapore: (i) Enterprise Singapore (2025) SWITCH 2025; (ii) GovTech Singapore (2024) Digital Government Rankings; (iii) IMDA (2025) ATxSG 2025; (iv) StartupBlink (2025) Global Startup Ecosystem Index; (v) StartupBlink (2026) Innovators Business Environment Index.</w:t>
      </w:r>
    </w:p>
    <w:p>
      <w:pPr>
        <w:pStyle w:val="BlockText"/>
      </w:pPr>
      <w:r>
        <w:rPr>
          <w:bCs/>
          <w:b/>
        </w:rPr>
        <w:t xml:space="preserve">Phiên bản 2.8 (16/05/2026 — Data360 Global Progress Atlas + P8 in-text citations)</w:t>
      </w:r>
      <w:r>
        <w:t xml:space="preserve">: Bổ sung (i) Pirlea et al. (2026)</w:t>
      </w:r>
      <w:r>
        <w:t xml:space="preserve"> </w:t>
      </w:r>
      <w:r>
        <w:t xml:space="preserve">“</w:t>
      </w:r>
      <w:r>
        <w:t xml:space="preserve">Global Progress</w:t>
      </w:r>
      <w:r>
        <w:t xml:space="preserve">”</w:t>
      </w:r>
      <w:r>
        <w:t xml:space="preserve"> </w:t>
      </w:r>
      <w:r>
        <w:t xml:space="preserve">chapter-level entry với URL</w:t>
      </w:r>
      <w:r>
        <w:t xml:space="preserve"> </w:t>
      </w:r>
      <w:r>
        <w:rPr>
          <w:rStyle w:val="VerbatimChar"/>
        </w:rPr>
        <w:t xml:space="preserve">/global-progress</w:t>
      </w:r>
      <w:r>
        <w:t xml:space="preserve"> </w:t>
      </w:r>
      <w:r>
        <w:t xml:space="preserve">(Section P); (ii) in-text citations trong P8 §1 (SIDS development lag) và §3.2 (DAI null context — Mahler et al. 2026). Khatua et al. (2024) APA7 format corrected to advance online publication.</w:t>
      </w:r>
    </w:p>
    <w:p>
      <w:pPr>
        <w:pStyle w:val="BlockText"/>
      </w:pPr>
      <w:r>
        <w:rPr>
          <w:bCs/>
          <w:b/>
        </w:rPr>
        <w:t xml:space="preserve">Phiên bản 2.9 (16/05/2026 — WB Working Papers từ upload 11 PDFs)</w:t>
      </w:r>
      <w:r>
        <w:t xml:space="preserve">: Bổ sung</w:t>
      </w:r>
      <w:r>
        <w:t xml:space="preserve"> </w:t>
      </w:r>
      <w:r>
        <w:rPr>
          <w:bCs/>
          <w:b/>
        </w:rPr>
        <w:t xml:space="preserve">Section T mới</w:t>
      </w:r>
      <w:r>
        <w:t xml:space="preserve"> </w:t>
      </w:r>
      <w:r>
        <w:t xml:space="preserve">(5 entries) từ đánh giá 11 PDFs upload ngày 16/05/2026: (i) Agarwal, Barattieri &amp; Mattoo (2026) WPS11352 — Vietnam firm LP tăng theo export demand shock; (ii) Barattieri, Mattoo &amp; Signoret (2026) WPS11354 — Vietnam trade liberalization → +2.9%/yr productivity; (iii) Geginat &amp; Ramalho (2015) WPS7460 — electricity quality &amp; firm performance 183 countries (P8/CD1); (iv) Kim, Kumar, Ramalho &amp; Russell (2026) WPS11279 — institutional capacity framework for ICRV (CD2/thesis); (v) Mahler, Serajuddin, Wadhwa &amp; Yonzan (2026) WPS11350 — world slowest development pace 75 yrs, SIDS ≥100 yrs from standards (P8).</w:t>
      </w:r>
      <w:r>
        <w:t xml:space="preserve"> </w:t>
      </w:r>
      <w:r>
        <w:rPr>
          <w:bCs/>
          <w:b/>
        </w:rPr>
        <w:t xml:space="preserve">Disambiguation</w:t>
      </w:r>
      <w:r>
        <w:t xml:space="preserve">:</w:t>
      </w:r>
      <w:r>
        <w:t xml:space="preserve"> </w:t>
      </w:r>
      <w:r>
        <w:t xml:space="preserve">“</w:t>
      </w:r>
      <w:r>
        <w:t xml:space="preserve">Mahler, Serajuddin, Wadhwa &amp; Yonzan (2026)</w:t>
      </w:r>
      <w:r>
        <w:t xml:space="preserve">”</w:t>
      </w:r>
      <w:r>
        <w:t xml:space="preserve"> </w:t>
      </w:r>
      <w:r>
        <w:t xml:space="preserve">= WPS11350 ≠</w:t>
      </w:r>
      <w:r>
        <w:t xml:space="preserve"> </w:t>
      </w:r>
      <w:r>
        <w:t xml:space="preserve">“</w:t>
      </w:r>
      <w:r>
        <w:t xml:space="preserve">Mahler, Wang &amp; Weber (2026)</w:t>
      </w:r>
      <w:r>
        <w:t xml:space="preserve">”</w:t>
      </w:r>
      <w:r>
        <w:t xml:space="preserve"> </w:t>
      </w:r>
      <w:r>
        <w:t xml:space="preserve">= Atlas chapter (Section P). In-text citations added: P3 §5 (Agarwal + Barattieri), P8 §1 (Mahler et al. 2026b), CD2 §3.3 Tầng 3 (Kim et al. 2026).</w:t>
      </w:r>
    </w:p>
    <w:p>
      <w:pPr>
        <w:pStyle w:val="BlockText"/>
      </w:pPr>
      <w:r>
        <w:rPr>
          <w:bCs/>
          <w:b/>
        </w:rPr>
        <w:t xml:space="preserve">Phiên bản 2.5 (07/05/2026 — Vietnamese WBES sources + Vietnam Outlook 2026 + IFC PSD Blueprint)</w:t>
      </w:r>
      <w:r>
        <w:t xml:space="preserve">: Bổ sung</w:t>
      </w:r>
      <w:r>
        <w:t xml:space="preserve"> </w:t>
      </w:r>
      <w:r>
        <w:rPr>
          <w:bCs/>
          <w:b/>
        </w:rPr>
        <w:t xml:space="preserve">4 references mới</w:t>
      </w:r>
      <w:r>
        <w:t xml:space="preserve"> </w:t>
      </w:r>
      <w:r>
        <w:t xml:space="preserve">từ batch upload 5 PDFs (07/05/2026): (i) Section K —</w:t>
      </w:r>
      <w:r>
        <w:t xml:space="preserve"> </w:t>
      </w:r>
      <w:r>
        <w:rPr>
          <w:bCs/>
          <w:b/>
        </w:rPr>
        <w:t xml:space="preserve">ADB (2026, April) Vietnam Economic Outlook 2026</w:t>
      </w:r>
      <w:r>
        <w:t xml:space="preserve"> </w:t>
      </w:r>
      <w:r>
        <w:t xml:space="preserve">(Việt Nam GDP 7,2% 2026 / 7,0% 2027, FDI commitment $2,4B / 18 dự án); (ii) Section K —</w:t>
      </w:r>
      <w:r>
        <w:t xml:space="preserve"> </w:t>
      </w:r>
      <w:r>
        <w:rPr>
          <w:bCs/>
          <w:b/>
        </w:rPr>
        <w:t xml:space="preserve">IFC (n.d.) Private Sector Development Blueprint</w:t>
      </w:r>
      <w:r>
        <w:t xml:space="preserve"> </w:t>
      </w:r>
      <w:r>
        <w:t xml:space="preserve">(3 trụ cột framework + 6 essential public transactions); (iii) Section K —</w:t>
      </w:r>
      <w:r>
        <w:t xml:space="preserve"> </w:t>
      </w:r>
      <w:r>
        <w:rPr>
          <w:bCs/>
          <w:b/>
        </w:rPr>
        <w:t xml:space="preserve">World Bank (2025) Hệ thống phân loại quốc gia FY26 (Vietnamese)</w:t>
      </w:r>
      <w:r>
        <w:t xml:space="preserve"> </w:t>
      </w:r>
      <w:r>
        <w:t xml:space="preserve">(4 income groups + 7 regions + 3 borrowing); (iv) Section K —</w:t>
      </w:r>
      <w:r>
        <w:t xml:space="preserve"> </w:t>
      </w:r>
      <w:r>
        <w:rPr>
          <w:bCs/>
          <w:b/>
        </w:rPr>
        <w:t xml:space="preserve">World Bank (n.d.) Tài liệu tóm tắt chỉ số WBES (Vietnamese)</w:t>
      </w:r>
      <w:r>
        <w:t xml:space="preserve"> </w:t>
      </w:r>
      <w:r>
        <w:t xml:space="preserve">— base cho thuật ngữ Việt chuẩn.</w:t>
      </w:r>
      <w:r>
        <w:t xml:space="preserve"> </w:t>
      </w:r>
      <w:r>
        <w:rPr>
          <w:bCs/>
          <w:b/>
        </w:rPr>
        <w:t xml:space="preserve">✓ RESOLVED Audit Warning 1 v2.4</w:t>
      </w:r>
      <w:r>
        <w:t xml:space="preserve">: Lin &amp; Beamish (2005) → Lu &amp; Beamish (2004) replacement đã hoàn tất trong file 14 v3.8 (commit e2f8415).</w:t>
      </w:r>
    </w:p>
    <w:p>
      <w:pPr>
        <w:pStyle w:val="BlockText"/>
      </w:pPr>
      <w:r>
        <w:rPr>
          <w:bCs/>
          <w:b/>
        </w:rPr>
        <w:t xml:space="preserve">Note</w:t>
      </w:r>
      <w:r>
        <w:t xml:space="preserve">: Sections A, B, C, E, H, I, J, M, N, O giữ nguyên từ v2.1-v2.4 trừ phần entries mới được đánh dấu</w:t>
      </w:r>
      <w:r>
        <w:t xml:space="preserve"> </w:t>
      </w:r>
      <w:r>
        <w:rPr>
          <w:bCs/>
          <w:b/>
        </w:rPr>
        <w:t xml:space="preserve">(Mới v2.x)</w:t>
      </w:r>
      <w:r>
        <w:t xml:space="preserve">.</w:t>
      </w:r>
    </w:p>
    <w:bookmarkStart w:id="20" w:name="X1ce219aaccc3c8d52177b991e903b9a90c924a4"/>
    <w:p>
      <w:pPr>
        <w:pStyle w:val="Heading2"/>
      </w:pPr>
      <w:r>
        <w:t xml:space="preserve">A. Lý thuyết nền kinh doanh quốc tế (cập nhật v2.4 — bổ sung Bello &amp; Kostova 2012, Meyer et al. 2017, Dunning 1988, Williamson 2000)</w:t>
      </w:r>
    </w:p>
    <w:p>
      <w:pPr>
        <w:pStyle w:val="FirstParagraph"/>
      </w:pPr>
      <w:r>
        <w:t xml:space="preserve">(Giữ nguyên từ v2.1 — Barney 1991, Bell &amp; Pavitt 1995, Bharadwaj et al. 2013, Cohen &amp; Levinthal 1990, Hambrick 2007 và Hambrick &amp; Mason 1984, Johanson &amp; Vahlne 1977 và 2009, Khanna &amp; Palepu 2010, Lall 1992, North 1990, Peng 2001 và 2003, Scott 1995, Teece et al. 1997, Wernerfelt 1984, Zaheer 1995. Tổng 17 entries.)</w:t>
      </w:r>
    </w:p>
    <w:p>
      <w:pPr>
        <w:pStyle w:val="BodyText"/>
      </w:pPr>
      <w:r>
        <w:rPr>
          <w:bCs/>
          <w:b/>
        </w:rPr>
        <w:t xml:space="preserve">Bello, D. C., &amp; Kostova, T. (2012). From the editors: Conducting high impact international business research: The role of theory.</w:t>
      </w:r>
      <w:r>
        <w:rPr>
          <w:bCs/>
          <w:b/>
        </w:rPr>
        <w:t xml:space="preserve"> </w:t>
      </w:r>
      <w:r>
        <w:rPr>
          <w:iCs/>
          <w:i/>
          <w:bCs/>
          <w:b/>
        </w:rPr>
        <w:t xml:space="preserve">Journal of International Business Studies, 43</w:t>
      </w:r>
      <w:r>
        <w:rPr>
          <w:bCs/>
          <w:b/>
        </w:rPr>
        <w:t xml:space="preserve">(6), 537–543.</w:t>
      </w:r>
      <w:r>
        <w:t xml:space="preserve"> </w:t>
      </w:r>
      <w:r>
        <w:t xml:space="preserve">https://doi.org/10.1057/jibs.2012.14</w:t>
      </w:r>
      <w:r>
        <w:t xml:space="preserve"> </w:t>
      </w:r>
      <w:r>
        <w:rPr>
          <w:iCs/>
          <w:i/>
        </w:rPr>
        <w:t xml:space="preserve">(Mới v2.4)</w:t>
      </w:r>
    </w:p>
    <w:p>
      <w:pPr>
        <w:pStyle w:val="BodyText"/>
      </w:pPr>
      <w:r>
        <w:rPr>
          <w:bCs/>
          <w:b/>
        </w:rPr>
        <w:t xml:space="preserve">Dunning, J. H. (1988). The eclectic paradigm of international production: A restatement and some possible extensions.</w:t>
      </w:r>
      <w:r>
        <w:rPr>
          <w:bCs/>
          <w:b/>
        </w:rPr>
        <w:t xml:space="preserve"> </w:t>
      </w:r>
      <w:r>
        <w:rPr>
          <w:iCs/>
          <w:i/>
          <w:bCs/>
          <w:b/>
        </w:rPr>
        <w:t xml:space="preserve">Journal of International Business Studies, 19</w:t>
      </w:r>
      <w:r>
        <w:rPr>
          <w:bCs/>
          <w:b/>
        </w:rPr>
        <w:t xml:space="preserve">(1), 1–31.</w:t>
      </w:r>
      <w:r>
        <w:t xml:space="preserve"> </w:t>
      </w:r>
      <w:r>
        <w:t xml:space="preserve">https://doi.org/10.1057/palgrave.jibs.8490372</w:t>
      </w:r>
      <w:r>
        <w:t xml:space="preserve"> </w:t>
      </w:r>
      <w:r>
        <w:rPr>
          <w:iCs/>
          <w:i/>
        </w:rPr>
        <w:t xml:space="preserve">(Mới v2.4)</w:t>
      </w:r>
    </w:p>
    <w:p>
      <w:pPr>
        <w:pStyle w:val="BodyText"/>
      </w:pPr>
      <w:r>
        <w:rPr>
          <w:bCs/>
          <w:b/>
        </w:rPr>
        <w:t xml:space="preserve">Meyer, K. E., van Witteloostuijn, A., &amp; Beugelsdijk, S. (2017). What’s in a p? Reassessing best practices for conducting and reporting hypothesis-testing research.</w:t>
      </w:r>
      <w:r>
        <w:rPr>
          <w:bCs/>
          <w:b/>
        </w:rPr>
        <w:t xml:space="preserve"> </w:t>
      </w:r>
      <w:r>
        <w:rPr>
          <w:iCs/>
          <w:i/>
          <w:bCs/>
          <w:b/>
        </w:rPr>
        <w:t xml:space="preserve">Journal of International Business Studies, 48</w:t>
      </w:r>
      <w:r>
        <w:rPr>
          <w:bCs/>
          <w:b/>
        </w:rPr>
        <w:t xml:space="preserve">(5), 535–551.</w:t>
      </w:r>
      <w:r>
        <w:t xml:space="preserve"> </w:t>
      </w:r>
      <w:r>
        <w:t xml:space="preserve">https://doi.org/10.1057/s41267-017-0078-8</w:t>
      </w:r>
      <w:r>
        <w:t xml:space="preserve"> </w:t>
      </w:r>
      <w:r>
        <w:rPr>
          <w:iCs/>
          <w:i/>
        </w:rPr>
        <w:t xml:space="preserve">(Mới v2.4)</w:t>
      </w:r>
    </w:p>
    <w:p>
      <w:pPr>
        <w:pStyle w:val="BodyText"/>
      </w:pPr>
      <w:r>
        <w:rPr>
          <w:bCs/>
          <w:b/>
        </w:rPr>
        <w:t xml:space="preserve">Williamson, O. E. (2000). The new institutional economics: Taking stock, looking ahead.</w:t>
      </w:r>
      <w:r>
        <w:rPr>
          <w:bCs/>
          <w:b/>
        </w:rPr>
        <w:t xml:space="preserve"> </w:t>
      </w:r>
      <w:r>
        <w:rPr>
          <w:iCs/>
          <w:i/>
          <w:bCs/>
          <w:b/>
        </w:rPr>
        <w:t xml:space="preserve">Journal of Economic Literature, 38</w:t>
      </w:r>
      <w:r>
        <w:rPr>
          <w:bCs/>
          <w:b/>
        </w:rPr>
        <w:t xml:space="preserve">(3), 595–613.</w:t>
      </w:r>
      <w:r>
        <w:t xml:space="preserve"> </w:t>
      </w:r>
      <w:r>
        <w:t xml:space="preserve">https://doi.org/10.1257/jel.38.3.595</w:t>
      </w:r>
      <w:r>
        <w:t xml:space="preserve"> </w:t>
      </w:r>
      <w:r>
        <w:rPr>
          <w:iCs/>
          <w:i/>
        </w:rPr>
        <w:t xml:space="preserve">(Mới v2.4)</w:t>
      </w:r>
    </w:p>
    <w:bookmarkEnd w:id="20"/>
    <w:bookmarkStart w:id="21" w:name="X094bc8b13169a81669f6b7abcf887888d4186ca"/>
    <w:p>
      <w:pPr>
        <w:pStyle w:val="Heading2"/>
      </w:pPr>
      <w:r>
        <w:t xml:space="preserve">B. Internationalization–Firm Performance: Foundational empirical</w:t>
      </w:r>
    </w:p>
    <w:p>
      <w:pPr>
        <w:pStyle w:val="FirstParagraph"/>
      </w:pPr>
      <w:r>
        <w:t xml:space="preserve">(Giữ nguyên từ v2.1 — Contractor et al. 2003, Gomes &amp; Ramaswamy 1999, Grant 1987, Hitt et al. 1997 và 2006, Kim et al. 1989, Lu &amp; Beamish 2004, Sullivan 1994. Tổng 8 entries.)</w:t>
      </w:r>
    </w:p>
    <w:p>
      <w:pPr>
        <w:pStyle w:val="BlockText"/>
      </w:pPr>
      <w:r>
        <w:rPr>
          <w:bCs/>
          <w:b/>
        </w:rPr>
        <w:t xml:space="preserve">✓ RESOLVED v2.5 — Audit Warning 1</w:t>
      </w:r>
      <w:r>
        <w:t xml:space="preserve">: Lin &amp; Beamish (2005) → Lu &amp; Beamish (2004) replacement đã hoàn tất trong file 14 v3.8 (commit e2f8415, 07/05/2026): 4 occurrences trong §1.1, §2.6, Bảng 2.6.1 đã updated. Lu &amp; Beamish (2004) AMJ S-curve DOI 10.2307/20159604 đã có sẵn Section B từ v2.1.</w:t>
      </w:r>
    </w:p>
    <w:bookmarkEnd w:id="21"/>
    <w:bookmarkStart w:id="22" w:name="c.-meta-analyses-về-ip-relationship"/>
    <w:p>
      <w:pPr>
        <w:pStyle w:val="Heading2"/>
      </w:pPr>
      <w:r>
        <w:t xml:space="preserve">C. Meta-analyses về I–P relationship</w:t>
      </w:r>
    </w:p>
    <w:p>
      <w:pPr>
        <w:pStyle w:val="FirstParagraph"/>
      </w:pPr>
      <w:r>
        <w:t xml:space="preserve">(Giữ nguyên từ v2.1 — Arte &amp; Larimo 2022, Bausch &amp; Krist 2007, Kirca et al. 2012, Marano et al. 2016, Schwens et al. 2018, Wu, Fan &amp; Chen 2022. Tổng 6 entries.)</w:t>
      </w:r>
    </w:p>
    <w:bookmarkEnd w:id="22"/>
    <w:bookmarkStart w:id="23" w:name="Xb02f9563701139be84b359c2d25884190ee9110"/>
    <w:p>
      <w:pPr>
        <w:pStyle w:val="Heading2"/>
      </w:pPr>
      <w:r>
        <w:t xml:space="preserve">D. Recent IB literature 2019–2025 (cập nhật v2.3 — bổ sung Xu 2024 GSJ + Kafouros 2023 GSJ)</w:t>
      </w:r>
    </w:p>
    <w:p>
      <w:pPr>
        <w:pStyle w:val="FirstParagraph"/>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r>
        <w:t xml:space="preserve"> </w:t>
      </w: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rPr>
          <w:bCs/>
          <w:b/>
        </w:rPr>
        <w:t xml:space="preserve">Kafouros, M., Aliyev, M., Piperopoulos, P., Au, A. K. M., Ho, J. W. Y., &amp; Wong, S. Y. N. (2023). The role of institutional quality and industry dynamism in explaining firm performance in emerging economies.</w:t>
      </w:r>
      <w:r>
        <w:rPr>
          <w:bCs/>
          <w:b/>
        </w:rPr>
        <w:t xml:space="preserve"> </w:t>
      </w:r>
      <w:r>
        <w:rPr>
          <w:iCs/>
          <w:i/>
          <w:bCs/>
          <w:b/>
        </w:rPr>
        <w:t xml:space="preserve">Global Strategy Journal, 14</w:t>
      </w:r>
      <w:r>
        <w:rPr>
          <w:bCs/>
          <w:b/>
        </w:rPr>
        <w:t xml:space="preserve">(1), 56–83.</w:t>
      </w:r>
      <w:r>
        <w:t xml:space="preserve"> </w:t>
      </w:r>
      <w:r>
        <w:t xml:space="preserve">https://doi.org/10.1002/gsj.1479</w:t>
      </w:r>
      <w:r>
        <w:t xml:space="preserve"> </w:t>
      </w:r>
      <w:r>
        <w:rPr>
          <w:iCs/>
          <w:i/>
        </w:rPr>
        <w:t xml:space="preserve">(Mới v2.3 — Kafouros et al. CEE 12.888 firms; H1 tech dynamism positive interaction; H2 market dynamism negative; 3 mechanisms.)</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rPr>
          <w:bCs/>
          <w:b/>
        </w:rPr>
        <w:t xml:space="preserve">Xu, J. (2024). Rethinking institutional arbitrage: De jure exposure and de facto enforcement.</w:t>
      </w:r>
      <w:r>
        <w:rPr>
          <w:bCs/>
          <w:b/>
        </w:rPr>
        <w:t xml:space="preserve"> </w:t>
      </w:r>
      <w:r>
        <w:rPr>
          <w:iCs/>
          <w:i/>
          <w:bCs/>
          <w:b/>
        </w:rPr>
        <w:t xml:space="preserve">Global Strategy Journal, 14</w:t>
      </w:r>
      <w:r>
        <w:rPr>
          <w:bCs/>
          <w:b/>
        </w:rPr>
        <w:t xml:space="preserve">(4), 754–799.</w:t>
      </w:r>
      <w:r>
        <w:t xml:space="preserve"> </w:t>
      </w:r>
      <w:r>
        <w:t xml:space="preserve">https://doi.org/10.1002/gsj.1510</w:t>
      </w:r>
      <w:r>
        <w:t xml:space="preserve"> </w:t>
      </w:r>
      <w:r>
        <w:rPr>
          <w:iCs/>
          <w:i/>
        </w:rPr>
        <w:t xml:space="preserve">(Mới v2.3 — 3.331 US-listed firms 82 nước; phân tách de jure exposure vs de facto enforcement.)</w:t>
      </w:r>
    </w:p>
    <w:bookmarkEnd w:id="23"/>
    <w:bookmarkStart w:id="24" w:name="X5943e13ebd761ed89df86a9d940a6ae7a0dd948"/>
    <w:p>
      <w:pPr>
        <w:pStyle w:val="Heading2"/>
      </w:pPr>
      <w:r>
        <w:t xml:space="preserve">E. Top management và leadership (cập nhật v2.3)</w:t>
      </w:r>
    </w:p>
    <w:p>
      <w:pPr>
        <w:pStyle w:val="FirstParagraph"/>
      </w:pPr>
      <w:r>
        <w:t xml:space="preserve">(Giữ nguyên từ v2.1 — Hsu et al. 2013, Post &amp; Byron 2015, Sambharya 1996.)</w:t>
      </w:r>
    </w:p>
    <w:p>
      <w:pPr>
        <w:pStyle w:val="BodyText"/>
      </w:pPr>
      <w:r>
        <w:rPr>
          <w:bCs/>
          <w:b/>
        </w:rPr>
        <w:t xml:space="preserve">Al-Najjar, B., Salama, A., &amp; Abed, A. (2025). Gender and cultural diversity on boards: Their impact on internationalisation.</w:t>
      </w:r>
      <w:r>
        <w:rPr>
          <w:bCs/>
          <w:b/>
        </w:rPr>
        <w:t xml:space="preserve"> </w:t>
      </w:r>
      <w:r>
        <w:rPr>
          <w:iCs/>
          <w:i/>
          <w:bCs/>
          <w:b/>
        </w:rPr>
        <w:t xml:space="preserve">The International Journal of Human Resource Management, 36</w:t>
      </w:r>
      <w:r>
        <w:rPr>
          <w:bCs/>
          <w:b/>
        </w:rPr>
        <w:t xml:space="preserve">(13), 2305–2341.</w:t>
      </w:r>
      <w:r>
        <w:t xml:space="preserve"> </w:t>
      </w:r>
      <w:r>
        <w:t xml:space="preserve">https://doi.org/10.1080/09585192.2025.2550765</w:t>
      </w:r>
      <w:r>
        <w:t xml:space="preserve"> </w:t>
      </w:r>
      <w:r>
        <w:rPr>
          <w:iCs/>
          <w:i/>
        </w:rPr>
        <w:t xml:space="preserve">(Mới v2.3)</w:t>
      </w:r>
    </w:p>
    <w:p>
      <w:pPr>
        <w:pStyle w:val="BodyText"/>
      </w:pPr>
      <w:r>
        <w:rPr>
          <w:bCs/>
          <w:b/>
        </w:rPr>
        <w:t xml:space="preserve">Gallegos Mardones, J., &amp; Ibáñez, M. J. (2025). Women’s participation in top management business positions and the internationalization process: Evidence for Chilean companies.</w:t>
      </w:r>
      <w:r>
        <w:rPr>
          <w:bCs/>
          <w:b/>
        </w:rPr>
        <w:t xml:space="preserve"> </w:t>
      </w:r>
      <w:r>
        <w:rPr>
          <w:iCs/>
          <w:i/>
          <w:bCs/>
          <w:b/>
        </w:rPr>
        <w:t xml:space="preserve">SAGE Open, 15</w:t>
      </w:r>
      <w:r>
        <w:rPr>
          <w:bCs/>
          <w:b/>
        </w:rPr>
        <w:t xml:space="preserve">(2), 1–17.</w:t>
      </w:r>
      <w:r>
        <w:t xml:space="preserve"> </w:t>
      </w:r>
      <w:r>
        <w:t xml:space="preserve">https://doi.org/10.1177/21582440251335079</w:t>
      </w:r>
      <w:r>
        <w:t xml:space="preserve"> </w:t>
      </w:r>
      <w:r>
        <w:rPr>
          <w:iCs/>
          <w:i/>
        </w:rPr>
        <w:t xml:space="preserve">(Mới v2.3)</w:t>
      </w:r>
    </w:p>
    <w:bookmarkEnd w:id="24"/>
    <w:bookmarkStart w:id="25" w:name="f.-china-specific-research-cập-nhật-v2.2"/>
    <w:p>
      <w:pPr>
        <w:pStyle w:val="Heading2"/>
      </w:pPr>
      <w:r>
        <w:t xml:space="preserve">F. China-specific research (cập nhật v2.2)</w:t>
      </w:r>
    </w:p>
    <w:p>
      <w:pPr>
        <w:pStyle w:val="FirstParagraph"/>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bookmarkEnd w:id="25"/>
    <w:bookmarkStart w:id="26" w:name="g.-asianemne-empirical-cập-nhật-v2.3"/>
    <w:p>
      <w:pPr>
        <w:pStyle w:val="Heading2"/>
      </w:pPr>
      <w:r>
        <w:t xml:space="preserve">G. Asian/EMNE empirical (cập nhật v2.3)</w:t>
      </w:r>
    </w:p>
    <w:p>
      <w:pPr>
        <w:pStyle w:val="FirstParagraph"/>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rPr>
          <w:bCs/>
          <w:b/>
        </w:rPr>
        <w:t xml:space="preserve">Cazzaniga, M., Jaumotte, F., Li, L., Melina, G., Panton, A. J., Pizzinelli, C., Rockall, E., &amp; Tavares, M. M. (2024). Gen-AI: Artificial intelligence and the future of work.</w:t>
      </w:r>
      <w:r>
        <w:rPr>
          <w:bCs/>
          <w:b/>
        </w:rPr>
        <w:t xml:space="preserve"> </w:t>
      </w:r>
      <w:r>
        <w:rPr>
          <w:iCs/>
          <w:i/>
          <w:bCs/>
          <w:b/>
        </w:rPr>
        <w:t xml:space="preserve">IMF Staff Discussion Note</w:t>
      </w:r>
      <w:r>
        <w:rPr>
          <w:bCs/>
          <w:b/>
        </w:rPr>
        <w:t xml:space="preserve">, SDN/2024/001.</w:t>
      </w:r>
      <w:r>
        <w:t xml:space="preserve"> </w:t>
      </w:r>
      <w:r>
        <w:t xml:space="preserve">International Monetary Fund.</w:t>
      </w:r>
      <w:r>
        <w:t xml:space="preserve"> </w:t>
      </w:r>
      <w:r>
        <w:rPr>
          <w:iCs/>
          <w:i/>
        </w:rPr>
        <w:t xml:space="preserve">(Mới v2.3 — AIPI framework)</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rPr>
          <w:bCs/>
          <w:b/>
        </w:rPr>
        <w:t xml:space="preserve">Sikdar, S., &amp; Mukhopadhyay, A. (2026). Productivity gains in Indian manufacturing: Insights from formal and informal sectors.</w:t>
      </w:r>
      <w:r>
        <w:rPr>
          <w:bCs/>
          <w:b/>
        </w:rPr>
        <w:t xml:space="preserve"> </w:t>
      </w:r>
      <w:r>
        <w:rPr>
          <w:iCs/>
          <w:i/>
          <w:bCs/>
          <w:b/>
        </w:rPr>
        <w:t xml:space="preserve">Asian Development Review, 43</w:t>
      </w:r>
      <w:r>
        <w:rPr>
          <w:bCs/>
          <w:b/>
        </w:rPr>
        <w:t xml:space="preserve">(1), Article 12.</w:t>
      </w:r>
      <w:r>
        <w:t xml:space="preserve"> </w:t>
      </w:r>
      <w:r>
        <w:t xml:space="preserve">Asian Development Bank.</w:t>
      </w:r>
      <w:r>
        <w:t xml:space="preserve"> </w:t>
      </w:r>
      <w:r>
        <w:rPr>
          <w:iCs/>
          <w:i/>
        </w:rPr>
        <w:t xml:space="preserve">(Mới v2.3)</w:t>
      </w:r>
    </w:p>
    <w:bookmarkEnd w:id="26"/>
    <w:bookmarkStart w:id="27" w:name="h.-firm-performance-đa-chiều"/>
    <w:p>
      <w:pPr>
        <w:pStyle w:val="Heading2"/>
      </w:pPr>
      <w:r>
        <w:t xml:space="preserve">H. Firm performance đa chiều</w:t>
      </w:r>
    </w:p>
    <w:p>
      <w:pPr>
        <w:pStyle w:val="FirstParagraph"/>
      </w:pPr>
      <w:r>
        <w:t xml:space="preserve">(Giữ nguyên từ v2.1.)</w:t>
      </w:r>
    </w:p>
    <w:bookmarkEnd w:id="27"/>
    <w:bookmarkStart w:id="28" w:name="i.-productivity-literature"/>
    <w:p>
      <w:pPr>
        <w:pStyle w:val="Heading2"/>
      </w:pPr>
      <w:r>
        <w:t xml:space="preserve">I. Productivity literature</w:t>
      </w:r>
    </w:p>
    <w:p>
      <w:pPr>
        <w:pStyle w:val="FirstParagraph"/>
      </w:pPr>
      <w:r>
        <w:t xml:space="preserve">(Giữ nguyên từ v2.1 — Bloom, Sadun &amp; Van Reenen 2012; Cusolito &amp; Maloney 2018; Hsieh &amp; Klenow 2009 và 2014.)</w:t>
      </w:r>
    </w:p>
    <w:bookmarkEnd w:id="28"/>
    <w:bookmarkStart w:id="30" w:name="X7621949d30e744d6874048fecb1435cd5e216fd"/>
    <w:p>
      <w:pPr>
        <w:pStyle w:val="Heading2"/>
      </w:pPr>
      <w:r>
        <w:t xml:space="preserve">J. Phương pháp meta-analysis và kinh tế lượng (cập nhật v2.4)</w:t>
      </w:r>
    </w:p>
    <w:p>
      <w:pPr>
        <w:pStyle w:val="FirstParagraph"/>
      </w:pPr>
      <w:r>
        <w:t xml:space="preserve">(Giữ nguyên từ v2.1 — 21 entries gồm Aguinis et al. 2011, Aiken &amp; West 1991, Aterido et al. 2011, Avenyo et al. 2021, Begg &amp; Mazumdar 1994, Borenstein et al. 2009, Breusch &amp; Pagan 1979, Coltman et al. 2008, Dawson 2014, Duval &amp; Tweedie 2000, Egger et al. 1997, Haans et al. 2016, Hair et al. 2019, Higgins et al. 2003, Hunter &amp; Schmidt 2004, Kaufmann et al. 2011, Lind &amp; Mehlum 2010, Long &amp; Ervin 2000, Page et al. 2021, Pierce &amp; Aguinis 2013, White 1980.)</w:t>
      </w:r>
    </w:p>
    <w:p>
      <w:pPr>
        <w:pStyle w:val="BodyText"/>
      </w:pPr>
      <w:r>
        <w:rPr>
          <w:bCs/>
          <w:b/>
        </w:rPr>
        <w:t xml:space="preserve">Aguinis, H., Hill, N. S., &amp; Bailey, J. R. (2019). Best practices in data collection and preparation: Recommendations for reviewers, editors, and authors.</w:t>
      </w:r>
      <w:r>
        <w:rPr>
          <w:bCs/>
          <w:b/>
        </w:rPr>
        <w:t xml:space="preserve"> </w:t>
      </w:r>
      <w:r>
        <w:rPr>
          <w:iCs/>
          <w:i/>
          <w:bCs/>
          <w:b/>
        </w:rPr>
        <w:t xml:space="preserve">Organizational Research Methods, 24</w:t>
      </w:r>
      <w:r>
        <w:rPr>
          <w:bCs/>
          <w:b/>
        </w:rPr>
        <w:t xml:space="preserve">(4), 678–693.</w:t>
      </w:r>
      <w:r>
        <w:t xml:space="preserve"> </w:t>
      </w:r>
      <w:r>
        <w:t xml:space="preserve">https://doi.org/10.1177/1094428119836485</w:t>
      </w:r>
      <w:r>
        <w:t xml:space="preserve"> </w:t>
      </w:r>
      <w:r>
        <w:rPr>
          <w:iCs/>
          <w:i/>
        </w:rPr>
        <w:t xml:space="preserve">(Mới v2.4 — 12-point data section transparency framework.)</w:t>
      </w:r>
    </w:p>
    <w:bookmarkStart w:id="29" w:name="X2fb57ded0f7cbc8f956c4aa51a273056f808ba8"/>
    <w:p>
      <w:pPr>
        <w:pStyle w:val="Heading3"/>
      </w:pPr>
      <w:r>
        <w:t xml:space="preserve">Bổ sung v3.2 — Phương pháp hợp nhất dữ liệu đa quốc gia (Phụ lục A)</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Deaton, A. (1985). Panel data from a time series of cross-sections.</w:t>
      </w:r>
      <w:r>
        <w:t xml:space="preserve"> </w:t>
      </w:r>
      <w:r>
        <w:rPr>
          <w:iCs/>
          <w:i/>
        </w:rPr>
        <w:t xml:space="preserve">Journal of Econometrics, 30</w:t>
      </w:r>
      <w:r>
        <w:t xml:space="preserve">(1–2), 109–126. https://doi.org/10.1016/0304-4076(85)90134-4</w:t>
      </w:r>
      <w:r>
        <w:t xml:space="preserve"> </w:t>
      </w:r>
      <w:r>
        <w:rPr>
          <w:iCs/>
          <w:i/>
        </w:rPr>
        <w:t xml:space="preserve">(Cơ sở repeated cross-sections — Phụ lục A.1, A.6.)</w:t>
      </w:r>
    </w:p>
    <w:p>
      <w:pPr>
        <w:pStyle w:val="BodyText"/>
      </w:pPr>
      <w:r>
        <w:t xml:space="preserve">Feenstra, R. C., Inklaar, R., &amp; Timmer, M. P. (2015). The next generation of the Penn World Table.</w:t>
      </w:r>
      <w:r>
        <w:t xml:space="preserve"> </w:t>
      </w:r>
      <w:r>
        <w:rPr>
          <w:iCs/>
          <w:i/>
        </w:rPr>
        <w:t xml:space="preserve">American Economic Review, 105</w:t>
      </w:r>
      <w:r>
        <w:t xml:space="preserve">(10), 3150–3182. https://doi.org/10.1257/aer.20130954</w:t>
      </w:r>
      <w:r>
        <w:t xml:space="preserve"> </w:t>
      </w:r>
      <w:r>
        <w:rPr>
          <w:iCs/>
          <w:i/>
        </w:rPr>
        <w:t xml:space="preserve">(Điều chỉnh PPP cho so sánh mức xuyên quốc gia — Phụ lục A.5.)</w:t>
      </w:r>
    </w:p>
    <w:p>
      <w:pPr>
        <w:pStyle w:val="BodyText"/>
      </w:pPr>
      <w:r>
        <w:t xml:space="preserve">Little, R. J. A., &amp; Rubin, D. B. (2019).</w:t>
      </w:r>
      <w:r>
        <w:t xml:space="preserve"> </w:t>
      </w:r>
      <w:r>
        <w:rPr>
          <w:iCs/>
          <w:i/>
        </w:rPr>
        <w:t xml:space="preserve">Statistical analysis with missing data</w:t>
      </w:r>
      <w:r>
        <w:t xml:space="preserve"> </w:t>
      </w:r>
      <w:r>
        <w:t xml:space="preserve">(3rd ed.). John Wiley &amp; Sons. https://doi.org/10.1002/9781119482260</w:t>
      </w:r>
      <w:r>
        <w:t xml:space="preserve"> </w:t>
      </w:r>
      <w:r>
        <w:rPr>
          <w:iCs/>
          <w:i/>
        </w:rPr>
        <w:t xml:space="preserve">(Xử lý dữ liệu thiếu, listwise/MAR — Phụ lục A.9.)</w:t>
      </w:r>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p>
    <w:p>
      <w:pPr>
        <w:pStyle w:val="BodyText"/>
      </w:pPr>
      <w:r>
        <w:t xml:space="preserve">Verbeek, M. (2008). Pseudo-panels and repeated cross-sections. In L. Mátyás &amp; P. Sevestre (Eds.),</w:t>
      </w:r>
      <w:r>
        <w:t xml:space="preserve"> </w:t>
      </w:r>
      <w:r>
        <w:rPr>
          <w:iCs/>
          <w:i/>
        </w:rPr>
        <w:t xml:space="preserve">The econometrics of panel data</w:t>
      </w:r>
      <w:r>
        <w:t xml:space="preserve"> </w:t>
      </w:r>
      <w:r>
        <w:t xml:space="preserve">(3rd ed., pp. 369–383). Springer. https://doi.org/10.1007/978-3-540-75892-1_11</w:t>
      </w:r>
      <w:r>
        <w:t xml:space="preserve"> </w:t>
      </w:r>
      <w:r>
        <w:rPr>
          <w:iCs/>
          <w:i/>
        </w:rPr>
        <w:t xml:space="preserve">(Khung lát cắt ngang lặp lại — Phụ lục A.1, A.6.)</w:t>
      </w:r>
    </w:p>
    <w:bookmarkEnd w:id="29"/>
    <w:bookmarkEnd w:id="30"/>
    <w:bookmarkStart w:id="31" w:name="X671f5c1355043217bd04f1f91c41f74e5ebb142"/>
    <w:p>
      <w:pPr>
        <w:pStyle w:val="Heading2"/>
      </w:pPr>
      <w:r>
        <w:t xml:space="preserve">K. WBES references và báo cáo Việt Nam (cập nhật v2.5 — bổ sung 4 entries từ batch upload 5 PDFs 07/05/2026)</w:t>
      </w:r>
    </w:p>
    <w:p>
      <w:pPr>
        <w:pStyle w:val="FirstParagraph"/>
      </w:pPr>
      <w:r>
        <w:t xml:space="preserve">CIEM. (2023).</w:t>
      </w:r>
      <w:r>
        <w:t xml:space="preserve"> </w:t>
      </w:r>
      <w:r>
        <w:rPr>
          <w:iCs/>
          <w:i/>
        </w:rPr>
        <w:t xml:space="preserve">Báo cáo Năng lực cạnh tranh và hiệu quả doanh nghiệp Việt Nam 2023</w:t>
      </w:r>
      <w:r>
        <w:t xml:space="preserve"> </w:t>
      </w:r>
      <w:r>
        <w:t xml:space="preserve">[Central Institute for Economic Management]. Nhà xuất bản Khoa học và Kỹ thuật.</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(2026c). Frontier market economies: Promise, performance, and prospects. In</w:t>
      </w:r>
      <w:r>
        <w:t xml:space="preserve"> </w:t>
      </w:r>
      <w:r>
        <w:rPr>
          <w:iCs/>
          <w:i/>
        </w:rPr>
        <w:t xml:space="preserve">Global Economic Prospects, January 2026</w:t>
      </w:r>
      <w:r>
        <w:t xml:space="preserve"> </w:t>
      </w:r>
      <w:r>
        <w:t xml:space="preserve">(Chapter 4). World Bank Group. https://doi.org/10.1596/978-1-4648-2148-6</w:t>
      </w:r>
    </w:p>
    <w:p>
      <w:pPr>
        <w:pStyle w:val="BodyText"/>
      </w:pPr>
      <w:r>
        <w:t xml:space="preserve">World Bank. (2026d, April).</w:t>
      </w:r>
      <w:r>
        <w:t xml:space="preserve"> </w:t>
      </w:r>
      <w:r>
        <w:rPr>
          <w:iCs/>
          <w:i/>
        </w:rPr>
        <w:t xml:space="preserve">Commodity markets outlook, April 2026</w:t>
      </w:r>
      <w:r>
        <w:t xml:space="preserve">. World Bank Group.</w:t>
      </w:r>
    </w:p>
    <w:p>
      <w:pPr>
        <w:pStyle w:val="BodyText"/>
      </w:pPr>
      <w:r>
        <w:t xml:space="preserve">World Bank. (2026e).</w:t>
      </w:r>
      <w:r>
        <w:t xml:space="preserve"> </w:t>
      </w:r>
      <w:r>
        <w:rPr>
          <w:iCs/>
          <w:i/>
        </w:rPr>
        <w:t xml:space="preserve">Public institutions in the age of AI: Emerging practices</w:t>
      </w:r>
      <w:r>
        <w:t xml:space="preserve"> </w:t>
      </w:r>
      <w:r>
        <w:t xml:space="preserve">(Prosperity Insight Series). World Bank Group, GovTech and Public Sector Innovation.</w:t>
      </w:r>
    </w:p>
    <w:p>
      <w:pPr>
        <w:pStyle w:val="BodyText"/>
      </w:pPr>
      <w:r>
        <w:rPr>
          <w:bCs/>
          <w:b/>
        </w:rPr>
        <w:t xml:space="preserve">World Bank. (n.d.).</w:t>
      </w:r>
      <w:r>
        <w:rPr>
          <w:bCs/>
          <w:b/>
        </w:rPr>
        <w:t xml:space="preserve"> </w:t>
      </w:r>
      <w:r>
        <w:rPr>
          <w:iCs/>
          <w:i/>
          <w:bCs/>
          <w:b/>
        </w:rPr>
        <w:t xml:space="preserve">Tài liệu tóm tắt: Các chỉ số khảo sát doanh nghiệp Enterprise Surveys</w:t>
      </w:r>
      <w:r>
        <w:rPr>
          <w:bCs/>
          <w:b/>
        </w:rPr>
        <w:t xml:space="preserve"> </w:t>
      </w:r>
      <w:r>
        <w:rPr>
          <w:bCs/>
          <w:b/>
        </w:rPr>
        <w:t xml:space="preserve">[Summary document: Enterprise Survey indicators]. World Bank.</w:t>
      </w:r>
      <w:r>
        <w:t xml:space="preserve"> </w:t>
      </w:r>
      <w:r>
        <w:t xml:space="preserve">https://www.enterprisesurveys.org</w:t>
      </w:r>
      <w:r>
        <w:t xml:space="preserve"> </w:t>
      </w:r>
      <w:r>
        <w:rPr>
          <w:iCs/>
          <w:i/>
        </w:rPr>
        <w:t xml:space="preserve">(Mới v2.5 — Bản tiếng Việt tóm tắt 5 lĩnh vực WBES với thuật ngữ Việt chuẩn từ World Bank: (1) Quy định pháp lý + Thuế (Time Tax =</w:t>
      </w:r>
      <w:r>
        <w:rPr>
          <w:iCs/>
          <w:i/>
        </w:rPr>
        <w:t xml:space="preserve"> </w:t>
      </w:r>
      <w:r>
        <w:rPr>
          <w:iCs/>
          <w:i/>
        </w:rPr>
        <w:t xml:space="preserve">“</w:t>
      </w:r>
      <w:r>
        <w:rPr>
          <w:iCs/>
          <w:i/>
        </w:rPr>
        <w:t xml:space="preserve">Thuế thời gian</w:t>
      </w:r>
      <w:r>
        <w:rPr>
          <w:iCs/>
          <w:i/>
        </w:rPr>
        <w:t xml:space="preserve">”</w:t>
      </w:r>
      <w:r>
        <w:rPr>
          <w:iCs/>
          <w:i/>
        </w:rPr>
        <w:t xml:space="preserve">; Tax compliance =</w:t>
      </w:r>
      <w:r>
        <w:rPr>
          <w:iCs/>
          <w:i/>
        </w:rPr>
        <w:t xml:space="preserve"> </w:t>
      </w:r>
      <w:r>
        <w:rPr>
          <w:iCs/>
          <w:i/>
        </w:rPr>
        <w:t xml:space="preserve">“</w:t>
      </w:r>
      <w:r>
        <w:rPr>
          <w:iCs/>
          <w:i/>
        </w:rPr>
        <w:t xml:space="preserve">Tuân thủ thuế</w:t>
      </w:r>
      <w:r>
        <w:rPr>
          <w:iCs/>
          <w:i/>
        </w:rPr>
        <w:t xml:space="preserve">”</w:t>
      </w:r>
      <w:r>
        <w:rPr>
          <w:iCs/>
          <w:i/>
        </w:rPr>
        <w:t xml:space="preserve">); (2) Tài chính + Tín dụng (Credit constraint =</w:t>
      </w:r>
      <w:r>
        <w:rPr>
          <w:iCs/>
          <w:i/>
        </w:rPr>
        <w:t xml:space="preserve"> </w:t>
      </w:r>
      <w:r>
        <w:rPr>
          <w:iCs/>
          <w:i/>
        </w:rPr>
        <w:t xml:space="preserve">“</w:t>
      </w:r>
      <w:r>
        <w:rPr>
          <w:iCs/>
          <w:i/>
        </w:rPr>
        <w:t xml:space="preserve">Hạn chế tín dụng</w:t>
      </w:r>
      <w:r>
        <w:rPr>
          <w:iCs/>
          <w:i/>
        </w:rPr>
        <w:t xml:space="preserve">”</w:t>
      </w:r>
      <w:r>
        <w:rPr>
          <w:iCs/>
          <w:i/>
        </w:rPr>
        <w:t xml:space="preserve">; Financial digitalization =</w:t>
      </w:r>
      <w:r>
        <w:rPr>
          <w:iCs/>
          <w:i/>
        </w:rPr>
        <w:t xml:space="preserve"> </w:t>
      </w:r>
      <w:r>
        <w:rPr>
          <w:iCs/>
          <w:i/>
        </w:rPr>
        <w:t xml:space="preserve">“</w:t>
      </w:r>
      <w:r>
        <w:rPr>
          <w:iCs/>
          <w:i/>
        </w:rPr>
        <w:t xml:space="preserve">Số hóa tài chính</w:t>
      </w:r>
      <w:r>
        <w:rPr>
          <w:iCs/>
          <w:i/>
        </w:rPr>
        <w:t xml:space="preserve">”</w:t>
      </w:r>
      <w:r>
        <w:rPr>
          <w:iCs/>
          <w:i/>
        </w:rPr>
        <w:t xml:space="preserve">); (3) Cơ sở hạ tầng + Khí hậu (Energy management =</w:t>
      </w:r>
      <w:r>
        <w:rPr>
          <w:iCs/>
          <w:i/>
        </w:rPr>
        <w:t xml:space="preserve"> </w:t>
      </w:r>
      <w:r>
        <w:rPr>
          <w:iCs/>
          <w:i/>
        </w:rPr>
        <w:t xml:space="preserve">“</w:t>
      </w:r>
      <w:r>
        <w:rPr>
          <w:iCs/>
          <w:i/>
        </w:rPr>
        <w:t xml:space="preserve">Quản lý năng lượng</w:t>
      </w:r>
      <w:r>
        <w:rPr>
          <w:iCs/>
          <w:i/>
        </w:rPr>
        <w:t xml:space="preserve">”</w:t>
      </w:r>
      <w:r>
        <w:rPr>
          <w:iCs/>
          <w:i/>
        </w:rPr>
        <w:t xml:space="preserve">); (4) Tham nhũng + Tranh chấp (Bribery =</w:t>
      </w:r>
      <w:r>
        <w:rPr>
          <w:iCs/>
          <w:i/>
        </w:rPr>
        <w:t xml:space="preserve"> </w:t>
      </w:r>
      <w:r>
        <w:rPr>
          <w:iCs/>
          <w:i/>
        </w:rPr>
        <w:t xml:space="preserve">“</w:t>
      </w:r>
      <w:r>
        <w:rPr>
          <w:iCs/>
          <w:i/>
        </w:rPr>
        <w:t xml:space="preserve">Hối lộ</w:t>
      </w:r>
      <w:r>
        <w:rPr>
          <w:iCs/>
          <w:i/>
        </w:rPr>
        <w:t xml:space="preserve">”</w:t>
      </w:r>
      <w:r>
        <w:rPr>
          <w:iCs/>
          <w:i/>
        </w:rPr>
        <w:t xml:space="preserve">; Graft =</w:t>
      </w:r>
      <w:r>
        <w:rPr>
          <w:iCs/>
          <w:i/>
        </w:rPr>
        <w:t xml:space="preserve"> </w:t>
      </w:r>
      <w:r>
        <w:rPr>
          <w:iCs/>
          <w:i/>
        </w:rPr>
        <w:t xml:space="preserve">“</w:t>
      </w:r>
      <w:r>
        <w:rPr>
          <w:iCs/>
          <w:i/>
        </w:rPr>
        <w:t xml:space="preserve">Tham ô</w:t>
      </w:r>
      <w:r>
        <w:rPr>
          <w:iCs/>
          <w:i/>
        </w:rPr>
        <w:t xml:space="preserve">”</w:t>
      </w:r>
      <w:r>
        <w:rPr>
          <w:iCs/>
          <w:i/>
        </w:rPr>
        <w:t xml:space="preserve">); (5) Lao động + Đổi mới (Online presence =</w:t>
      </w:r>
      <w:r>
        <w:rPr>
          <w:iCs/>
          <w:i/>
        </w:rPr>
        <w:t xml:space="preserve"> </w:t>
      </w:r>
      <w:r>
        <w:rPr>
          <w:iCs/>
          <w:i/>
        </w:rPr>
        <w:t xml:space="preserve">“</w:t>
      </w:r>
      <w:r>
        <w:rPr>
          <w:iCs/>
          <w:i/>
        </w:rPr>
        <w:t xml:space="preserve">Hiện diện trực tuyến</w:t>
      </w:r>
      <w:r>
        <w:rPr>
          <w:iCs/>
          <w:i/>
        </w:rPr>
        <w:t xml:space="preserve">”</w:t>
      </w:r>
      <w:r>
        <w:rPr>
          <w:iCs/>
          <w:i/>
        </w:rPr>
        <w:t xml:space="preserve">). Năm xuất bản KHÔNG ghi rõ — APA 7th cite</w:t>
      </w:r>
      <w:r>
        <w:rPr>
          <w:iCs/>
          <w:i/>
        </w:rPr>
        <w:t xml:space="preserve"> </w:t>
      </w:r>
      <w:r>
        <w:rPr>
          <w:iCs/>
          <w:i/>
        </w:rPr>
        <w:t xml:space="preserve">“</w:t>
      </w:r>
      <w:r>
        <w:rPr>
          <w:iCs/>
          <w:i/>
        </w:rPr>
        <w:t xml:space="preserve">n.d.</w:t>
      </w:r>
      <w:r>
        <w:rPr>
          <w:iCs/>
          <w:i/>
        </w:rPr>
        <w:t xml:space="preserve">”</w:t>
      </w:r>
      <w:r>
        <w:rPr>
          <w:iCs/>
          <w:i/>
        </w:rPr>
        <w:t xml:space="preserve"> </w:t>
      </w:r>
      <w:r>
        <w:rPr>
          <w:iCs/>
          <w:i/>
        </w:rPr>
        <w:t xml:space="preserve">per §8.31. Cited file 09b_vn_term_glossary.md cho thuật ngữ chuẩn + chuyển dịch tiếng Việt CĐ1 v3.x.)</w:t>
      </w:r>
    </w:p>
    <w:p>
      <w:pPr>
        <w:pStyle w:val="BodyText"/>
      </w:pPr>
      <w:r>
        <w:rPr>
          <w:bCs/>
          <w:b/>
        </w:rPr>
        <w:t xml:space="preserve">World Bank. (2025, July 1).</w:t>
      </w:r>
      <w:r>
        <w:rPr>
          <w:bCs/>
          <w:b/>
        </w:rPr>
        <w:t xml:space="preserve"> </w:t>
      </w:r>
      <w:r>
        <w:rPr>
          <w:iCs/>
          <w:i/>
          <w:bCs/>
          <w:b/>
        </w:rPr>
        <w:t xml:space="preserve">Hướng dẫn học tập: Hệ thống phân loại quốc gia và khảo sát doanh nghiệp của Ngân hàng Thế giới (FY26)</w:t>
      </w:r>
      <w:r>
        <w:rPr>
          <w:bCs/>
          <w:b/>
        </w:rPr>
        <w:t xml:space="preserve"> </w:t>
      </w:r>
      <w:r>
        <w:rPr>
          <w:bCs/>
          <w:b/>
        </w:rPr>
        <w:t xml:space="preserve">[Learning guide: World Bank country classification system FY26]. World Bank.</w:t>
      </w:r>
      <w:r>
        <w:t xml:space="preserve"> </w:t>
      </w:r>
      <w:r>
        <w:rPr>
          <w:iCs/>
          <w:i/>
        </w:rPr>
        <w:t xml:space="preserve">(Mới v2.5 — Bản tiếng Việt FY26 (hiệu lực 1/7/2025) với 3 hệ thống phân loại: (a)</w:t>
      </w:r>
      <w:r>
        <w:rPr>
          <w:iCs/>
          <w:i/>
        </w:rPr>
        <w:t xml:space="preserve"> </w:t>
      </w:r>
      <w:r>
        <w:rPr>
          <w:bCs/>
          <w:b/>
          <w:iCs/>
          <w:i/>
        </w:rPr>
        <w:t xml:space="preserve">4 income groups</w:t>
      </w:r>
      <w:r>
        <w:rPr>
          <w:iCs/>
          <w:i/>
        </w:rPr>
        <w:t xml:space="preserve">: Thu nhập thấp ≤$1.135 GNI; Thu nhập trung bình thấp $1.136–$4.495; Thu nhập trung bình cao $4.496–$13.935; Thu nhập cao &gt;$13.935; (b)</w:t>
      </w:r>
      <w:r>
        <w:rPr>
          <w:iCs/>
          <w:i/>
        </w:rPr>
        <w:t xml:space="preserve"> </w:t>
      </w:r>
      <w:r>
        <w:rPr>
          <w:bCs/>
          <w:b/>
          <w:iCs/>
          <w:i/>
        </w:rPr>
        <w:t xml:space="preserve">7 regions</w:t>
      </w:r>
      <w:r>
        <w:rPr>
          <w:iCs/>
          <w:i/>
        </w:rPr>
        <w:t xml:space="preserve">: EAP (Đông Á + Thái Bình Dương), ECA (Châu Âu + Trung Á), LAC (Mỹ Latinh + Caribe),</w:t>
      </w:r>
      <w:r>
        <w:rPr>
          <w:iCs/>
          <w:i/>
        </w:rPr>
        <w:t xml:space="preserve"> </w:t>
      </w:r>
      <w:r>
        <w:rPr>
          <w:bCs/>
          <w:b/>
          <w:iCs/>
          <w:i/>
        </w:rPr>
        <w:t xml:space="preserve">MENAAP (mới FY26 — Trung Đông + Bắc Phi + Afghanistan + Pakistan)</w:t>
      </w:r>
      <w:r>
        <w:rPr>
          <w:iCs/>
          <w:i/>
        </w:rPr>
        <w:t xml:space="preserve">, NA (Bắc Mỹ), SAS (Nam Á), SSA (Châu Phi cận Sahara); (c)</w:t>
      </w:r>
      <w:r>
        <w:rPr>
          <w:iCs/>
          <w:i/>
        </w:rPr>
        <w:t xml:space="preserve"> </w:t>
      </w:r>
      <w:r>
        <w:rPr>
          <w:bCs/>
          <w:b/>
          <w:iCs/>
          <w:i/>
        </w:rPr>
        <w:t xml:space="preserve">3 borrowing classifications</w:t>
      </w:r>
      <w:r>
        <w:rPr>
          <w:iCs/>
          <w:i/>
        </w:rPr>
        <w:t xml:space="preserve">: IDA only / Blend / IBRD only; (d)</w:t>
      </w:r>
      <w:r>
        <w:rPr>
          <w:iCs/>
          <w:i/>
        </w:rPr>
        <w:t xml:space="preserve"> </w:t>
      </w:r>
      <w:r>
        <w:rPr>
          <w:bCs/>
          <w:b/>
          <w:iCs/>
          <w:i/>
        </w:rPr>
        <w:t xml:space="preserve">Phương pháp Atlas</w:t>
      </w:r>
      <w:r>
        <w:rPr>
          <w:iCs/>
          <w:i/>
        </w:rPr>
        <w:t xml:space="preserve"> </w:t>
      </w:r>
      <w:r>
        <w:rPr>
          <w:iCs/>
          <w:i/>
        </w:rPr>
        <w:t xml:space="preserve">để tính GNI per capita. Cited §1.3 phạm vi không gian (47 nước châu Á phân loại theo income group) + §3 ICRV regime classification trong CĐ1 v3.x.)</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rPr>
          <w:bCs/>
          <w:b/>
        </w:rPr>
        <w:t xml:space="preserve">ADB. (2025).</w:t>
      </w:r>
      <w:r>
        <w:rPr>
          <w:bCs/>
          <w:b/>
        </w:rPr>
        <w:t xml:space="preserve"> </w:t>
      </w:r>
      <w:r>
        <w:rPr>
          <w:iCs/>
          <w:i/>
          <w:bCs/>
          <w:b/>
        </w:rPr>
        <w:t xml:space="preserve">Annual Report 2025 — Online Appendix 1: Resolutions of the Board of Governors Adopted in 2025</w:t>
      </w:r>
      <w:r>
        <w:rPr>
          <w:bCs/>
          <w:b/>
        </w:rPr>
        <w:t xml:space="preserve">. Asian Development Bank.</w:t>
      </w:r>
      <w:r>
        <w:t xml:space="preserve"> </w:t>
      </w:r>
      <w:r>
        <w:t xml:space="preserve">https://www.adb.org/documents/adb-annual-report-2025</w:t>
      </w:r>
      <w:r>
        <w:t xml:space="preserve"> </w:t>
      </w:r>
      <w:r>
        <w:rPr>
          <w:iCs/>
          <w:i/>
        </w:rPr>
        <w:t xml:space="preserve">(Mới v2.3 — Resolution 437 charter lending limit removal.)</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rPr>
          <w:bCs/>
          <w:b/>
        </w:rPr>
        <w:t xml:space="preserve">ADB. (2026, April).</w:t>
      </w:r>
      <w:r>
        <w:rPr>
          <w:bCs/>
          <w:b/>
        </w:rPr>
        <w:t xml:space="preserve"> </w:t>
      </w:r>
      <w:r>
        <w:rPr>
          <w:iCs/>
          <w:i/>
          <w:bCs/>
          <w:b/>
        </w:rPr>
        <w:t xml:space="preserve">Asian Development Outlook April 2026: Special Topic — Artificial Intelligence in Asia and the Pacific</w:t>
      </w:r>
      <w:r>
        <w:rPr>
          <w:bCs/>
          <w:b/>
        </w:rPr>
        <w:t xml:space="preserve">. Asian Development Bank.</w:t>
      </w:r>
      <w:r>
        <w:t xml:space="preserve"> </w:t>
      </w:r>
      <w:r>
        <w:rPr>
          <w:iCs/>
          <w:i/>
        </w:rPr>
        <w:t xml:space="preserve">(Mới v2.3)</w:t>
      </w:r>
    </w:p>
    <w:p>
      <w:pPr>
        <w:pStyle w:val="BodyText"/>
      </w:pPr>
      <w:r>
        <w:rPr>
          <w:bCs/>
          <w:b/>
        </w:rPr>
        <w:t xml:space="preserve">ADB. (2026, April).</w:t>
      </w:r>
      <w:r>
        <w:rPr>
          <w:bCs/>
          <w:b/>
        </w:rPr>
        <w:t xml:space="preserve"> </w:t>
      </w:r>
      <w:r>
        <w:rPr>
          <w:iCs/>
          <w:i/>
          <w:bCs/>
          <w:b/>
        </w:rPr>
        <w:t xml:space="preserve">Vietnam Economic Outlook 2026: Navigating the Crosscurrents</w:t>
      </w:r>
      <w:r>
        <w:rPr>
          <w:bCs/>
          <w:b/>
        </w:rPr>
        <w:t xml:space="preserve">. Asian Development Bank.</w:t>
      </w:r>
      <w:r>
        <w:t xml:space="preserve"> </w:t>
      </w:r>
      <w:r>
        <w:t xml:space="preserve">https://www.adb.org/viet-nam</w:t>
      </w:r>
      <w:r>
        <w:t xml:space="preserve"> </w:t>
      </w:r>
      <w:r>
        <w:rPr>
          <w:iCs/>
          <w:i/>
        </w:rPr>
        <w:t xml:space="preserve">(Mới v2.5 — Báo cáo Việt Nam-specific tháng 4/2026 từ ADB. Key forecasts: (a)</w:t>
      </w:r>
      <w:r>
        <w:rPr>
          <w:iCs/>
          <w:i/>
        </w:rPr>
        <w:t xml:space="preserve"> </w:t>
      </w:r>
      <w:r>
        <w:rPr>
          <w:bCs/>
          <w:b/>
          <w:iCs/>
          <w:i/>
        </w:rPr>
        <w:t xml:space="preserve">GDP growth: 7,2% (2026), 7,0% (2027)</w:t>
      </w:r>
      <w:r>
        <w:rPr>
          <w:iCs/>
          <w:i/>
        </w:rPr>
        <w:t xml:space="preserve"> </w:t>
      </w:r>
      <w:r>
        <w:rPr>
          <w:iCs/>
          <w:i/>
        </w:rPr>
        <w:t xml:space="preserve">— vượt mức bình quân ASEAN 4,6% và Đông Nam Á 4,7%; cao hơn dự báo IMF WEO April 2026 ~7,0% và ADB ADO April 2026 7,0%; (b)</w:t>
      </w:r>
      <w:r>
        <w:rPr>
          <w:iCs/>
          <w:i/>
        </w:rPr>
        <w:t xml:space="preserve"> </w:t>
      </w:r>
      <w:r>
        <w:rPr>
          <w:bCs/>
          <w:b/>
          <w:iCs/>
          <w:i/>
        </w:rPr>
        <w:t xml:space="preserve">FDI commitment $2,4B / 18 dự án chiến lược</w:t>
      </w:r>
      <w:r>
        <w:rPr>
          <w:iCs/>
          <w:i/>
        </w:rPr>
        <w:t xml:space="preserve"> </w:t>
      </w:r>
      <w:r>
        <w:rPr>
          <w:iCs/>
          <w:i/>
        </w:rPr>
        <w:t xml:space="preserve">(fintech, năng lượng sạch, logistics); (c)</w:t>
      </w:r>
      <w:r>
        <w:rPr>
          <w:iCs/>
          <w:i/>
        </w:rPr>
        <w:t xml:space="preserve"> </w:t>
      </w:r>
      <w:r>
        <w:rPr>
          <w:bCs/>
          <w:b/>
          <w:iCs/>
          <w:i/>
        </w:rPr>
        <w:t xml:space="preserve">Năng suất lao động +5,1% 2026-2027</w:t>
      </w:r>
      <w:r>
        <w:rPr>
          <w:iCs/>
          <w:i/>
        </w:rPr>
        <w:t xml:space="preserve"> </w:t>
      </w:r>
      <w:r>
        <w:rPr>
          <w:iCs/>
          <w:i/>
        </w:rPr>
        <w:t xml:space="preserve">với FDI manufacturing tiến vào</w:t>
      </w:r>
      <w:r>
        <w:rPr>
          <w:iCs/>
          <w:i/>
        </w:rPr>
        <w:t xml:space="preserve"> </w:t>
      </w:r>
      <w:r>
        <w:rPr>
          <w:iCs/>
          <w:i/>
        </w:rPr>
        <w:t xml:space="preserve">“</w:t>
      </w:r>
      <w:r>
        <w:rPr>
          <w:iCs/>
          <w:i/>
        </w:rPr>
        <w:t xml:space="preserve">higher-value</w:t>
      </w:r>
      <w:r>
        <w:rPr>
          <w:iCs/>
          <w:i/>
        </w:rPr>
        <w:t xml:space="preserve">”</w:t>
      </w:r>
      <w:r>
        <w:rPr>
          <w:iCs/>
          <w:i/>
        </w:rPr>
        <w:t xml:space="preserve"> </w:t>
      </w:r>
      <w:r>
        <w:rPr>
          <w:iCs/>
          <w:i/>
        </w:rPr>
        <w:t xml:space="preserve">stage; (d) Lạm phát dự phóng 4,0%; (e) Two-tier framing: FDI-sector 18% global solution contribution vs SMEs nội địa cần hỗ trợ fintech/capacity (ADB Policy-Based Loans $2,4B target nhóm này); (f) GVC re-positioning từ assembly → mid-stream design/R&amp;D dựa trên 3 trụ cột Resilience + Environmental Sustainability + Inclusiveness. Cited §1.1 lớp 6 update + §5.3 Vietnam case study trong CĐ1 v3.9.)</w:t>
      </w:r>
    </w:p>
    <w:p>
      <w:pPr>
        <w:pStyle w:val="BodyText"/>
      </w:pPr>
      <w:r>
        <w:rPr>
          <w:bCs/>
          <w:b/>
        </w:rPr>
        <w:t xml:space="preserve">ADB. (2026).</w:t>
      </w:r>
      <w:r>
        <w:rPr>
          <w:bCs/>
          <w:b/>
        </w:rPr>
        <w:t xml:space="preserve"> </w:t>
      </w:r>
      <w:r>
        <w:rPr>
          <w:iCs/>
          <w:i/>
          <w:bCs/>
          <w:b/>
        </w:rPr>
        <w:t xml:space="preserve">Asia-Pacific Development Report 2026: Highlights — Global Value Chain Participation in Developing Asia</w:t>
      </w:r>
      <w:r>
        <w:rPr>
          <w:bCs/>
          <w:b/>
        </w:rPr>
        <w:t xml:space="preserve">. Asian Development Bank.</w:t>
      </w:r>
      <w:r>
        <w:t xml:space="preserve"> </w:t>
      </w:r>
      <w:r>
        <w:rPr>
          <w:iCs/>
          <w:i/>
        </w:rPr>
        <w:t xml:space="preserve">(Mới v2.3 — GVC participation 9% → 18% 2000-2023.)</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rPr>
          <w:bCs/>
          <w:b/>
        </w:rPr>
        <w:t xml:space="preserve">International Finance Corporation. (n.d.).</w:t>
      </w:r>
      <w:r>
        <w:rPr>
          <w:bCs/>
          <w:b/>
        </w:rPr>
        <w:t xml:space="preserve"> </w:t>
      </w:r>
      <w:r>
        <w:rPr>
          <w:iCs/>
          <w:i/>
          <w:bCs/>
          <w:b/>
        </w:rPr>
        <w:t xml:space="preserve">Private Sector Development Blueprint: Decoding the World Bank Enterprise Surveys</w:t>
      </w:r>
      <w:r>
        <w:rPr>
          <w:bCs/>
          <w:b/>
        </w:rPr>
        <w:t xml:space="preserve">. World Bank Group.</w:t>
      </w:r>
      <w:r>
        <w:t xml:space="preserve"> </w:t>
      </w:r>
      <w:r>
        <w:rPr>
          <w:iCs/>
          <w:i/>
        </w:rPr>
        <w:t xml:space="preserve">(Mới v2.5 — IFC blueprint phân tích WBES theo 3 trụ cột: (1)</w:t>
      </w:r>
      <w:r>
        <w:rPr>
          <w:iCs/>
          <w:i/>
        </w:rPr>
        <w:t xml:space="preserve"> </w:t>
      </w:r>
      <w:r>
        <w:rPr>
          <w:bCs/>
          <w:b/>
          <w:iCs/>
          <w:i/>
        </w:rPr>
        <w:t xml:space="preserve">Institutional foundations</w:t>
      </w:r>
      <w:r>
        <w:rPr>
          <w:iCs/>
          <w:i/>
        </w:rPr>
        <w:t xml:space="preserve"> </w:t>
      </w:r>
      <w:r>
        <w:rPr>
          <w:iCs/>
          <w:i/>
        </w:rPr>
        <w:t xml:space="preserve">(nền tảng thể chế — qui định thuế, quyền sở hữu tài sản, giải quyết tranh chấp); (2)</w:t>
      </w:r>
      <w:r>
        <w:rPr>
          <w:iCs/>
          <w:i/>
        </w:rPr>
        <w:t xml:space="preserve"> </w:t>
      </w:r>
      <w:r>
        <w:rPr>
          <w:bCs/>
          <w:b/>
          <w:iCs/>
          <w:i/>
        </w:rPr>
        <w:t xml:space="preserve">Operational resources</w:t>
      </w:r>
      <w:r>
        <w:rPr>
          <w:iCs/>
          <w:i/>
        </w:rPr>
        <w:t xml:space="preserve"> </w:t>
      </w:r>
      <w:r>
        <w:rPr>
          <w:iCs/>
          <w:i/>
        </w:rPr>
        <w:t xml:space="preserve">(nguồn lực vận hành — lao động, tài chính, năng lượng, internet); (3)</w:t>
      </w:r>
      <w:r>
        <w:rPr>
          <w:iCs/>
          <w:i/>
        </w:rPr>
        <w:t xml:space="preserve"> </w:t>
      </w:r>
      <w:r>
        <w:rPr>
          <w:bCs/>
          <w:b/>
          <w:iCs/>
          <w:i/>
        </w:rPr>
        <w:t xml:space="preserve">Market dynamics</w:t>
      </w:r>
      <w:r>
        <w:rPr>
          <w:iCs/>
          <w:i/>
        </w:rPr>
        <w:t xml:space="preserve"> </w:t>
      </w:r>
      <w:r>
        <w:rPr>
          <w:iCs/>
          <w:i/>
        </w:rPr>
        <w:t xml:space="preserve">(động lực thị trường — cạnh tranh, FDI, xuất nhập khẩu).</w:t>
      </w:r>
      <w:r>
        <w:rPr>
          <w:iCs/>
          <w:i/>
        </w:rPr>
        <w:t xml:space="preserve"> </w:t>
      </w:r>
      <w:r>
        <w:rPr>
          <w:bCs/>
          <w:b/>
          <w:iCs/>
          <w:i/>
        </w:rPr>
        <w:t xml:space="preserve">6 essential public transactions</w:t>
      </w:r>
      <w:r>
        <w:rPr>
          <w:iCs/>
          <w:i/>
        </w:rPr>
        <w:t xml:space="preserve"> </w:t>
      </w:r>
      <w:r>
        <w:rPr>
          <w:iCs/>
          <w:i/>
        </w:rPr>
        <w:t xml:space="preserve">key bottleneck cho doanh nghiệp: cấp phép hoạt động, cấp phép xây dựng, kết nối điện, kết nối nước, cấp phép khảo sát đất, hoàn thuế VAT. Doanh nghiệp xuất khẩu mất ~1 tuần (xuất khẩu) / ~2 tuần (nhập khẩu); ~40% doanh nghiệp coi thủ tục thương mại là rào cản lớn nhất.</w:t>
      </w:r>
      <w:r>
        <w:rPr>
          <w:iCs/>
          <w:i/>
        </w:rPr>
        <w:t xml:space="preserve"> </w:t>
      </w:r>
      <w:r>
        <w:rPr>
          <w:bCs/>
          <w:b/>
          <w:iCs/>
          <w:i/>
        </w:rPr>
        <w:t xml:space="preserve">Năm xuất bản KHÔNG ghi rõ — APA 7th cite</w:t>
      </w:r>
      <w:r>
        <w:rPr>
          <w:bCs/>
          <w:b/>
          <w:iCs/>
          <w:i/>
        </w:rPr>
        <w:t xml:space="preserve"> </w:t>
      </w:r>
      <w:r>
        <w:rPr>
          <w:bCs/>
          <w:b/>
          <w:iCs/>
          <w:i/>
        </w:rPr>
        <w:t xml:space="preserve">“</w:t>
      </w:r>
      <w:r>
        <w:rPr>
          <w:bCs/>
          <w:b/>
          <w:iCs/>
          <w:i/>
        </w:rPr>
        <w:t xml:space="preserve">n.d.</w:t>
      </w:r>
      <w:r>
        <w:rPr>
          <w:bCs/>
          <w:b/>
          <w:iCs/>
          <w:i/>
        </w:rPr>
        <w:t xml:space="preserve">”</w:t>
      </w:r>
      <w:r>
        <w:rPr>
          <w:iCs/>
          <w:i/>
        </w:rPr>
        <w:t xml:space="preserve"> </w:t>
      </w:r>
      <w:r>
        <w:rPr>
          <w:iCs/>
          <w:i/>
        </w:rPr>
        <w:t xml:space="preserve">per §8.31; ước lượng 2023-2024. NCS verify trên trang IFC trước final. Cited §6 yếu tố giải thích trong CĐ1 v3.x — bổ sung framework 3 trụ cột cho ICRV interpretation.)</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bookmarkEnd w:id="31"/>
    <w:bookmarkStart w:id="32" w:name="Xde200f04073635a38db4cac94b8061369cfcb08"/>
    <w:p>
      <w:pPr>
        <w:pStyle w:val="Heading2"/>
      </w:pPr>
      <w:r>
        <w:t xml:space="preserve">L. Tham khảo bổ sung 2024–2026 (cập nhật v2.4)</w:t>
      </w:r>
    </w:p>
    <w:p>
      <w:pPr>
        <w:pStyle w:val="FirstParagraph"/>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r>
        <w:t xml:space="preserve"> </w:t>
      </w:r>
      <w:r>
        <w:rPr>
          <w:iCs/>
          <w:i/>
        </w:rPr>
        <w:t xml:space="preserve">(Trước khi trích dẫn chính thức cần xác minh volume, issue, pages, DOI.)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rPr>
          <w:bCs/>
          <w:b/>
        </w:rPr>
        <w:t xml:space="preserve">Malerba, F., &amp; Orsenigo, L. (1995). Schumpeterian patterns of innovation.</w:t>
      </w:r>
      <w:r>
        <w:rPr>
          <w:bCs/>
          <w:b/>
        </w:rPr>
        <w:t xml:space="preserve"> </w:t>
      </w:r>
      <w:r>
        <w:rPr>
          <w:iCs/>
          <w:i/>
          <w:bCs/>
          <w:b/>
        </w:rPr>
        <w:t xml:space="preserve">Cambridge Journal of Economics, 19</w:t>
      </w:r>
      <w:r>
        <w:rPr>
          <w:bCs/>
          <w:b/>
        </w:rPr>
        <w:t xml:space="preserve">(1), 47–65.</w:t>
      </w:r>
      <w:r>
        <w:t xml:space="preserve"> </w:t>
      </w:r>
      <w:r>
        <w:t xml:space="preserve">https://doi.org/10.1093/oxfordjournals.cje.a035301</w:t>
      </w:r>
      <w:r>
        <w:t xml:space="preserve"> </w:t>
      </w:r>
      <w:r>
        <w:rPr>
          <w:iCs/>
          <w:i/>
        </w:rPr>
        <w:t xml:space="preserve">(Mới v2.4)</w:t>
      </w:r>
    </w:p>
    <w:bookmarkEnd w:id="32"/>
    <w:bookmarkStart w:id="33" w:name="X7241ee869b897bec300afe2239fcffb546e80e2"/>
    <w:p>
      <w:pPr>
        <w:pStyle w:val="Heading2"/>
      </w:pPr>
      <w:r>
        <w:t xml:space="preserve">M. Công trình của tác giả luận án (NCS Đỗ Thùy Hương)</w:t>
      </w:r>
    </w:p>
    <w:p>
      <w:pPr>
        <w:pStyle w:val="FirstParagraph"/>
      </w:pPr>
      <w:r>
        <w:t xml:space="preserve">(Giữ nguyên từ v2.1 — 4 đã xuất bản 2024-2026 + 4 đang chuẩn bị P3/P4/P5/P8.)</w:t>
      </w:r>
    </w:p>
    <w:bookmarkEnd w:id="33"/>
    <w:bookmarkStart w:id="34" w:name="X1905c160c4cd52294e7a67a5792aaeb2433790b"/>
    <w:p>
      <w:pPr>
        <w:pStyle w:val="Heading2"/>
      </w:pPr>
      <w:r>
        <w:t xml:space="preserve">N. Lý thuyết tài nguyên + thể chế kinh tế chính trị + boundary cases</w:t>
      </w:r>
    </w:p>
    <w:p>
      <w:pPr>
        <w:pStyle w:val="FirstParagraph"/>
      </w:pPr>
      <w:r>
        <w:t xml:space="preserve">(Giữ nguyên từ v2.0 — Auty 1993, Beblawi 1987, Gerelmaa &amp; Kotani 2016, Hertog 2010, Hvidt 2013, Sachs &amp; Warner 2001, Hall &amp; Soskice 2001, Bertram 2006, Briguglio 1995. Tổng 9 entries.)</w:t>
      </w:r>
    </w:p>
    <w:bookmarkEnd w:id="34"/>
    <w:bookmarkStart w:id="35" w:name="X2132ca8004af576b93c55ebf0ffe37a44f46a17"/>
    <w:p>
      <w:pPr>
        <w:pStyle w:val="Heading2"/>
      </w:pPr>
      <w:r>
        <w:t xml:space="preserve">O. Văn bản pháp lý Việt Nam (cited trong CĐ1 §7.3.3)</w:t>
      </w:r>
    </w:p>
    <w:p>
      <w:pPr>
        <w:pStyle w:val="FirstParagraph"/>
      </w:pPr>
      <w:r>
        <w:t xml:space="preserve">(Giữ nguyên từ v2.0 — 7 văn bản pháp lý + 8 hiệp định FTA.)</w:t>
      </w:r>
    </w:p>
    <w:bookmarkEnd w:id="35"/>
    <w:bookmarkStart w:id="36" w:name="X8c3cce854d69d4cec5e0e5c79c65fd3ecacba09"/>
    <w:p>
      <w:pPr>
        <w:pStyle w:val="Heading2"/>
      </w:pPr>
      <w:r>
        <w:t xml:space="preserve">P. World Bank Data360 Atlas 2026 và báo cáo AI-Finance (Mới v2.6)</w:t>
      </w:r>
    </w:p>
    <w:p>
      <w:pPr>
        <w:pStyle w:val="FirstParagraph"/>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r>
        <w:t xml:space="preserve"> </w:t>
      </w:r>
      <w:r>
        <w:rPr>
          <w:iCs/>
          <w:i/>
        </w:rPr>
        <w:t xml:space="preserve">(Mới v2.6 — Strait of Hormuz closure: 35% seaborne crude oil; Brent $72→$118/bbl March 2026; energy +24%; fertilizer +30%; EMDEs growth 3,6% downgrade 0,4pp; EMDE commodity exporters 2,4%.)</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r>
        <w:t xml:space="preserve"> </w:t>
      </w:r>
      <w:r>
        <w:rPr>
          <w:iCs/>
          <w:i/>
        </w:rPr>
        <w:t xml:space="preserve">(Mới v2.6 — G20 report to Finance Ministers; survey 70+ EMDEs financial authorities; 3 challenges: skills gap, data quality, digitization of existing systems.)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r>
        <w:t xml:space="preserve"> </w:t>
      </w:r>
      <w:r>
        <w:rPr>
          <w:iCs/>
          <w:i/>
        </w:rPr>
        <w:t xml:space="preserve">(Mới v2.6 — ChatGPT 50× per internet user HIC vs LIC; 5GB data = ~50% remaining budget after food in LICs; only 5% LIC population had basic digital skills 2023; HICs hold 77% global data center capacity; US 20,000× more servers per capita than LICs.)</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r>
        <w:t xml:space="preserve"> </w:t>
      </w:r>
      <w:r>
        <w:rPr>
          <w:iCs/>
          <w:i/>
        </w:rPr>
        <w:t xml:space="preserve">(Mới v2.6 — 2,2 tỷ người offline (2025); Bangladesh: 100% 4G coverage nhưng chỉ 53% dùng Internet (coverage-to-connection gap); 280 triệu men online hơn women; Singapore/UAE/Chile &gt;300 Mbps vs LIC &lt;20 Mbps.)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r>
        <w:t xml:space="preserve"> </w:t>
      </w:r>
      <w:r>
        <w:rPr>
          <w:iCs/>
          <w:i/>
        </w:rPr>
        <w:t xml:space="preserve">(Mới v2.7 — progress slowest on record in 15 of 26 tracked development indicators; SIDS and Sub-Saharan Africa most affected; 75 years of development data: 121,249 data points · 107 datasets; per-capita income growth in LICs 2020–2025 below historical average; poorest quintile lost most ground since COVID-19 disruption.)</w:t>
      </w:r>
    </w:p>
    <w:p>
      <w:r>
        <w:pict>
          <v:rect style="width:0;height:1.5pt" o:hralign="center" o:hrstd="t" o:hr="t"/>
        </w:pict>
      </w:r>
    </w:p>
    <w:bookmarkEnd w:id="36"/>
    <w:bookmarkStart w:id="37" w:name="X9fda309e68ad5febed2f75ba3907e03a038cbb1"/>
    <w:p>
      <w:pPr>
        <w:pStyle w:val="Heading2"/>
      </w:pPr>
      <w:r>
        <w:t xml:space="preserve">Bổ sung v2.7 — Tham khảo cốt lõi từ P3/P4/P5/P6/P7/CĐ1/CĐ2</w:t>
      </w:r>
    </w:p>
    <w:p>
      <w:pPr>
        <w:pStyle w:val="FirstParagraph"/>
      </w:pPr>
      <w:r>
        <w:rPr>
          <w:iCs/>
          <w:i/>
        </w:rPr>
        <w:t xml:space="preserve">Các entry dưới đây được thêm để giải quyết 85 warnings từ format-apa7.py. DOIs đã verify từ bản thảo gốc.</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Combs, J. G., Ketchen, D. J., Crook, T. R., &amp; Roth, P. L. (2011). Assessing cumulative evidence within</w:t>
      </w:r>
      <w:r>
        <w:t xml:space="preserve"> </w:t>
      </w:r>
      <w:r>
        <w:t xml:space="preserve">“</w:t>
      </w:r>
      <w:r>
        <w:t xml:space="preserve">macro</w:t>
      </w:r>
      <w:r>
        <w:t xml:space="preserve">”</w:t>
      </w:r>
      <w:r>
        <w:t xml:space="preserve"> </w:t>
      </w:r>
      <w:r>
        <w:t xml:space="preserve">research: Why meta-analysis should be preferred over vote counting.</w:t>
      </w:r>
      <w:r>
        <w:t xml:space="preserve"> </w:t>
      </w:r>
      <w:r>
        <w:rPr>
          <w:iCs/>
          <w:i/>
        </w:rPr>
        <w:t xml:space="preserve">Journal of Management Studies, 48</w:t>
      </w:r>
      <w:r>
        <w:t xml:space="preserve">(1), 178–197. https://doi.org/10.1111/j.1467-6486.2009.00899.x</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 T. T., Do, T. H., &amp; Phan, A. T. (2026).</w:t>
      </w:r>
      <w:r>
        <w:t xml:space="preserve"> </w:t>
      </w:r>
      <w:r>
        <w:rPr>
          <w:iCs/>
          <w:i/>
        </w:rPr>
        <w:t xml:space="preserve">Digital adoption and the internationalization–performance curve: Evidence from Singapore firms</w:t>
      </w:r>
      <w:r>
        <w:t xml:space="preserve"> </w:t>
      </w:r>
      <w:r>
        <w:t xml:space="preserve">[Manuscript under review].</w:t>
      </w:r>
      <w:r>
        <w:t xml:space="preserve"> </w:t>
      </w:r>
      <w:r>
        <w:rPr>
          <w:iCs/>
          <w:i/>
        </w:rPr>
        <w:t xml:space="preserve">Management International Review</w:t>
      </w:r>
      <w:r>
        <w:t xml:space="preserve">.</w:t>
      </w:r>
    </w:p>
    <w:p>
      <w:pPr>
        <w:pStyle w:val="BodyText"/>
      </w:pPr>
      <w:r>
        <w:t xml:space="preserve">MacKinnon, J. G., &amp; Webb, M. D. (2017). Wild bootstrap inference for wildly different cluster sizes.</w:t>
      </w:r>
      <w:r>
        <w:t xml:space="preserve"> </w:t>
      </w:r>
      <w:r>
        <w:rPr>
          <w:iCs/>
          <w:i/>
        </w:rPr>
        <w:t xml:space="preserve">Journal of Applied Econometrics, 32</w:t>
      </w:r>
      <w:r>
        <w:t xml:space="preserve">(2), 233–254. https://doi.org/10.1002/jae.2508</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 https://unctad.org/wir2023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Pirlea, A. F., Wadhwa, D., Mahler, D., Serajuddin, U., Welch, M., Thudt, A., &amp; Lambrechts, M. (Eds.). (2026).</w:t>
      </w:r>
      <w:r>
        <w:t xml:space="preserve"> </w:t>
      </w:r>
      <w:r>
        <w:rPr>
          <w:iCs/>
          <w:i/>
        </w:rPr>
        <w:t xml:space="preserve">Atlas of Global Development 2026</w:t>
      </w:r>
      <w:r>
        <w:t xml:space="preserve"> </w:t>
      </w:r>
      <w:r>
        <w:t xml:space="preserve">(License: Creative Commons Attribution CC BY 3.0 IGO). World Bank. https://data360.worldbank.org/en/int/atlas</w:t>
      </w:r>
      <w:r>
        <w:t xml:space="preserve"> </w:t>
      </w:r>
      <w:r>
        <w:rPr>
          <w:iCs/>
          <w:i/>
        </w:rPr>
        <w:t xml:space="preserve">(Mới v2.6 — 121,249 data points · 107 datasets · 95 interactive visualizations; tracks progress across 75 years; 5 themes: People, Prosperity, Planet, Infrastructure, Digital; progress slowest on record in 15 of 26 development indicators.)</w:t>
      </w:r>
    </w:p>
    <w:p>
      <w:r>
        <w:pict>
          <v:rect style="width:0;height:1.5pt" o:hralign="center" o:hrstd="t" o:hr="t"/>
        </w:pict>
      </w:r>
    </w:p>
    <w:bookmarkEnd w:id="37"/>
    <w:bookmarkStart w:id="38" w:name="X4863c99e382dd33e45c83c62d65ccdbfdf2be54"/>
    <w:p>
      <w:pPr>
        <w:pStyle w:val="Heading2"/>
      </w:pPr>
      <w:r>
        <w:t xml:space="preserve">Q. Singapore innovation ecosystem 2025/2026 (Mới v2.7 — P4 contextual grounding)</w:t>
      </w:r>
    </w:p>
    <w:p>
      <w:pPr>
        <w:pStyle w:val="FirstParagraph"/>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r>
        <w:t xml:space="preserve"> </w:t>
      </w:r>
      <w:r>
        <w:rPr>
          <w:iCs/>
          <w:i/>
        </w:rPr>
        <w:t xml:space="preserve">(Mới v2.7 — SWITCH 2025: 25,000+ attendees from 100+ countries; 6,800+ SLINGSHOT applications from 150 markets; S$2M prize pool; 10th edition SG60.)</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r>
        <w:t xml:space="preserve"> </w:t>
      </w:r>
      <w:r>
        <w:rPr>
          <w:iCs/>
          <w:i/>
        </w:rPr>
        <w:t xml:space="preserve">(Mới v2.7 — Singapore ranked 3rd globally UN e-Government Survey 2024; Smart Nation 2.0 (2024) framed around Trust, Growth, Community.)</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r>
        <w:t xml:space="preserve"> </w:t>
      </w:r>
      <w:r>
        <w:rPr>
          <w:iCs/>
          <w:i/>
        </w:rPr>
        <w:t xml:space="preserve">(Mới v2.7 — ATxSG 2025: 22,000 attendees from 110 regions; 450+ speakers; 700+ exhibitors; 34 international pavilions; 5th anniversary.)</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r>
        <w:t xml:space="preserve"> </w:t>
      </w:r>
      <w:r>
        <w:rPr>
          <w:iCs/>
          <w:i/>
        </w:rPr>
        <w:t xml:space="preserve">(Mới v2.7 — Singapore ranked 4th globally in 2025 (up from 5th in 2024); ecosystem growth rate 44.9% vs top-20 average 28.5%.)</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rPr>
          <w:iCs/>
          <w:i/>
        </w:rPr>
        <w:t xml:space="preserve">(Mới v2.7 — Singapore ranked 2nd globally (score 99.145/100); 1st in Asia Pacific; 30+ parameters across Regulation &amp; Governance, Access to Capital, Taxation, Digital Infrastructure, Global Mobility.)</w:t>
      </w:r>
    </w:p>
    <w:p>
      <w:r>
        <w:pict>
          <v:rect style="width:0;height:1.5pt" o:hralign="center" o:hrstd="t" o:hr="t"/>
        </w:pict>
      </w:r>
    </w:p>
    <w:bookmarkEnd w:id="38"/>
    <w:bookmarkStart w:id="39" w:name="Xbd941738ba66bb94640e93ff5b476f7b031b91b"/>
    <w:p>
      <w:pPr>
        <w:pStyle w:val="Heading2"/>
      </w:pPr>
      <w:r>
        <w:t xml:space="preserve">R. Tài liệu mới bổ sung v2.8 — Trade Restructuring + P4/P5 missing entries</w:t>
      </w:r>
    </w:p>
    <w:p>
      <w:pPr>
        <w:pStyle w:val="FirstParagraph"/>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r>
        <w:t xml:space="preserve"> </w:t>
      </w:r>
      <w:r>
        <w:rPr>
          <w:iCs/>
          <w:i/>
        </w:rPr>
        <w:t xml:space="preserve">(Cited in P5 §2 — trade re-equilibration, US–China tariff cycle, bilateral trade flow reorientation; Poverty and Equity Global Practice, October 2024.)</w:t>
      </w:r>
    </w:p>
    <w:p>
      <w:pPr>
        <w:pStyle w:val="BodyText"/>
      </w:pPr>
      <w:r>
        <w:rPr>
          <w:iCs/>
          <w:i/>
        </w:rPr>
        <w:t xml:space="preserve">(Các tài liệu World Bank DPI, Vietnam FCI Snapshot, Taking Stock, GDKC đã được lưu trong Section P — World Bank 2025a/b/c/d.)</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Nielsen, S. (2010). Top management team internationalization and firm performance: The mediating role of foreign market entry.</w:t>
      </w:r>
      <w:r>
        <w:t xml:space="preserve"> </w:t>
      </w:r>
      <w:r>
        <w:rPr>
          <w:iCs/>
          <w:i/>
        </w:rPr>
        <w:t xml:space="preserve">Management International Review, 50</w:t>
      </w:r>
      <w:r>
        <w:t xml:space="preserve">(2), 185–206. https://doi.org/10.1007/s11575-010-0029-0</w:t>
      </w:r>
      <w:r>
        <w:t xml:space="preserve"> </w:t>
      </w:r>
      <w:r>
        <w:t xml:space="preserve">Mizik, N., &amp; Jacobson, R. (2003). Trading off between value creation and value appropriation: The financial implications of shifts in strategic emphasis.</w:t>
      </w:r>
      <w:r>
        <w:t xml:space="preserve"> </w:t>
      </w:r>
      <w:r>
        <w:rPr>
          <w:iCs/>
          <w:i/>
        </w:rPr>
        <w:t xml:space="preserve">Journal of Marketing, 67</w:t>
      </w:r>
      <w:r>
        <w:t xml:space="preserve">(1), 63–76. https://doi.org/10.1509/jmkg.67.1.63.18595</w:t>
      </w:r>
      <w:r>
        <w:t xml:space="preserve"> </w:t>
      </w: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r>
        <w:pict>
          <v:rect style="width:0;height:1.5pt" o:hralign="center" o:hrstd="t" o:hr="t"/>
        </w:pict>
      </w:r>
    </w:p>
    <w:bookmarkEnd w:id="39"/>
    <w:bookmarkStart w:id="40" w:name="Xef809cfcfe0baf8ba5c87a5d2dc964c02e59512"/>
    <w:p>
      <w:pPr>
        <w:pStyle w:val="Heading2"/>
      </w:pPr>
      <w:r>
        <w:t xml:space="preserve">T. World Bank Policy Research Working Papers — Bổ sung v2.9 (16/05/2026)</w:t>
      </w:r>
    </w:p>
    <w:p>
      <w:pPr>
        <w:pStyle w:val="BlockText"/>
      </w:pPr>
      <w:r>
        <w:t xml:space="preserve">5 entries từ đánh giá 11 PDFs upload ngày 16/05/2026. Xếp theo thứ tự APA7 (tác giả đầu tiên).</w:t>
      </w:r>
      <w:r>
        <w:t xml:space="preserve"> </w:t>
      </w:r>
      <w:r>
        <w:rPr>
          <w:bCs/>
          <w:b/>
        </w:rPr>
        <w:t xml:space="preserve">Disambiguation quan trọng</w:t>
      </w:r>
      <w:r>
        <w:t xml:space="preserve">: Mahler et al. (2026) WPS11350 (Mahler, Serajuddin, Wadhwa &amp; Yonzan) ≠ Mahler, Wang &amp; Weber (2026) Atlas chapter (Section P). Dùng hậu tố</w:t>
      </w:r>
      <w:r>
        <w:t xml:space="preserve"> </w:t>
      </w:r>
      <w:r>
        <w:t xml:space="preserve">“</w:t>
      </w:r>
      <w:r>
        <w:t xml:space="preserve">a/b</w:t>
      </w:r>
      <w:r>
        <w:t xml:space="preserve">”</w:t>
      </w:r>
      <w:r>
        <w:t xml:space="preserve"> </w:t>
      </w:r>
      <w:r>
        <w:t xml:space="preserve">trong in-text nếu trích dẫn cả hai trong cùng văn bản.</w:t>
      </w:r>
    </w:p>
    <w:p>
      <w:pPr>
        <w:pStyle w:val="FirstParagraph"/>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r>
        <w:t xml:space="preserve"> </w:t>
      </w:r>
      <w:r>
        <w:rPr>
          <w:iCs/>
          <w:i/>
        </w:rPr>
        <w:t xml:space="preserve">(Mới v2.9 — Vietnam DVAR tăng mạnh từ 2018: US demand shock 8,76% → DVAR +2,49 pp trong 2018–2020, giải thích 68,5% tổng tăng DVAR; firms phản ứng bằng cách xuất khẩu nhiều hơn sang cả US và non-US markets và ghi nhận tăng năng suất lao động; non-Chinese-owned firms là động lực chính; cơ chế: implicit rules of origin + FDI vào intermediates. Sử dụng matched firm-level + customs data 2016–2020. Cited P3 §5 Discussion — corroboration cho ascending-limb mechanism.)</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r>
        <w:t xml:space="preserve"> </w:t>
      </w:r>
      <w:r>
        <w:rPr>
          <w:iCs/>
          <w:i/>
        </w:rPr>
        <w:t xml:space="preserve">(Mới v2.9 — Vietnam: liberalization dịch vụ thương mại 2008–2016 → +2,9% năng suất hàng năm trong dịch vụ, +3,1% trong sản xuất;</w:t>
      </w:r>
      <w:r>
        <w:rPr>
          <w:iCs/>
          <w:i/>
        </w:rPr>
        <w:t xml:space="preserve"> </w:t>
      </w:r>
      <w:r>
        <w:rPr>
          <w:iCs/>
          <w:i/>
        </w:rPr>
        <w:t xml:space="preserve">“</w:t>
      </w:r>
      <w:r>
        <w:rPr>
          <w:iCs/>
          <w:i/>
        </w:rPr>
        <w:t xml:space="preserve">China-plus-one</w:t>
      </w:r>
      <w:r>
        <w:rPr>
          <w:iCs/>
          <w:i/>
        </w:rPr>
        <w:t xml:space="preserve">”</w:t>
      </w:r>
      <w:r>
        <w:rPr>
          <w:iCs/>
          <w:i/>
        </w:rPr>
        <w:t xml:space="preserve"> </w:t>
      </w:r>
      <w:r>
        <w:rPr>
          <w:iCs/>
          <w:i/>
        </w:rPr>
        <w:t xml:space="preserve">strategy lợi ích hạn chế cho phần lớn đang phát triển; US Supreme Court Feb 20 2026 tuyên bố IEEPA tariffs unconstitutional. Cited P3 §5.5 Policy implications — macro-level corroboration cho tác động của mở cửa thương mại lên năng suất Việt Nam.)</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r>
        <w:t xml:space="preserve"> </w:t>
      </w:r>
      <w:r>
        <w:rPr>
          <w:iCs/>
          <w:i/>
        </w:rPr>
        <w:t xml:space="preserve">(Mới v2.9 — WBES-based; LICs mất gấp 2 lần thời gian và trả gấp 70 lần chi phí kết nối điện so với HICs; chất lượng điện → firm performance; phân tích 183 quốc gia. Cited P8 / CD1 — infrastructure quality như institutional void context cho SIDS.)</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r>
        <w:t xml:space="preserve"> </w:t>
      </w:r>
      <w:r>
        <w:rPr>
          <w:iCs/>
          <w:i/>
        </w:rPr>
        <w:t xml:space="preserve">(Mới v2.9 — Định nghĩa</w:t>
      </w:r>
      <w:r>
        <w:rPr>
          <w:iCs/>
          <w:i/>
        </w:rPr>
        <w:t xml:space="preserve"> </w:t>
      </w:r>
      <w:r>
        <w:rPr>
          <w:iCs/>
          <w:i/>
        </w:rPr>
        <w:t xml:space="preserve">“</w:t>
      </w:r>
      <w:r>
        <w:rPr>
          <w:iCs/>
          <w:i/>
        </w:rPr>
        <w:t xml:space="preserve">năng lực thể chế</w:t>
      </w:r>
      <w:r>
        <w:rPr>
          <w:iCs/>
          <w:i/>
        </w:rPr>
        <w:t xml:space="preserve">”</w:t>
      </w:r>
      <w:r>
        <w:rPr>
          <w:iCs/>
          <w:i/>
        </w:rPr>
        <w:t xml:space="preserve"> </w:t>
      </w:r>
      <w:r>
        <w:rPr>
          <w:iCs/>
          <w:i/>
        </w:rPr>
        <w:t xml:space="preserve">= khả năng thực thi chính sách của các tổ chức công; hai chiều: Tổ chức (nhân sự, tài chính, hệ thống thông tin, quản lý) và Quản trị (minh bạch, độc lập, trách nhiệm giải trình); xây dựng trên North (1990); phân tích</w:t>
      </w:r>
      <w:r>
        <w:rPr>
          <w:iCs/>
          <w:i/>
        </w:rPr>
        <w:t xml:space="preserve"> </w:t>
      </w:r>
      <w:r>
        <w:rPr>
          <w:iCs/>
          <w:i/>
        </w:rPr>
        <w:t xml:space="preserve">“</w:t>
      </w:r>
      <w:r>
        <w:rPr>
          <w:iCs/>
          <w:i/>
        </w:rPr>
        <w:t xml:space="preserve">islands of excellence</w:t>
      </w:r>
      <w:r>
        <w:rPr>
          <w:iCs/>
          <w:i/>
        </w:rPr>
        <w:t xml:space="preserve">”</w:t>
      </w:r>
      <w:r>
        <w:rPr>
          <w:iCs/>
          <w:i/>
        </w:rPr>
        <w:t xml:space="preserve"> </w:t>
      </w:r>
      <w:r>
        <w:rPr>
          <w:iCs/>
          <w:i/>
        </w:rPr>
        <w:t xml:space="preserve">trong môi trường năng lực thấp; tương quan dương vững giữa năng lực thể chế và phát triển kinh tế. Cited CD2 §3.3 Tầng 3 Institutional Theory — cung cấp định nghĩa và framework chính thức cho ICRV 6-regime classification.)</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r>
        <w:t xml:space="preserve"> </w:t>
      </w:r>
      <w:r>
        <w:rPr>
          <w:iCs/>
          <w:i/>
        </w:rPr>
        <w:t xml:space="preserve">(Mới v2.9 — Phương pháp mới đo tiến bộ xã hội qua 6 chỉ số: nghèo đói, tuổi thọ, giáo dục, bình đẳng giới, khí hậu, điện; phát triển chậm nhất kể từ 1950 (75 năm); 54 quốc gia ≥100 năm để đạt chuẩn developed; không có chậm lại, 150 triệu ít nghèo hơn; SIDS đại diện không cân xứng trong nhóm</w:t>
      </w:r>
      <w:r>
        <w:rPr>
          <w:iCs/>
          <w:i/>
        </w:rPr>
        <w:t xml:space="preserve"> </w:t>
      </w:r>
      <w:r>
        <w:rPr>
          <w:iCs/>
          <w:i/>
        </w:rPr>
        <w:t xml:space="preserve">“</w:t>
      </w:r>
      <w:r>
        <w:rPr>
          <w:iCs/>
          <w:i/>
        </w:rPr>
        <w:t xml:space="preserve">stuck countries</w:t>
      </w:r>
      <w:r>
        <w:rPr>
          <w:iCs/>
          <w:i/>
        </w:rPr>
        <w:t xml:space="preserve">”</w:t>
      </w:r>
      <w:r>
        <w:rPr>
          <w:iCs/>
          <w:i/>
        </w:rPr>
        <w:t xml:space="preserve">.</w:t>
      </w:r>
      <w:r>
        <w:rPr>
          <w:iCs/>
          <w:i/>
        </w:rPr>
        <w:t xml:space="preserve"> </w:t>
      </w:r>
      <w:r>
        <w:rPr>
          <w:bCs/>
          <w:b/>
          <w:iCs/>
          <w:i/>
        </w:rPr>
        <w:t xml:space="preserve">PHÂN BIỆT</w:t>
      </w:r>
      <w:r>
        <w:rPr>
          <w:iCs/>
          <w:i/>
        </w:rPr>
        <w:t xml:space="preserve">: Mahler, Serajuddin, Wadhwa &amp; Yonzan (2026) WPS11350 ≠ Mahler, Wang &amp; Weber (2026) Atlas/AI chapter Section P. Dùng</w:t>
      </w:r>
      <w:r>
        <w:rPr>
          <w:iCs/>
          <w:i/>
        </w:rPr>
        <w:t xml:space="preserve"> </w:t>
      </w:r>
      <w:r>
        <w:rPr>
          <w:iCs/>
          <w:i/>
        </w:rPr>
        <w:t xml:space="preserve">“</w:t>
      </w:r>
      <w:r>
        <w:rPr>
          <w:iCs/>
          <w:i/>
        </w:rPr>
        <w:t xml:space="preserve">Mahler et al. (2026b)</w:t>
      </w:r>
      <w:r>
        <w:rPr>
          <w:iCs/>
          <w:i/>
        </w:rPr>
        <w:t xml:space="preserve">”</w:t>
      </w:r>
      <w:r>
        <w:rPr>
          <w:iCs/>
          <w:i/>
        </w:rPr>
        <w:t xml:space="preserve"> </w:t>
      </w:r>
      <w:r>
        <w:rPr>
          <w:iCs/>
          <w:i/>
        </w:rPr>
        <w:t xml:space="preserve">nếu trích dẫn cả hai. Cited P8 §1 Introduction — structural developmental constraints cho Pacific SIDS FIP mechanism.)</w:t>
      </w:r>
    </w:p>
    <w:p>
      <w:r>
        <w:pict>
          <v:rect style="width:0;height:1.5pt" o:hralign="center" o:hrstd="t" o:hr="t"/>
        </w:pict>
      </w:r>
    </w:p>
    <w:bookmarkEnd w:id="40"/>
    <w:bookmarkStart w:id="44" w:name="hướng-dẫn-sử-dụng-cập-nhật-v2.5"/>
    <w:p>
      <w:pPr>
        <w:pStyle w:val="Heading2"/>
      </w:pPr>
      <w:r>
        <w:t xml:space="preserve">Hướng dẫn sử dụng (cập nhật v2.5)</w:t>
      </w:r>
    </w:p>
    <w:bookmarkStart w:id="41" w:name="trong-bản-thảo-luận-án"/>
    <w:p>
      <w:pPr>
        <w:pStyle w:val="Heading3"/>
      </w:pPr>
      <w:r>
        <w:t xml:space="preserve">Trong bản thảo luận án</w:t>
      </w:r>
    </w:p>
    <w:p>
      <w:pPr>
        <w:numPr>
          <w:ilvl w:val="0"/>
          <w:numId w:val="1001"/>
        </w:numPr>
        <w:pStyle w:val="Compact"/>
      </w:pPr>
      <w:r>
        <w:t xml:space="preserve">Dùng in-text citation theo author–date.</w:t>
      </w:r>
    </w:p>
    <w:p>
      <w:pPr>
        <w:numPr>
          <w:ilvl w:val="0"/>
          <w:numId w:val="1001"/>
        </w:numPr>
        <w:pStyle w:val="Compact"/>
      </w:pPr>
      <w:r>
        <w:t xml:space="preserve">3+ tác giả: dùng</w:t>
      </w:r>
      <w:r>
        <w:t xml:space="preserve"> </w:t>
      </w:r>
      <w:r>
        <w:rPr>
          <w:iCs/>
          <w:i/>
        </w:rPr>
        <w:t xml:space="preserve">et al.</w:t>
      </w:r>
      <w:r>
        <w:t xml:space="preserve"> </w:t>
      </w:r>
      <w:r>
        <w:t xml:space="preserve">ngay từ trích dẫn đầu tiên.</w:t>
      </w:r>
    </w:p>
    <w:p>
      <w:pPr>
        <w:numPr>
          <w:ilvl w:val="0"/>
          <w:numId w:val="1001"/>
        </w:numPr>
        <w:pStyle w:val="Compact"/>
      </w:pPr>
      <w:r>
        <w:t xml:space="preserve">Trích dẫn công trình của tác giả luận án: dùng suffix năm chuẩn APA 7 —</w:t>
      </w:r>
      <w:r>
        <w:t xml:space="preserve"> </w:t>
      </w:r>
      <w:r>
        <w:t xml:space="preserve">“</w:t>
      </w:r>
      <w:r>
        <w:t xml:space="preserve">Do và Phan (2026a)</w:t>
      </w:r>
      <w:r>
        <w:t xml:space="preserve">”</w:t>
      </w:r>
      <w:r>
        <w:t xml:space="preserve">,</w:t>
      </w:r>
      <w:r>
        <w:t xml:space="preserve"> </w:t>
      </w:r>
      <w:r>
        <w:t xml:space="preserve">“</w:t>
      </w:r>
      <w:r>
        <w:t xml:space="preserve">Do và Phan (2026g)</w:t>
      </w:r>
      <w:r>
        <w:t xml:space="preserve">”</w:t>
      </w:r>
      <w:r>
        <w:t xml:space="preserve">, v.v. (P1=2026a, P2=2026g, P3=2026e, P5=2026f, P6=2026c, P7=2026d, P8=2026b; P4=Mar et al., 2026).</w:t>
      </w:r>
    </w:p>
    <w:p>
      <w:pPr>
        <w:numPr>
          <w:ilvl w:val="0"/>
          <w:numId w:val="1001"/>
        </w:numPr>
        <w:pStyle w:val="Compact"/>
      </w:pPr>
      <w:r>
        <w:t xml:space="preserve">Trích dẫn báo cáo quốc tế thường niên: dùng dạng</w:t>
      </w:r>
      <w:r>
        <w:t xml:space="preserve"> </w:t>
      </w:r>
      <w:r>
        <w:t xml:space="preserve">“</w:t>
      </w:r>
      <w:r>
        <w:t xml:space="preserve">IMF (2026, April)</w:t>
      </w:r>
      <w:r>
        <w:t xml:space="preserve">”</w:t>
      </w:r>
      <w:r>
        <w:t xml:space="preserve"> </w:t>
      </w:r>
      <w:r>
        <w:t xml:space="preserve">hoặc</w:t>
      </w:r>
      <w:r>
        <w:t xml:space="preserve"> </w:t>
      </w:r>
      <w:r>
        <w:t xml:space="preserve">“</w:t>
      </w:r>
      <w:r>
        <w:t xml:space="preserve">ADB (2026, April)</w:t>
      </w:r>
      <w:r>
        <w:t xml:space="preserve">”</w:t>
      </w:r>
      <w:r>
        <w:t xml:space="preserve">.</w:t>
      </w:r>
    </w:p>
    <w:p>
      <w:pPr>
        <w:numPr>
          <w:ilvl w:val="0"/>
          <w:numId w:val="1001"/>
        </w:numPr>
        <w:pStyle w:val="Compact"/>
      </w:pPr>
      <w:r>
        <w:rPr>
          <w:bCs/>
          <w:b/>
        </w:rPr>
        <w:t xml:space="preserve">Trích dẫn ADB Vietnam Outlook 2026 (v2.5)</w:t>
      </w:r>
      <w:r>
        <w:t xml:space="preserve">: dùng dạng</w:t>
      </w:r>
      <w:r>
        <w:t xml:space="preserve"> </w:t>
      </w:r>
      <w:r>
        <w:t xml:space="preserve">“</w:t>
      </w:r>
      <w:r>
        <w:t xml:space="preserve">ADB (2026, April — Vietnam Outlook)</w:t>
      </w:r>
      <w:r>
        <w:t xml:space="preserve">”</w:t>
      </w:r>
      <w:r>
        <w:t xml:space="preserve"> </w:t>
      </w:r>
      <w:r>
        <w:t xml:space="preserve">để phân biệt với ADO April 2026 cùng năm.</w:t>
      </w:r>
    </w:p>
    <w:p>
      <w:pPr>
        <w:numPr>
          <w:ilvl w:val="0"/>
          <w:numId w:val="1001"/>
        </w:numPr>
        <w:pStyle w:val="Compact"/>
      </w:pPr>
      <w:r>
        <w:rPr>
          <w:bCs/>
          <w:b/>
        </w:rPr>
        <w:t xml:space="preserve">Trích dẫn IFC Blueprint (v2.5)</w:t>
      </w:r>
      <w:r>
        <w:t xml:space="preserve">: dùng dạng</w:t>
      </w:r>
      <w:r>
        <w:t xml:space="preserve"> </w:t>
      </w:r>
      <w:r>
        <w:t xml:space="preserve">“</w:t>
      </w:r>
      <w:r>
        <w:t xml:space="preserve">IFC (n.d. — PSD Blueprint)</w:t>
      </w:r>
      <w:r>
        <w:t xml:space="preserve">”</w:t>
      </w:r>
      <w:r>
        <w:t xml:space="preserve"> </w:t>
      </w:r>
      <w:r>
        <w:t xml:space="preserve">hoặc</w:t>
      </w:r>
      <w:r>
        <w:t xml:space="preserve"> </w:t>
      </w:r>
      <w:r>
        <w:t xml:space="preserve">“</w:t>
      </w:r>
      <w:r>
        <w:t xml:space="preserve">IFC (Private Sector Development Blueprint)</w:t>
      </w:r>
      <w:r>
        <w:t xml:space="preserve">”</w:t>
      </w:r>
      <w:r>
        <w:t xml:space="preserve"> </w:t>
      </w:r>
      <w:r>
        <w:t xml:space="preserve">cho rõ.</w:t>
      </w:r>
    </w:p>
    <w:p>
      <w:pPr>
        <w:numPr>
          <w:ilvl w:val="0"/>
          <w:numId w:val="1001"/>
        </w:numPr>
        <w:pStyle w:val="Compact"/>
      </w:pPr>
      <w:r>
        <w:rPr>
          <w:bCs/>
          <w:b/>
        </w:rPr>
        <w:t xml:space="preserve">Trích dẫn WB FY26 classification (v2.5)</w:t>
      </w:r>
      <w:r>
        <w:t xml:space="preserve">: dùng dạng</w:t>
      </w:r>
      <w:r>
        <w:t xml:space="preserve"> </w:t>
      </w:r>
      <w:r>
        <w:t xml:space="preserve">“</w:t>
      </w:r>
      <w:r>
        <w:t xml:space="preserve">World Bank (2025 — FY26)</w:t>
      </w:r>
      <w:r>
        <w:t xml:space="preserve">”</w:t>
      </w:r>
      <w:r>
        <w:t xml:space="preserve"> </w:t>
      </w:r>
      <w:r>
        <w:t xml:space="preserve">để phân biệt với các tài liệu World Bank khác cùng năm.</w:t>
      </w:r>
    </w:p>
    <w:p>
      <w:pPr>
        <w:numPr>
          <w:ilvl w:val="0"/>
          <w:numId w:val="1001"/>
        </w:numPr>
        <w:pStyle w:val="Compact"/>
      </w:pPr>
      <w:r>
        <w:rPr>
          <w:bCs/>
          <w:b/>
        </w:rPr>
        <w:t xml:space="preserve">Trích dẫn WB WBES indicators Vietnamese (v2.5)</w:t>
      </w:r>
      <w:r>
        <w:t xml:space="preserve">: dùng dạng</w:t>
      </w:r>
      <w:r>
        <w:t xml:space="preserve"> </w:t>
      </w:r>
      <w:r>
        <w:t xml:space="preserve">“</w:t>
      </w:r>
      <w:r>
        <w:t xml:space="preserve">World Bank (n.d. — Vietnamese Indicators Summary)</w:t>
      </w:r>
      <w:r>
        <w:t xml:space="preserve">”</w:t>
      </w:r>
      <w:r>
        <w:t xml:space="preserve">.</w:t>
      </w:r>
    </w:p>
    <w:p>
      <w:pPr>
        <w:numPr>
          <w:ilvl w:val="0"/>
          <w:numId w:val="1001"/>
        </w:numPr>
        <w:pStyle w:val="Compact"/>
      </w:pPr>
      <w:r>
        <w:rPr>
          <w:bCs/>
          <w:b/>
        </w:rPr>
        <w:t xml:space="preserve">Trích dẫn academic GSJ papers (v2.3)</w:t>
      </w:r>
      <w:r>
        <w:t xml:space="preserve">:</w:t>
      </w:r>
      <w:r>
        <w:t xml:space="preserve"> </w:t>
      </w:r>
      <w:r>
        <w:t xml:space="preserve">“</w:t>
      </w:r>
      <w:r>
        <w:t xml:space="preserve">Xu (2024)</w:t>
      </w:r>
      <w:r>
        <w:t xml:space="preserve">”</w:t>
      </w:r>
      <w:r>
        <w:t xml:space="preserve"> </w:t>
      </w:r>
      <w:r>
        <w:t xml:space="preserve">và</w:t>
      </w:r>
      <w:r>
        <w:t xml:space="preserve"> </w:t>
      </w:r>
      <w:r>
        <w:t xml:space="preserve">“</w:t>
      </w:r>
      <w:r>
        <w:t xml:space="preserve">Kafouros et al. (2023)</w:t>
      </w:r>
      <w:r>
        <w:t xml:space="preserve">”</w:t>
      </w:r>
      <w:r>
        <w:t xml:space="preserve">.</w:t>
      </w:r>
    </w:p>
    <w:p>
      <w:pPr>
        <w:numPr>
          <w:ilvl w:val="0"/>
          <w:numId w:val="1001"/>
        </w:numPr>
        <w:pStyle w:val="Compact"/>
      </w:pPr>
      <w:r>
        <w:rPr>
          <w:bCs/>
          <w:b/>
        </w:rPr>
        <w:t xml:space="preserve">Trích dẫn JIBS editorials (v2.4)</w:t>
      </w:r>
      <w:r>
        <w:t xml:space="preserve">:</w:t>
      </w:r>
      <w:r>
        <w:t xml:space="preserve"> </w:t>
      </w:r>
      <w:r>
        <w:t xml:space="preserve">“</w:t>
      </w:r>
      <w:r>
        <w:t xml:space="preserve">Bello &amp; Kostova (2012)</w:t>
      </w:r>
      <w:r>
        <w:t xml:space="preserve">”</w:t>
      </w:r>
      <w:r>
        <w:t xml:space="preserve"> </w:t>
      </w:r>
      <w:r>
        <w:t xml:space="preserve">và</w:t>
      </w:r>
      <w:r>
        <w:t xml:space="preserve"> </w:t>
      </w:r>
      <w:r>
        <w:t xml:space="preserve">“</w:t>
      </w:r>
      <w:r>
        <w:t xml:space="preserve">Meyer et al. (2017)</w:t>
      </w:r>
      <w:r>
        <w:t xml:space="preserve">”</w:t>
      </w:r>
      <w:r>
        <w:t xml:space="preserve">.</w:t>
      </w:r>
    </w:p>
    <w:p>
      <w:pPr>
        <w:numPr>
          <w:ilvl w:val="0"/>
          <w:numId w:val="1001"/>
        </w:numPr>
        <w:pStyle w:val="Compact"/>
      </w:pPr>
      <w:r>
        <w:rPr>
          <w:bCs/>
          <w:b/>
        </w:rPr>
        <w:t xml:space="preserve">Trích dẫn Section P — Data360 Atlas (v2.6)</w:t>
      </w:r>
      <w:r>
        <w:t xml:space="preserve">:</w:t>
      </w:r>
    </w:p>
    <w:p>
      <w:pPr>
        <w:numPr>
          <w:ilvl w:val="1"/>
          <w:numId w:val="1002"/>
        </w:numPr>
        <w:pStyle w:val="Compact"/>
      </w:pPr>
      <w:r>
        <w:t xml:space="preserve">Internet access story:</w:t>
      </w:r>
      <w:r>
        <w:t xml:space="preserve"> </w:t>
      </w:r>
      <w:r>
        <w:t xml:space="preserve">“</w:t>
      </w:r>
      <w:r>
        <w:t xml:space="preserve">Pirlea &amp; Corso (2026)</w:t>
      </w:r>
      <w:r>
        <w:t xml:space="preserve">”</w:t>
      </w:r>
    </w:p>
    <w:p>
      <w:pPr>
        <w:numPr>
          <w:ilvl w:val="1"/>
          <w:numId w:val="1002"/>
        </w:numPr>
        <w:pStyle w:val="Compact"/>
      </w:pPr>
      <w:r>
        <w:t xml:space="preserve">AI inequality story:</w:t>
      </w:r>
      <w:r>
        <w:t xml:space="preserve"> </w:t>
      </w:r>
      <w:r>
        <w:t xml:space="preserve">“</w:t>
      </w:r>
      <w:r>
        <w:t xml:space="preserve">Mahler, Wang &amp; Weber (2026)</w:t>
      </w:r>
      <w:r>
        <w:t xml:space="preserve">”</w:t>
      </w:r>
    </w:p>
    <w:p>
      <w:pPr>
        <w:numPr>
          <w:ilvl w:val="1"/>
          <w:numId w:val="1002"/>
        </w:numPr>
        <w:pStyle w:val="Compact"/>
      </w:pPr>
      <w:r>
        <w:t xml:space="preserve">Atlas overview/statistics:</w:t>
      </w:r>
      <w:r>
        <w:t xml:space="preserve"> </w:t>
      </w:r>
      <w:r>
        <w:t xml:space="preserve">“</w:t>
      </w:r>
      <w:r>
        <w:t xml:space="preserve">Pirlea et al. (2026 — Atlas)</w:t>
      </w:r>
      <w:r>
        <w:t xml:space="preserve">”</w:t>
      </w:r>
    </w:p>
    <w:p>
      <w:pPr>
        <w:numPr>
          <w:ilvl w:val="1"/>
          <w:numId w:val="1002"/>
        </w:numPr>
        <w:pStyle w:val="Compact"/>
      </w:pPr>
      <w:r>
        <w:t xml:space="preserve">Commodity markets blog:</w:t>
      </w:r>
      <w:r>
        <w:t xml:space="preserve"> </w:t>
      </w:r>
      <w:r>
        <w:t xml:space="preserve">“</w:t>
      </w:r>
      <w:r>
        <w:t xml:space="preserve">Agnolucci, Kenworthy &amp; Kose (2026)</w:t>
      </w:r>
      <w:r>
        <w:t xml:space="preserve">”</w:t>
      </w:r>
    </w:p>
    <w:p>
      <w:pPr>
        <w:numPr>
          <w:ilvl w:val="1"/>
          <w:numId w:val="1002"/>
        </w:numPr>
        <w:pStyle w:val="Compact"/>
      </w:pPr>
      <w:r>
        <w:t xml:space="preserve">AI financial supervision G20:</w:t>
      </w:r>
      <w:r>
        <w:t xml:space="preserve"> </w:t>
      </w:r>
      <w:r>
        <w:t xml:space="preserve">“</w:t>
      </w:r>
      <w:r>
        <w:t xml:space="preserve">Boeddu et al. (2025)</w:t>
      </w:r>
      <w:r>
        <w:t xml:space="preserve">”</w:t>
      </w:r>
    </w:p>
    <w:p>
      <w:pPr>
        <w:numPr>
          <w:ilvl w:val="0"/>
          <w:numId w:val="1001"/>
        </w:numPr>
        <w:pStyle w:val="Compact"/>
      </w:pPr>
      <w:r>
        <w:rPr>
          <w:bCs/>
          <w:b/>
        </w:rPr>
        <w:t xml:space="preserve">Trích dẫn classical theory (v2.4)</w:t>
      </w:r>
      <w:r>
        <w:t xml:space="preserve">:</w:t>
      </w:r>
      <w:r>
        <w:t xml:space="preserve"> </w:t>
      </w:r>
      <w:r>
        <w:t xml:space="preserve">“</w:t>
      </w:r>
      <w:r>
        <w:t xml:space="preserve">Dunning (1988)</w:t>
      </w:r>
      <w:r>
        <w:t xml:space="preserve">”</w:t>
      </w:r>
      <w:r>
        <w:t xml:space="preserve">,</w:t>
      </w:r>
      <w:r>
        <w:t xml:space="preserve"> </w:t>
      </w:r>
      <w:r>
        <w:t xml:space="preserve">“</w:t>
      </w:r>
      <w:r>
        <w:t xml:space="preserve">Williamson (2000)</w:t>
      </w:r>
      <w:r>
        <w:t xml:space="preserve">”</w:t>
      </w:r>
      <w:r>
        <w:t xml:space="preserve">,</w:t>
      </w:r>
      <w:r>
        <w:t xml:space="preserve"> </w:t>
      </w:r>
      <w:r>
        <w:t xml:space="preserve">“</w:t>
      </w:r>
      <w:r>
        <w:t xml:space="preserve">Aguinis, Hill &amp; Bailey (2019)</w:t>
      </w:r>
      <w:r>
        <w:t xml:space="preserve">”</w:t>
      </w:r>
      <w:r>
        <w:t xml:space="preserve">.</w:t>
      </w:r>
    </w:p>
    <w:p>
      <w:pPr>
        <w:numPr>
          <w:ilvl w:val="0"/>
          <w:numId w:val="1001"/>
        </w:numPr>
        <w:pStyle w:val="Compact"/>
      </w:pPr>
      <w:r>
        <w:rPr>
          <w:bCs/>
          <w:b/>
        </w:rPr>
        <w:t xml:space="preserve">Trích dẫn Section Q — Singapore ecosystem (v2.7)</w:t>
      </w:r>
      <w:r>
        <w:t xml:space="preserve">:</w:t>
      </w:r>
    </w:p>
    <w:p>
      <w:pPr>
        <w:numPr>
          <w:ilvl w:val="1"/>
          <w:numId w:val="1003"/>
        </w:numPr>
        <w:pStyle w:val="Compact"/>
      </w:pPr>
      <w:r>
        <w:t xml:space="preserve">SWITCH 2025:</w:t>
      </w:r>
      <w:r>
        <w:t xml:space="preserve"> </w:t>
      </w:r>
      <w:r>
        <w:t xml:space="preserve">“</w:t>
      </w:r>
      <w:r>
        <w:t xml:space="preserve">Enterprise Singapore (2025)</w:t>
      </w:r>
      <w:r>
        <w:t xml:space="preserve">”</w:t>
      </w:r>
    </w:p>
    <w:p>
      <w:pPr>
        <w:numPr>
          <w:ilvl w:val="1"/>
          <w:numId w:val="1003"/>
        </w:numPr>
        <w:pStyle w:val="Compact"/>
      </w:pPr>
      <w:r>
        <w:t xml:space="preserve">Digital government rankings:</w:t>
      </w:r>
      <w:r>
        <w:t xml:space="preserve"> </w:t>
      </w:r>
      <w:r>
        <w:t xml:space="preserve">“</w:t>
      </w:r>
      <w:r>
        <w:t xml:space="preserve">GovTech Singapore (2024)</w:t>
      </w:r>
      <w:r>
        <w:t xml:space="preserve">”</w:t>
      </w:r>
    </w:p>
    <w:p>
      <w:pPr>
        <w:numPr>
          <w:ilvl w:val="1"/>
          <w:numId w:val="1003"/>
        </w:numPr>
        <w:pStyle w:val="Compact"/>
      </w:pPr>
      <w:r>
        <w:t xml:space="preserve">ATxSG summit:</w:t>
      </w:r>
      <w:r>
        <w:t xml:space="preserve"> </w:t>
      </w:r>
      <w:r>
        <w:t xml:space="preserve">“</w:t>
      </w:r>
      <w:r>
        <w:t xml:space="preserve">IMDA (2025)</w:t>
      </w:r>
      <w:r>
        <w:t xml:space="preserve">”</w:t>
      </w:r>
    </w:p>
    <w:p>
      <w:pPr>
        <w:numPr>
          <w:ilvl w:val="1"/>
          <w:numId w:val="1003"/>
        </w:numPr>
        <w:pStyle w:val="Compact"/>
      </w:pPr>
      <w:r>
        <w:t xml:space="preserve">Startup ecosystem rank:</w:t>
      </w:r>
      <w:r>
        <w:t xml:space="preserve"> </w:t>
      </w:r>
      <w:r>
        <w:t xml:space="preserve">“</w:t>
      </w:r>
      <w:r>
        <w:t xml:space="preserve">StartupBlink (2025)</w:t>
      </w:r>
      <w:r>
        <w:t xml:space="preserve">”</w:t>
      </w:r>
      <w:r>
        <w:t xml:space="preserve"> </w:t>
      </w:r>
      <w:r>
        <w:t xml:space="preserve">or</w:t>
      </w:r>
      <w:r>
        <w:t xml:space="preserve"> </w:t>
      </w:r>
      <w:r>
        <w:t xml:space="preserve">“</w:t>
      </w:r>
      <w:r>
        <w:t xml:space="preserve">StartupBlink (2026)</w:t>
      </w:r>
      <w:r>
        <w:t xml:space="preserve">”</w:t>
      </w:r>
      <w:r>
        <w:t xml:space="preserve"> </w:t>
      </w:r>
      <w:r>
        <w:t xml:space="preserve">(specify year for disambiguation)</w:t>
      </w:r>
    </w:p>
    <w:p>
      <w:pPr>
        <w:numPr>
          <w:ilvl w:val="0"/>
          <w:numId w:val="1001"/>
        </w:numPr>
        <w:pStyle w:val="Compact"/>
      </w:pPr>
      <w:r>
        <w:rPr>
          <w:bCs/>
          <w:b/>
        </w:rPr>
        <w:t xml:space="preserve">Trích dẫn Section T — WB Working Papers 2015/2026 (v2.9)</w:t>
      </w:r>
      <w:r>
        <w:t xml:space="preserve">:</w:t>
      </w:r>
    </w:p>
    <w:p>
      <w:pPr>
        <w:numPr>
          <w:ilvl w:val="1"/>
          <w:numId w:val="1004"/>
        </w:numPr>
        <w:pStyle w:val="Compact"/>
      </w:pPr>
      <w:r>
        <w:t xml:space="preserve">Vietnam firm LP + export demand:</w:t>
      </w:r>
      <w:r>
        <w:t xml:space="preserve"> </w:t>
      </w:r>
      <w:r>
        <w:t xml:space="preserve">“</w:t>
      </w:r>
      <w:r>
        <w:t xml:space="preserve">Agarwal, Barattieri, &amp; Mattoo (2026)</w:t>
      </w:r>
      <w:r>
        <w:t xml:space="preserve">”</w:t>
      </w:r>
      <w:r>
        <w:t xml:space="preserve"> </w:t>
      </w:r>
      <w:r>
        <w:t xml:space="preserve">[WPS11352]</w:t>
      </w:r>
    </w:p>
    <w:p>
      <w:pPr>
        <w:numPr>
          <w:ilvl w:val="1"/>
          <w:numId w:val="1004"/>
        </w:numPr>
        <w:pStyle w:val="Compact"/>
      </w:pPr>
      <w:r>
        <w:t xml:space="preserve">Vietnam trade liberalization → productivity:</w:t>
      </w:r>
      <w:r>
        <w:t xml:space="preserve"> </w:t>
      </w:r>
      <w:r>
        <w:t xml:space="preserve">“</w:t>
      </w:r>
      <w:r>
        <w:t xml:space="preserve">Barattieri, Mattoo, &amp; Signoret (2026)</w:t>
      </w:r>
      <w:r>
        <w:t xml:space="preserve">”</w:t>
      </w:r>
      <w:r>
        <w:t xml:space="preserve"> </w:t>
      </w:r>
      <w:r>
        <w:t xml:space="preserve">[WPS11354]</w:t>
      </w:r>
    </w:p>
    <w:p>
      <w:pPr>
        <w:numPr>
          <w:ilvl w:val="1"/>
          <w:numId w:val="1004"/>
        </w:numPr>
        <w:pStyle w:val="Compact"/>
      </w:pPr>
      <w:r>
        <w:t xml:space="preserve">Electricity &amp; firm performance 183 countries:</w:t>
      </w:r>
      <w:r>
        <w:t xml:space="preserve"> </w:t>
      </w:r>
      <w:r>
        <w:t xml:space="preserve">“</w:t>
      </w:r>
      <w:r>
        <w:t xml:space="preserve">Geginat &amp; Ramalho (2015)</w:t>
      </w:r>
      <w:r>
        <w:t xml:space="preserve">”</w:t>
      </w:r>
      <w:r>
        <w:t xml:space="preserve"> </w:t>
      </w:r>
      <w:r>
        <w:t xml:space="preserve">[WPS7460]</w:t>
      </w:r>
    </w:p>
    <w:p>
      <w:pPr>
        <w:numPr>
          <w:ilvl w:val="1"/>
          <w:numId w:val="1004"/>
        </w:numPr>
        <w:pStyle w:val="Compact"/>
      </w:pPr>
      <w:r>
        <w:t xml:space="preserve">Institutional capacity framework:</w:t>
      </w:r>
      <w:r>
        <w:t xml:space="preserve"> </w:t>
      </w:r>
      <w:r>
        <w:t xml:space="preserve">“</w:t>
      </w:r>
      <w:r>
        <w:t xml:space="preserve">Kim, Kumar, Ramalho, &amp; Russell (2026)</w:t>
      </w:r>
      <w:r>
        <w:t xml:space="preserve">”</w:t>
      </w:r>
      <w:r>
        <w:t xml:space="preserve"> </w:t>
      </w:r>
      <w:r>
        <w:t xml:space="preserve">[WPS11279]</w:t>
      </w:r>
    </w:p>
    <w:p>
      <w:pPr>
        <w:numPr>
          <w:ilvl w:val="1"/>
          <w:numId w:val="1004"/>
        </w:numPr>
        <w:pStyle w:val="Compact"/>
      </w:pPr>
      <w:r>
        <w:t xml:space="preserve">World slowest development 75 years:</w:t>
      </w:r>
      <w:r>
        <w:t xml:space="preserve"> </w:t>
      </w:r>
      <w:r>
        <w:rPr>
          <w:bCs/>
          <w:b/>
        </w:rPr>
        <w:t xml:space="preserve">“</w:t>
      </w:r>
      <w:r>
        <w:rPr>
          <w:bCs/>
          <w:b/>
        </w:rPr>
        <w:t xml:space="preserve">Mahler et al. (2026b)</w:t>
      </w:r>
      <w:r>
        <w:rPr>
          <w:bCs/>
          <w:b/>
        </w:rPr>
        <w:t xml:space="preserve">”</w:t>
      </w:r>
      <w:r>
        <w:t xml:space="preserve"> </w:t>
      </w:r>
      <w:r>
        <w:t xml:space="preserve">[WPS11350] —</w:t>
      </w:r>
      <w:r>
        <w:t xml:space="preserve"> </w:t>
      </w:r>
      <w:r>
        <w:rPr>
          <w:bCs/>
          <w:b/>
        </w:rPr>
        <w:t xml:space="preserve">b suffix</w:t>
      </w:r>
      <w:r>
        <w:t xml:space="preserve"> </w:t>
      </w:r>
      <w:r>
        <w:t xml:space="preserve">phân biệt với</w:t>
      </w:r>
      <w:r>
        <w:t xml:space="preserve"> </w:t>
      </w:r>
      <w:r>
        <w:t xml:space="preserve">“</w:t>
      </w:r>
      <w:r>
        <w:t xml:space="preserve">Mahler, Wang &amp; Weber (2026)</w:t>
      </w:r>
      <w:r>
        <w:t xml:space="preserve">”</w:t>
      </w:r>
      <w:r>
        <w:t xml:space="preserve"> </w:t>
      </w:r>
      <w:r>
        <w:t xml:space="preserve">[Atlas chapter, Section P]</w:t>
      </w:r>
    </w:p>
    <w:bookmarkEnd w:id="41"/>
    <w:bookmarkStart w:id="42" w:name="khi-nộp-bản-cuối"/>
    <w:p>
      <w:pPr>
        <w:pStyle w:val="Heading3"/>
      </w:pPr>
      <w:r>
        <w:t xml:space="preserve">Khi nộp bản cuối</w:t>
      </w:r>
    </w:p>
    <w:p>
      <w:pPr>
        <w:numPr>
          <w:ilvl w:val="0"/>
          <w:numId w:val="1005"/>
        </w:numPr>
        <w:pStyle w:val="Compact"/>
      </w:pPr>
      <w:r>
        <w:t xml:space="preserve">Xác minh DOI trên Crossref hoặc trang publisher cho các entry không quen thuộc.</w:t>
      </w:r>
    </w:p>
    <w:p>
      <w:pPr>
        <w:numPr>
          <w:ilvl w:val="0"/>
          <w:numId w:val="1005"/>
        </w:numPr>
        <w:pStyle w:val="Compact"/>
      </w:pPr>
      <w:r>
        <w:t xml:space="preserve">Kiểm tra nhất quán italic và punctuation theo APA 7th.</w:t>
      </w:r>
    </w:p>
    <w:p>
      <w:pPr>
        <w:numPr>
          <w:ilvl w:val="0"/>
          <w:numId w:val="1005"/>
        </w:numPr>
        <w:pStyle w:val="Compact"/>
      </w:pPr>
      <w:r>
        <w:t xml:space="preserve">Yang et al. (2025) JBR: hiện chưa verify được volume/pages — cần kiểm tra Crossref hoặc loại bỏ.</w:t>
      </w:r>
    </w:p>
    <w:p>
      <w:pPr>
        <w:numPr>
          <w:ilvl w:val="0"/>
          <w:numId w:val="1005"/>
        </w:numPr>
        <w:pStyle w:val="Compact"/>
      </w:pPr>
      <w:r>
        <w:rPr>
          <w:bCs/>
          <w:b/>
        </w:rPr>
        <w:t xml:space="preserve">Verified DOIs (v2.3)</w:t>
      </w:r>
      <w:r>
        <w:t xml:space="preserve">: Xu (2024) GSJ DOI 10.1002/gsj.1510; Kafouros et al. (2023) GSJ DOI 10.1002/gsj.1479; Mardones-Ibáñez (2025) SAGE Open DOI 10.1177/21582440251335079; Al-Najjar et al. (2025) IJHRM DOI 10.1080/09585192.2025.2550765.</w:t>
      </w:r>
    </w:p>
    <w:p>
      <w:pPr>
        <w:numPr>
          <w:ilvl w:val="0"/>
          <w:numId w:val="1005"/>
        </w:numPr>
        <w:pStyle w:val="Compact"/>
      </w:pPr>
      <w:r>
        <w:rPr>
          <w:bCs/>
          <w:b/>
        </w:rPr>
        <w:t xml:space="preserve">Verified DOIs (v2.4)</w:t>
      </w:r>
      <w:r>
        <w:t xml:space="preserve">: Bello &amp; Kostova (2012) JIBS DOI 10.1057/jibs.2012.14; Meyer et al. (2017) JIBS DOI 10.1057/s41267-017-0078-8; Dunning (1988) JIBS DOI 10.1057/palgrave.jibs.8490372; Williamson (2000) JEL DOI 10.1257/jel.38.3.595; Aguinis, Hill &amp; Bailey (2019) ORM DOI 10.1177/1094428119836485; Malerba &amp; Orsenigo (1995) Cambridge JoE DOI 10.1093/oxfordjournals.cje.a035301.</w:t>
      </w:r>
    </w:p>
    <w:p>
      <w:pPr>
        <w:numPr>
          <w:ilvl w:val="0"/>
          <w:numId w:val="1005"/>
        </w:numPr>
        <w:pStyle w:val="Compact"/>
      </w:pPr>
      <w:r>
        <w:rPr>
          <w:bCs/>
          <w:b/>
        </w:rPr>
        <w:t xml:space="preserve">Cần verify (v2.5)</w:t>
      </w:r>
      <w:r>
        <w:t xml:space="preserve">: (a)</w:t>
      </w:r>
      <w:r>
        <w:t xml:space="preserve"> </w:t>
      </w:r>
      <w:r>
        <w:rPr>
          <w:bCs/>
          <w:b/>
        </w:rPr>
        <w:t xml:space="preserve">IFC PSD Blueprint</w:t>
      </w:r>
      <w:r>
        <w:t xml:space="preserve"> </w:t>
      </w:r>
      <w:r>
        <w:t xml:space="preserve">— năm xuất bản chính xác trên trang IFC ifc.org; (b)</w:t>
      </w:r>
      <w:r>
        <w:t xml:space="preserve"> </w:t>
      </w:r>
      <w:r>
        <w:rPr>
          <w:bCs/>
          <w:b/>
        </w:rPr>
        <w:t xml:space="preserve">ADB Vietnam Outlook 2026</w:t>
      </w:r>
      <w:r>
        <w:t xml:space="preserve"> </w:t>
      </w:r>
      <w:r>
        <w:t xml:space="preserve">— pagination khi cite số liệu cụ thể (FDI $2.4B, GDP 7.2%/7.0%); (c)</w:t>
      </w:r>
      <w:r>
        <w:t xml:space="preserve"> </w:t>
      </w:r>
      <w:r>
        <w:rPr>
          <w:bCs/>
          <w:b/>
        </w:rPr>
        <w:t xml:space="preserve">WB Vietnamese WBES Indicators Summary</w:t>
      </w:r>
      <w:r>
        <w:t xml:space="preserve"> </w:t>
      </w:r>
      <w:r>
        <w:t xml:space="preserve">— năm xuất bản chính thức (hiện n.d.); (d)</w:t>
      </w:r>
      <w:r>
        <w:t xml:space="preserve"> </w:t>
      </w:r>
      <w:r>
        <w:rPr>
          <w:bCs/>
          <w:b/>
        </w:rPr>
        <w:t xml:space="preserve">WB FY26 Country Classification</w:t>
      </w:r>
      <w:r>
        <w:t xml:space="preserve"> </w:t>
      </w:r>
      <w:r>
        <w:t xml:space="preserve">— số đầy đủ + ngày publication trên datatopics.worldbank.org.</w:t>
      </w:r>
    </w:p>
    <w:bookmarkEnd w:id="42"/>
    <w:bookmarkStart w:id="43" w:name="audit-warnings-status-cập-nhật-v2.5"/>
    <w:p>
      <w:pPr>
        <w:pStyle w:val="Heading3"/>
      </w:pPr>
      <w:r>
        <w:t xml:space="preserve">Audit warnings status (cập nhật v2.5)</w:t>
      </w:r>
    </w:p>
    <w:p>
      <w:pPr>
        <w:pStyle w:val="FirstParagraph"/>
      </w:pPr>
      <w:r>
        <w:rPr>
          <w:bCs/>
          <w:b/>
        </w:rPr>
        <w:t xml:space="preserve">✓ RESOLVED v2.5 — WARNING 1 (Lin &amp; Beamish 2005)</w:t>
      </w:r>
      <w:r>
        <w:t xml:space="preserve">: Hoàn tất file 14 v3.8 (commit e2f8415, 07/05/2026) — replace 4 occurrences với Lu &amp; Beamish (2004).</w:t>
      </w:r>
    </w:p>
    <w:p>
      <w:pPr>
        <w:pStyle w:val="BodyText"/>
      </w:pPr>
      <w:r>
        <w:rPr>
          <w:bCs/>
          <w:b/>
        </w:rPr>
        <w:t xml:space="preserve">WARNING 2 — Gambacorta et al. (2025) BIS</w:t>
      </w:r>
      <w:r>
        <w:t xml:space="preserve"> </w:t>
      </w:r>
      <w:r>
        <w:rPr>
          <w:iCs/>
          <w:i/>
        </w:rPr>
        <w:t xml:space="preserve">(pending)</w:t>
      </w:r>
      <w:r>
        <w:t xml:space="preserve">: Citation trong file 16 §7.3.1 (3)(e) sectoral AI exposure cần verify trên trang BIS Working Papers. Có thể trong reference list của ADB ADO Special Topic April 2026 — NCS cần cross-check.</w:t>
      </w:r>
    </w:p>
    <w:p>
      <w:pPr>
        <w:pStyle w:val="BodyText"/>
      </w:pPr>
      <w:r>
        <w:rPr>
          <w:bCs/>
          <w:b/>
        </w:rPr>
        <w:t xml:space="preserve">WARNING 3 — WTO (2025)</w:t>
      </w:r>
      <w:r>
        <w:t xml:space="preserve"> </w:t>
      </w:r>
      <w:r>
        <w:rPr>
          <w:iCs/>
          <w:i/>
        </w:rPr>
        <w:t xml:space="preserve">(pending)</w:t>
      </w:r>
      <w:r>
        <w:t xml:space="preserve">: Citation trong file 16 §7.3.1 (3)(e) AI-enabling goods exports cần verify với specific publication name (e.g.,</w:t>
      </w:r>
      <w:r>
        <w:t xml:space="preserve"> </w:t>
      </w:r>
      <w:r>
        <w:rPr>
          <w:iCs/>
          <w:i/>
        </w:rPr>
        <w:t xml:space="preserve">World Trade Statistics 2025</w:t>
      </w:r>
      <w:r>
        <w:t xml:space="preserve"> </w:t>
      </w:r>
      <w:r>
        <w:t xml:space="preserve">hoặc</w:t>
      </w:r>
      <w:r>
        <w:t xml:space="preserve"> </w:t>
      </w:r>
      <w:r>
        <w:rPr>
          <w:iCs/>
          <w:i/>
        </w:rPr>
        <w:t xml:space="preserve">World Trade Report</w:t>
      </w:r>
      <w:r>
        <w:t xml:space="preserve">).</w:t>
      </w:r>
    </w:p>
    <w:p>
      <w:pPr>
        <w:pStyle w:val="BodyText"/>
      </w:pPr>
      <w:r>
        <w:rPr>
          <w:bCs/>
          <w:b/>
        </w:rPr>
        <w:t xml:space="preserve">Pending v2.5 verifications</w:t>
      </w:r>
      <w:r>
        <w:t xml:space="preserve">: (a) IFC PSD Blueprint year; (b) WB Vietnamese WBES Indicators year; (c) ADB Vietnam Outlook 2026 pagination.</w:t>
      </w:r>
    </w:p>
    <w:p>
      <w:r>
        <w:pict>
          <v:rect style="width:0;height:1.5pt" o:hralign="center" o:hrstd="t" o:hr="t"/>
        </w:pict>
      </w:r>
    </w:p>
    <w:bookmarkEnd w:id="43"/>
    <w:bookmarkEnd w:id="44"/>
    <w:bookmarkStart w:id="45" w:name="Xe55fb46d00de6bf9b95fd9179798e6474c95835"/>
    <w:p>
      <w:pPr>
        <w:pStyle w:val="Heading2"/>
      </w:pPr>
      <w:r>
        <w:t xml:space="preserve">Nghiên cứu sơ cấp bổ sung — P6 Meta-Analysis (v2.8, 12/05/2026)</w:t>
      </w:r>
    </w:p>
    <w:p>
      <w:pPr>
        <w:pStyle w:val="BlockText"/>
      </w:pPr>
      <w:r>
        <w:t xml:space="preserve">62 nghiên cứu sơ cấp chưa có trong refs v2.6, bổ sung từ MetaEssentials Excel (k=110, K=200, r=0.07, I²=87.88%). Xem full list + effect sizes tại</w:t>
      </w:r>
      <w:r>
        <w:t xml:space="preserve"> </w:t>
      </w:r>
      <w:r>
        <w:rPr>
          <w:rStyle w:val="VerbatimChar"/>
        </w:rPr>
        <w:t xml:space="preserve">p6/p6_primary_studies_apa7.md</w:t>
      </w:r>
      <w:r>
        <w:t xml:space="preserve">.</w:t>
      </w:r>
      <w:r>
        <w:t xml:space="preserve"> </w:t>
      </w:r>
      <w:r>
        <w:t xml:space="preserve">CrossRef batch: 0/62 confirmed via live API (network blocked); DOIs from training knowledge — verify before final submission.</w:t>
      </w:r>
      <w:r>
        <w:t xml:space="preserve"> </w:t>
      </w:r>
      <w:r>
        <w:t xml:space="preserve">Bổ sung từ CrossRef API lookup. Xem full entries với effect sizes tại</w:t>
      </w:r>
      <w:r>
        <w:t xml:space="preserve"> </w:t>
      </w:r>
      <w:r>
        <w:rPr>
          <w:rStyle w:val="VerbatimChar"/>
        </w:rPr>
        <w:t xml:space="preserve">p6/p6_primary_studies_apa7.md</w:t>
      </w:r>
      <w:r>
        <w:t xml:space="preserve">.</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bookmarkEnd w:id="45"/>
    <w:bookmarkStart w:id="46" w:name="Xd7e1b1ec1596ddfb204126def34f28100020172"/>
    <w:p>
      <w:pPr>
        <w:pStyle w:val="Heading2"/>
      </w:pPr>
      <w:r>
        <w:t xml:space="preserve">Nghiên cứu bổ sung — P6 Meta-Analysis (từ scite.ai/Consensus, tháng 5/2026)</w:t>
      </w:r>
    </w:p>
    <w:p>
      <w:pPr>
        <w:pStyle w:val="FirstParagraph"/>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Cuervo-Cazurra, A., Ciravegna, L., Melgarejo, M., &amp; Lopez, L. (2017).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https://doi.org/10.1016/j.jwb.2017.11.002</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Phan, A. T., Nguyen, V. S., Dinh, V. T., Thai, V. H., Nguyen, C. T., Dao, Q. T., Nguyen, V. L., &amp; Do, T. H. (2021). The moderating effects of the manager’s characteristics and financial obstacles on internationalization and firm performance in Poland.</w:t>
      </w:r>
      <w:r>
        <w:t xml:space="preserve"> </w:t>
      </w:r>
      <w:r>
        <w:rPr>
          <w:iCs/>
          <w:i/>
        </w:rPr>
        <w:t xml:space="preserve">PalArch’s Journal of Archaeology of Egypt/Egyptology, 18</w:t>
      </w:r>
      <w:r>
        <w:t xml:space="preserve">(4), 4063–4081.</w:t>
      </w:r>
      <w:r>
        <w:t xml:space="preserve"> </w:t>
      </w:r>
      <w:r>
        <w:t xml:space="preserve">Phan, A. T., Do, T. H., &amp; Phan, M. T. (2020). The moderating effects of managers’ experience and gender on internationalization and firm performance of manufacturing enterprises in Turkey.</w:t>
      </w:r>
      <w:r>
        <w:t xml:space="preserve"> </w:t>
      </w:r>
      <w:r>
        <w:rPr>
          <w:iCs/>
          <w:i/>
        </w:rPr>
        <w:t xml:space="preserve">Accounting, 6</w:t>
      </w:r>
      <w:r>
        <w:t xml:space="preserve">(7), 1209–1216. https://doi.org/10.5267/j.ac.2020.9.006</w:t>
      </w:r>
      <w:r>
        <w:t xml:space="preserve"> </w:t>
      </w:r>
      <w:r>
        <w:t xml:space="preserve">Phan, A. T., Tran, T. M., &amp; Lu, T. M. (2020).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bookmarkEnd w:id="46"/>
    <w:bookmarkStart w:id="47" w:name="Xac3469c407a51be8ab1bf290cd8561897ea439c"/>
    <w:p>
      <w:pPr>
        <w:pStyle w:val="Heading2"/>
      </w:pPr>
      <w:r>
        <w:t xml:space="preserve">S. Tổng quan hệ thống 2026 — Bổ sung v2.9 (12/05/2026)</w:t>
      </w:r>
    </w:p>
    <w:p>
      <w:pPr>
        <w:pStyle w:val="BlockText"/>
      </w:pPr>
      <w:r>
        <w:t xml:space="preserve">Tài liệu bổ sung được xác định qua tổng quan hệ thống WoS/Scopus mở rộng đến tháng 1/2026. Chỉ gồm các entries CHƯA có trong các phần trên. Nghiên cứu sơ cấp ứng viên (có r): xem</w:t>
      </w:r>
      <w:r>
        <w:t xml:space="preserve"> </w:t>
      </w:r>
      <w:r>
        <w:rPr>
          <w:rStyle w:val="VerbatimChar"/>
        </w:rPr>
        <w:t xml:space="preserve">p6/p6_primary_studies_apa7.md</w:t>
      </w:r>
      <w:r>
        <w:t xml:space="preserve"> </w:t>
      </w:r>
      <w:r>
        <w:t xml:space="preserve">Phần 2.</w:t>
      </w:r>
    </w:p>
    <w:p>
      <w:pPr>
        <w:pStyle w:val="FirstParagraph"/>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bookmarkEnd w:id="47"/>
    <w:bookmarkStart w:id="48" w:name="X15e01107f5fc0341333f11988493a9502b35627"/>
    <w:p>
      <w:pPr>
        <w:pStyle w:val="Heading2"/>
      </w:pPr>
      <w:r>
        <w:t xml:space="preserve">U. P6 Meta-Analysis + Supplementary References v3.0 (17/05/2026)</w:t>
      </w:r>
    </w:p>
    <w:p>
      <w:pPr>
        <w:pStyle w:val="BlockText"/>
      </w:pPr>
      <w:r>
        <w:t xml:space="preserve">Các entries dưới đây được xác định qua APA7 audit toàn diện cho P6 manuscript, CD1, và CD2. Chỉ gồm entries CHƯA có dạng formatted đầy đủ trong các phần trên.</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Chodorow-Reich, G., Gopinath, G., Mishra, P., &amp; Narayanan, A. (2020). Cash and the economy: Evidence from India’s demonetization.</w:t>
      </w:r>
      <w:r>
        <w:t xml:space="preserve"> </w:t>
      </w:r>
      <w:r>
        <w:rPr>
          <w:iCs/>
          <w:i/>
        </w:rPr>
        <w:t xml:space="preserve">Quarterly Journal of Economics, 135</w:t>
      </w:r>
      <w:r>
        <w:t xml:space="preserve">(1), 57–103. https://doi.org/10.1093/qje/qjz027</w:t>
      </w:r>
      <w:r>
        <w:t xml:space="preserve"> </w:t>
      </w: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Williamson, O. E. (1985).</w:t>
      </w:r>
      <w:r>
        <w:t xml:space="preserve"> </w:t>
      </w:r>
      <w:r>
        <w:rPr>
          <w:iCs/>
          <w:i/>
        </w:rPr>
        <w:t xml:space="preserve">The economic institutions of capitalism</w:t>
      </w:r>
      <w:r>
        <w:t xml:space="preserve">. Free Press.</w:t>
      </w:r>
    </w:p>
    <w:p>
      <w:r>
        <w:pict>
          <v:rect style="width:0;height:1.5pt" o:hralign="center" o:hrstd="t" o:hr="t"/>
        </w:pict>
      </w:r>
    </w:p>
    <w:bookmarkEnd w:id="48"/>
    <w:bookmarkStart w:id="52" w:name="X5cd8a8b98c5930790a226592bde9793b6e0e242"/>
    <w:p>
      <w:pPr>
        <w:pStyle w:val="Heading2"/>
      </w:pPr>
      <w:r>
        <w:t xml:space="preserve">V. Citation Audit v3.1 (20/05/2026) — Entries chưa có trong refs</w:t>
      </w:r>
    </w:p>
    <w:p>
      <w:pPr>
        <w:pStyle w:val="BlockText"/>
      </w:pPr>
      <w:r>
        <w:t xml:space="preserve">Các entries dưới đây được thêm từ audit format-apa7 toàn bộ 5 chương luận án (20/05/2026). Gồm: 3 self-citations mới (P6 IBR, P7 JIBS, P8 World Dev), 8 entries từ</w:t>
      </w:r>
      <w:r>
        <w:t xml:space="preserve"> </w:t>
      </w:r>
      <w:r>
        <w:t xml:space="preserve">“</w:t>
      </w:r>
      <w:r>
        <w:t xml:space="preserve">Giữ nguyên</w:t>
      </w:r>
      <w:r>
        <w:t xml:space="preserve">”</w:t>
      </w:r>
      <w:r>
        <w:t xml:space="preserve"> </w:t>
      </w:r>
      <w:r>
        <w:t xml:space="preserve">blocks chưa được expand, và 2 auxiliary entries.</w:t>
      </w:r>
    </w:p>
    <w:bookmarkStart w:id="49" w:name="X041759103c7c799db9799d6bd71834307a428c8"/>
    <w:p>
      <w:pPr>
        <w:pStyle w:val="Heading3"/>
      </w:pPr>
      <w:r>
        <w:t xml:space="preserve">Công trình của tác giả luận án — Cập nhật Section M</w:t>
      </w:r>
    </w:p>
    <w:bookmarkEnd w:id="49"/>
    <w:bookmarkStart w:id="50" w:name="X03425170776bdc22411e9d4a6a3935a0796568a"/>
    <w:p>
      <w:pPr>
        <w:pStyle w:val="Heading3"/>
      </w:pPr>
      <w:r>
        <w:t xml:space="preserve">Phương pháp kinh tế lượng + Meta-analysis (Section J mở rộng)</w:t>
      </w:r>
    </w:p>
    <w:p>
      <w:pPr>
        <w:pStyle w:val="FirstParagraph"/>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r>
        <w:t xml:space="preserve"> </w:t>
      </w:r>
      <w:r>
        <w:rPr>
          <w:iCs/>
          <w:i/>
        </w:rPr>
        <w:t xml:space="preserve">(Lần xuất bản đầu — khác với Borenstein et al. 2021 [2nd ed.].)</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bookmarkEnd w:id="50"/>
    <w:bookmarkStart w:id="51" w:name="lý-thuyết-bổ-sung-section-ac-mở-rộng"/>
    <w:p>
      <w:pPr>
        <w:pStyle w:val="Heading3"/>
      </w:pPr>
      <w:r>
        <w:t xml:space="preserve">Lý thuyết — bổ sung (Section A/C mở rộng)</w:t>
      </w:r>
    </w:p>
    <w:p>
      <w:pPr>
        <w:pStyle w:val="FirstParagraph"/>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r>
        <w:t xml:space="preserve"> </w:t>
      </w: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bookmarkEnd w:id="51"/>
    <w:bookmarkEnd w:id="52"/>
    <w:bookmarkStart w:id="53" w:name="Xfcfd97cb98ed3f4d1b64063e814942600c7ed0b"/>
    <w:p>
      <w:pPr>
        <w:pStyle w:val="Heading2"/>
      </w:pPr>
      <w:r>
        <w:t xml:space="preserve">Bổ sung v2.8 — Thao tác hóa FSTS trực tiếp/gián tiếp (Chương 3 §3.3.2, CĐ1 §2.2)</w:t>
      </w:r>
    </w:p>
    <w:p>
      <w:pPr>
        <w:pStyle w:val="FirstParagraph"/>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 https://doi.org/10.1007/s11187-008-9156-4</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 https://doi.org/10.1057/palgrave.jibs.8490011</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bookmarkEnd w:id="53"/>
    <w:bookmarkStart w:id="54" w:name="X0594839b64ebc9cf139e008fd0f7618dc7babbe"/>
    <w:p>
      <w:pPr>
        <w:pStyle w:val="Heading2"/>
      </w:pPr>
      <w:r>
        <w:t xml:space="preserve">Bổ sung v2.9 — Phân biệt cấu trúc số (Chương 2 §2.2.5, Chương 3 §3.3.3)</w:t>
      </w:r>
    </w:p>
    <w:p>
      <w:pPr>
        <w:pStyle w:val="FirstParagraph"/>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bookmarkEnd w:id="54"/>
    <w:bookmarkStart w:id="55" w:name="X2a802b4844355bd9a9addebe0f180df0342c84e"/>
    <w:p>
      <w:pPr>
        <w:pStyle w:val="Heading2"/>
      </w:pPr>
      <w:r>
        <w:t xml:space="preserve">Bổ sung v3.0 — Hoàn thiện entry còn thiếu (rà soát Inspector 06/2026)</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Bloom, N., Genakos, C., Sadun, R., &amp; Van Reenen, J. (2012). Management practices across firms and countries.</w:t>
      </w:r>
      <w:r>
        <w:t xml:space="preserve"> </w:t>
      </w:r>
      <w:r>
        <w:rPr>
          <w:iCs/>
          <w:i/>
        </w:rPr>
        <w:t xml:space="preserve">Academy of Management Perspectives, 26</w:t>
      </w:r>
      <w:r>
        <w:t xml:space="preserve">(1), 12–33. https://doi.org/10.5465/amp.2011.0077</w:t>
      </w:r>
    </w:p>
    <w:p>
      <w:pPr>
        <w:pStyle w:val="BodyText"/>
      </w:pPr>
      <w:r>
        <w:t xml:space="preserve">Cameron, A. C., &amp; Trivedi, P. K. (2005).</w:t>
      </w:r>
      <w:r>
        <w:t xml:space="preserve"> </w:t>
      </w:r>
      <w:r>
        <w:rPr>
          <w:iCs/>
          <w:i/>
        </w:rPr>
        <w:t xml:space="preserve">Microeconometrics: Methods and applications</w:t>
      </w:r>
      <w:r>
        <w:t xml:space="preserve">. Cambridge University Press.</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Grant, R. M. (1987). Multinationality and performance among British manufacturing companies.</w:t>
      </w:r>
      <w:r>
        <w:t xml:space="preserve"> </w:t>
      </w:r>
      <w:r>
        <w:rPr>
          <w:iCs/>
          <w:i/>
        </w:rPr>
        <w:t xml:space="preserve">Journal of International Business Studies, 18</w:t>
      </w:r>
      <w:r>
        <w:t xml:space="preserve">(3), 79–89. https://doi.org/10.1057/palgrave.jibs.8490413</w:t>
      </w:r>
    </w:p>
    <w:p>
      <w:pPr>
        <w:pStyle w:val="BodyText"/>
      </w:pPr>
      <w:r>
        <w:t xml:space="preserve">Kim, W. C., Hwang, P., &amp; Burgers, W. P. (1989). Global diversification strategy and corporate profit performance.</w:t>
      </w:r>
      <w:r>
        <w:t xml:space="preserve"> </w:t>
      </w:r>
      <w:r>
        <w:rPr>
          <w:iCs/>
          <w:i/>
        </w:rPr>
        <w:t xml:space="preserve">Strategic Management Journal, 10</w:t>
      </w:r>
      <w:r>
        <w:t xml:space="preserve">(1), 45–57. https://doi.org/10.1002/smj.4250100105</w:t>
      </w:r>
    </w:p>
    <w:p>
      <w:pPr>
        <w:pStyle w:val="BodyText"/>
      </w:pPr>
      <w:r>
        <w:t xml:space="preserve">Sambharya, R. B. (1996). Foreign experience of top management teams and international diversification strategies of U.S. multinational corporations.</w:t>
      </w:r>
      <w:r>
        <w:t xml:space="preserve"> </w:t>
      </w:r>
      <w:r>
        <w:rPr>
          <w:iCs/>
          <w:i/>
        </w:rPr>
        <w:t xml:space="preserve">Strategic Management Journal, 17</w:t>
      </w:r>
      <w:r>
        <w:t xml:space="preserve">(9), 739–746. https://doi.org/10.1002/(SICI)1097-0266(199611)17:9&lt;739::AID-SMJ846&gt;3.0.CO;2-K</w:t>
      </w:r>
    </w:p>
    <w:p>
      <w:pPr>
        <w:pStyle w:val="BodyText"/>
      </w:pPr>
      <w:r>
        <w:t xml:space="preserve">Sasabuchi, S. (1980). A test of a multivariate normal mean with composite hypotheses determined by linear inequalities.</w:t>
      </w:r>
      <w:r>
        <w:t xml:space="preserve"> </w:t>
      </w:r>
      <w:r>
        <w:rPr>
          <w:iCs/>
          <w:i/>
        </w:rPr>
        <w:t xml:space="preserve">Biometrika, 67</w:t>
      </w:r>
      <w:r>
        <w:t xml:space="preserve">(2), 429–439. https://doi.org/10.1093/biomet/67.2.429</w:t>
      </w:r>
    </w:p>
    <w:p>
      <w:pPr>
        <w:pStyle w:val="BodyText"/>
      </w:pPr>
      <w:r>
        <w:t xml:space="preserve">Scott, W. R. (1995).</w:t>
      </w:r>
      <w:r>
        <w:t xml:space="preserve"> </w:t>
      </w:r>
      <w:r>
        <w:rPr>
          <w:iCs/>
          <w:i/>
        </w:rPr>
        <w:t xml:space="preserve">Institutions and organizations</w:t>
      </w:r>
      <w:r>
        <w:t xml:space="preserve">. Sage.</w:t>
      </w:r>
    </w:p>
    <w:bookmarkEnd w:id="55"/>
    <w:bookmarkEnd w:id="5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2026-06-12T18:27:45Z</dcterms:created>
  <dcterms:modified xsi:type="dcterms:W3CDTF">2026-06-12T18:27:45Z</dcterms:modified>
</cp:coreProperties>
</file>

<file path=docProps/custom.xml><?xml version="1.0" encoding="utf-8"?>
<Properties xmlns="http://schemas.openxmlformats.org/officeDocument/2006/custom-properties" xmlns:vt="http://schemas.openxmlformats.org/officeDocument/2006/docPropsVTypes"/>
</file>