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các mô hình lồng nhau của P7 trên khung 50 nền (Chương 4, §4.6)</w:t>
      </w:r>
      <w:r>
        <w:t xml:space="preserve"> </w:t>
      </w:r>
      <w:r>
        <w:t xml:space="preserve">- Bảng 4.5. Điểm uốn theo nhóm ICRV, khung 50 nền (Chương 4, §4.6)</w:t>
      </w:r>
      <w:r>
        <w:t xml:space="preserve"> </w:t>
      </w:r>
      <w:r>
        <w:t xml:space="preserve">- Bảng 4.6. Điểm uốn theo đợt khảo sát, Ấn Độ (Chương 4, §4.8)</w:t>
      </w:r>
      <w:r>
        <w:t xml:space="preserve"> </w:t>
      </w:r>
      <w:r>
        <w:t xml:space="preserve">- Bảng 4.7.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(91.982 doanh nghiệp, 103 cặp nền kinh tế và năm, 14 mốc khảo sát)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49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 sang 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49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 17 nước châu Á mới nổi</w:t>
            </w:r>
          </w:p>
        </w:tc>
        <w:tc>
          <w:tcPr/>
          <w:p>
            <w:pPr>
              <w:pStyle w:val="Compact"/>
              <w:jc w:val="left"/>
            </w:pPr>
            <w:r>
              <w:t xml:space="preserve">Mở rộng từ 17 →</w:t>
            </w:r>
            <w:r>
              <w:t xml:space="preserve"> </w:t>
            </w:r>
            <w:r>
              <w:rPr>
                <w:bCs/>
                <w:b/>
              </w:rPr>
              <w:t xml:space="preserve">49 nước</w:t>
            </w:r>
            <w:r>
              <w:t xml:space="preserve"> </w:t>
            </w:r>
            <w:r>
              <w:t xml:space="preserve">với 91.982 doanh nghiệp · 103 cặp nền kinh tế và năm</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nền; mẫu phân tích 91.982 / 49 nền), trong khi các thống kê mô tả chi tiết của Chuyên đề 1 phủ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mẫu phân tích hồi quy chính N = 91.982 từ 49 nền kinh tế).</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w:t>
            </w:r>
          </w:p>
        </w:tc>
      </w:tr>
      <w:tr>
        <w:tc>
          <w:tcPr/>
          <w:p>
            <w:pPr>
              <w:pStyle w:val="Compact"/>
              <w:jc w:val="left"/>
            </w:pPr>
            <w:r>
              <w:t xml:space="preserve">Nhóm III —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phân tích hồi quy chính của P7 là N = 91.982 (mô hình baseline) và giảm dần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49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 đa quốc gia (điểm uốn P7, FIP P8, ngưỡng P9), các mô hình này được chạy trên bộ dữ liệu sẵn có tại thời điểm ước lượng; như mọi mô hình hồi quy có quy mô mẫu khác nhau theo tính sẵn có của biến, việc đưa Nhật Bản và các đợt khảo sát mới nhất vào ước lượng là vòng tái ước lượng tiếp theo (xem §5.5).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w:t>
            </w:r>
          </w:p>
        </w:tc>
        <w:tc>
          <w:tcPr/>
          <w:p>
            <w:pPr>
              <w:pStyle w:val="Compact"/>
              <w:jc w:val="right"/>
            </w:pPr>
            <w:r>
              <w:t xml:space="preserve">—</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849196"/>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849196"/>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t>p</m:t>
            </m:r>
            <m:r>
              <m:t>h</m:t>
            </m:r>
            <m:r>
              <m:t>â</m:t>
            </m:r>
            <m:r>
              <m:t>n</m:t>
            </m:r>
            <m:r>
              <m:t>t</m:t>
            </m:r>
            <m:r>
              <m:t>í</m:t>
            </m:r>
            <m:r>
              <m:t>c</m:t>
            </m:r>
            <m:r>
              <m:t>h</m:t>
            </m:r>
          </m:sub>
        </m:sSub>
        <m:r>
          <m:rPr>
            <m:sty m:val="p"/>
          </m:rPr>
          <m:t>=</m:t>
        </m:r>
        <m:r>
          <m:t>8.941</m:t>
        </m:r>
      </m:oMath>
      <w:r>
        <w:t xml:space="preserve">; 2022 BEE,</w:t>
      </w:r>
      <w:r>
        <w:t xml:space="preserve"> </w:t>
      </w:r>
      <m:oMath>
        <m:sSub>
          <m:e>
            <m:r>
              <m:t>N</m:t>
            </m:r>
          </m:e>
          <m:sub>
            <m:r>
              <m:t>p</m:t>
            </m:r>
            <m:r>
              <m:t>h</m:t>
            </m:r>
            <m:r>
              <m:t>â</m:t>
            </m:r>
            <m:r>
              <m:t>n</m:t>
            </m:r>
            <m:r>
              <m:t>t</m:t>
            </m:r>
            <m:r>
              <m:t>í</m:t>
            </m:r>
            <m:r>
              <m:t>c</m:t>
            </m:r>
            <m:r>
              <m:t>h</m:t>
            </m:r>
          </m:sub>
        </m:sSub>
        <m:r>
          <m:rPr>
            <m:sty m:val="p"/>
          </m:rPr>
          <m:t>=</m:t>
        </m:r>
        <m:r>
          <m:t>9.300</m:t>
        </m:r>
      </m:oMath>
      <w:r>
        <w:t xml:space="preserve">; 2025 BREADY,</w:t>
      </w:r>
      <w:r>
        <w:t xml:space="preserve"> </w:t>
      </w:r>
      <m:oMath>
        <m:sSub>
          <m:e>
            <m:r>
              <m:t>N</m:t>
            </m:r>
          </m:e>
          <m:sub>
            <m:r>
              <m:t>p</m:t>
            </m:r>
            <m:r>
              <m:t>h</m:t>
            </m:r>
            <m:r>
              <m:t>â</m:t>
            </m:r>
            <m:r>
              <m:t>n</m:t>
            </m:r>
            <m:r>
              <m:t>t</m:t>
            </m:r>
            <m:r>
              <m:t>í</m:t>
            </m:r>
            <m:r>
              <m:t>c</m:t>
            </m:r>
            <m:r>
              <m:t>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w:t>
            </w:r>
          </w:p>
        </w:tc>
        <w:tc>
          <w:tcPr/>
          <w:p>
            <w:pPr>
              <w:pStyle w:val="Compact"/>
              <w:jc w:val="left"/>
            </w:pPr>
            <w:r>
              <w:t xml:space="preserve">—</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w:t>
            </w:r>
          </w:p>
        </w:tc>
        <w:tc>
          <w:tcPr/>
          <w:p>
            <w:pPr>
              <w:pStyle w:val="Compact"/>
              <w:jc w:val="left"/>
            </w:pPr>
            <w:r>
              <w:t xml:space="preserve">—</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chữ U ngược với TP = 39,3–46,2%, TCI là biến điều tiết dương có ý nghĩa.</w:t>
      </w:r>
    </w:p>
    <w:p>
      <w:pPr>
        <w:numPr>
          <w:ilvl w:val="0"/>
          <w:numId w:val="1017"/>
        </w:numPr>
      </w:pPr>
      <w:r>
        <w:rPr>
          <w:bCs/>
          <w:b/>
        </w:rPr>
        <w:t xml:space="preserve">P4</w:t>
      </w:r>
      <w:r>
        <w:t xml:space="preserve">: phân tích Singapore (Advanced Innovation), xác nhận chữ U ngược với TP ≈ 88,6% (rộng CI), DAI khuếch đại tại mức FSTS cao.</w:t>
      </w:r>
    </w:p>
    <w:p>
      <w:pPr>
        <w:numPr>
          <w:ilvl w:val="0"/>
          <w:numId w:val="1017"/>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3"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p>
      <w:r>
        <w:br w:type="page"/>
      </w:r>
    </w:p>
    <w:bookmarkEnd w:id="232"/>
    <w:bookmarkEnd w:id="233"/>
    <w:bookmarkStart w:id="244"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4"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4"/>
    <w:bookmarkStart w:id="235"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5"/>
    <w:bookmarkStart w:id="236"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6"/>
    <w:bookmarkStart w:id="237"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7"/>
    <w:bookmarkStart w:id="238"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8"/>
    <w:bookmarkStart w:id="239"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39"/>
    <w:bookmarkStart w:id="240"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0"/>
    <w:bookmarkStart w:id="241"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1"/>
    <w:bookmarkStart w:id="242"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2"/>
    <w:bookmarkStart w:id="243"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3"/>
    <w:bookmarkEnd w:id="2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2026-06-12T18:27:49Z</dcterms:created>
  <dcterms:modified xsi:type="dcterms:W3CDTF">2026-06-12T18:27:49Z</dcterms:modified>
</cp:coreProperties>
</file>

<file path=docProps/custom.xml><?xml version="1.0" encoding="utf-8"?>
<Properties xmlns="http://schemas.openxmlformats.org/officeDocument/2006/custom-properties" xmlns:vt="http://schemas.openxmlformats.org/officeDocument/2006/docPropsVTypes"/>
</file>