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1-giới-thiệu"/>
    <w:p>
      <w:pPr>
        <w:pStyle w:val="Heading1"/>
      </w:pPr>
      <w:r>
        <w:t xml:space="preserve">CHƯƠNG 1: GIỚI THIỆU</w:t>
      </w:r>
    </w:p>
    <w:bookmarkEnd w:id="20"/>
    <w:p>
      <w:r>
        <w:pict>
          <v:rect style="width:0;height:1.5pt" o:hralign="center" o:hrstd="t" o:hr="t"/>
        </w:pict>
      </w:r>
    </w:p>
    <w:bookmarkStart w:id="22"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21"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21"/>
    <w:bookmarkEnd w:id="22"/>
    <w:bookmarkStart w:id="23"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23"/>
    <w:bookmarkStart w:id="24"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(các biến điều tiết) chính giải thích heterogeneity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4"/>
    <w:bookmarkStart w:id="25"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25"/>
    <w:bookmarkStart w:id="29" w:name="đối-tượng-và-phạm-vi-nghiên-cứu"/>
    <w:p>
      <w:pPr>
        <w:pStyle w:val="Heading2"/>
      </w:pPr>
      <w:r>
        <w:t xml:space="preserve">1.5 Đối tượng và phạm vi nghiên cứu</w:t>
      </w:r>
    </w:p>
    <w:bookmarkStart w:id="26"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6"/>
    <w:bookmarkStart w:id="27"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gồm Singapore, Hong Kong SAR, Hàn Quốc, Đài Loan, Israel và Nhật Bản;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7"/>
    <w:bookmarkStart w:id="28"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văn liệu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88.869 doanh nghiệp với 103 cặp nền kinh tế-năm.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8"/>
    <w:bookmarkEnd w:id="29"/>
    <w:bookmarkStart w:id="3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chữ U ngược và xác định điểm điểm uốn trong quan hệ phi tuyến (Haans et al., 2016; Lind &amp; Mehlum, 2010).</w:t>
      </w:r>
    </w:p>
    <w:p>
      <w:r>
        <w:pict>
          <v:rect style="width:0;height:1.5pt" o:hralign="center" o:hrstd="t" o:hr="t"/>
        </w:pict>
      </w:r>
    </w:p>
    <w:bookmarkEnd w:id="30"/>
    <w:bookmarkStart w:id="31"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1"/>
    <w:bookmarkStart w:id="35" w:name="ý-nghĩa-khoa-học-và-thực-tiễn"/>
    <w:p>
      <w:pPr>
        <w:pStyle w:val="Heading2"/>
      </w:pPr>
      <w:r>
        <w:t xml:space="preserve">1.8 Ý nghĩa khoa học và thực tiễn</w:t>
      </w:r>
    </w:p>
    <w:bookmarkStart w:id="32"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32"/>
    <w:bookmarkStart w:id="3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văn liệu kinh doanh quốc tế.</w:t>
      </w:r>
    </w:p>
    <w:bookmarkEnd w:id="33"/>
    <w:bookmarkStart w:id="3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bookmarkEnd w:id="34"/>
    <w:bookmarkEnd w:id="35"/>
    <w:bookmarkStart w:id="3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50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88.869 doanh nghiệp từ 50 nền kinh tế châu Á và Thái Bình Dương, mở rộng đáng kể từ pool 17 nước (nghiên cứu thành phần P1) là nền tảng hiện có lớn nhất trước khi luận án hoàn thành. Điểm mới thứ năm là kiểm định temporal stability của điểm uốn trong quan hệ I–P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văn liệu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36"/>
    <w:bookmarkStart w:id="3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level-shifter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§4.3), DAI Tier-1+2 khuếch đại đường cong I–P.</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I–P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bookmarkEnd w:id="3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2026-06-12T18:27:43Z</dcterms:created>
  <dcterms:modified xsi:type="dcterms:W3CDTF">2026-06-12T18:27:43Z</dcterms:modified>
</cp:coreProperties>
</file>

<file path=docProps/custom.xml><?xml version="1.0" encoding="utf-8"?>
<Properties xmlns="http://schemas.openxmlformats.org/officeDocument/2006/custom-properties" xmlns:vt="http://schemas.openxmlformats.org/officeDocument/2006/docPropsVTypes"/>
</file>