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8" w:name="Xff8cef3ed320f9cf6f3fba4ff558bfed3af19c6"/>
    <w:p>
      <w:pPr>
        <w:pStyle w:val="Heading2"/>
      </w:pPr>
      <w:r>
        <w:t xml:space="preserve">5.1 Bàn luận kết quả theo khung lý thuyết CDCM</w:t>
      </w:r>
    </w:p>
    <w:bookmarkStart w:id="22"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 ,001).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biến điều tiết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I–P.</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7"/>
    <w:bookmarkEnd w:id="28"/>
    <w:bookmarkStart w:id="32" w:name="so-sánh-với-nghiên-cứu-trước-đây"/>
    <w:p>
      <w:pPr>
        <w:pStyle w:val="Heading2"/>
      </w:pPr>
      <w:r>
        <w:t xml:space="preserve">5.2 So sánh với nghiên cứu trước đây</w:t>
      </w:r>
    </w:p>
    <w:bookmarkStart w:id="29"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29"/>
    <w:bookmarkStart w:id="30"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điểm uốn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§4.3) đến TP ≈ 39,7% (Việt Nam pooled, Lower-mid Transition),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S-curve hay chữ U ngược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văn liệu Lu và Beamish.</w:t>
      </w:r>
    </w:p>
    <w:bookmarkEnd w:id="30"/>
    <w:bookmarkStart w:id="31"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văn liệu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31"/>
    <w:bookmarkEnd w:id="32"/>
    <w:bookmarkStart w:id="36" w:name="đóng-góp-lý-thuyết"/>
    <w:p>
      <w:pPr>
        <w:pStyle w:val="Heading2"/>
      </w:pPr>
      <w:r>
        <w:t xml:space="preserve">5.3 Đóng góp lý thuyết</w:t>
      </w:r>
    </w:p>
    <w:bookmarkStart w:id="33"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I–P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tương tác chế độ-yếu (FSTS×Weak = −0,523, p = ,087, biên ý nghĩa)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văn liệu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3"/>
    <w:bookmarkStart w:id="34"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văn liệu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điểm uốn để thoát khỏi.</w:t>
      </w:r>
    </w:p>
    <w:bookmarkEnd w:id="34"/>
    <w:bookmarkStart w:id="35"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văn liệu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điểm uốn I–P</w:t>
      </w:r>
      <w:r>
        <w:t xml:space="preserve"> </w:t>
      </w:r>
      <w:r>
        <w:rPr>
          <w:bCs/>
          <w:b/>
        </w:rPr>
        <w:t xml:space="preserve">giảm</w:t>
      </w:r>
      <w:r>
        <w:t xml:space="preserve"> </w:t>
      </w:r>
      <w:r>
        <w:t xml:space="preserve">đơn điệu theo chiều ba vùng: chữ U ngược định hình ở vùng giữa gradient (Nhóm IV, 43,0%), duỗi thẳng ở biên trên,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35"/>
    <w:bookmarkEnd w:id="36"/>
    <w:bookmarkStart w:id="41" w:name="đề-xuất-chính-sách-và-quản-trị"/>
    <w:p>
      <w:pPr>
        <w:pStyle w:val="Heading2"/>
      </w:pPr>
      <w:r>
        <w:t xml:space="preserve">5.4 Đề xuất chính sách và quản trị</w:t>
      </w:r>
    </w:p>
    <w:bookmarkStart w:id="37"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7"/>
    <w:bookmarkStart w:id="38"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8"/>
    <w:bookmarkStart w:id="39"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39"/>
    <w:bookmarkStart w:id="40"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40"/>
    <w:bookmarkEnd w:id="41"/>
    <w:bookmarkStart w:id="46" w:name="hạn-chế-và-hướng-nghiên-cứu-tương-lai"/>
    <w:p>
      <w:pPr>
        <w:pStyle w:val="Heading2"/>
      </w:pPr>
      <w:r>
        <w:t xml:space="preserve">5.5 Hạn chế và hướng nghiên cứu tương lai</w:t>
      </w:r>
    </w:p>
    <w:bookmarkStart w:id="42"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42"/>
    <w:bookmarkStart w:id="43"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mẫu phụ xuất khẩu N = 84,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3"/>
    <w:bookmarkStart w:id="44"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4"/>
    <w:bookmarkStart w:id="45"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I–P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r>
        <w:pict>
          <v:rect style="width:0;height:1.5pt" o:hralign="center" o:hrstd="t" o:hr="t"/>
        </w:pict>
      </w:r>
    </w:p>
    <w:bookmarkEnd w:id="45"/>
    <w:bookmarkEnd w:id="46"/>
    <w:bookmarkStart w:id="51" w:name="kết-luận"/>
    <w:p>
      <w:pPr>
        <w:pStyle w:val="Heading2"/>
      </w:pPr>
      <w:r>
        <w:t xml:space="preserve">5.6 Kết luận</w:t>
      </w:r>
    </w:p>
    <w:bookmarkStart w:id="47"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phân tích Việt Nam (Lower-mid Transition), xác nhận chữ U ngược với TP = 39,3–46,2%, TCI là biến điều tiết dương có ý nghĩa.</w:t>
      </w:r>
    </w:p>
    <w:p>
      <w:pPr>
        <w:numPr>
          <w:ilvl w:val="0"/>
          <w:numId w:val="1002"/>
        </w:numPr>
      </w:pPr>
      <w:r>
        <w:rPr>
          <w:bCs/>
          <w:b/>
        </w:rPr>
        <w:t xml:space="preserve">P4</w:t>
      </w:r>
      <w:r>
        <w:t xml:space="preserve">: phân tích Singapore (Advanced Innovation), xác nhận chữ U ngược với TP ≈ 88,6% (rộng CI), DAI khuếch đại tại mức FSTS cao.</w:t>
      </w:r>
    </w:p>
    <w:p>
      <w:pPr>
        <w:numPr>
          <w:ilvl w:val="0"/>
          <w:numId w:val="1002"/>
        </w:numPr>
      </w:pPr>
      <w:r>
        <w:rPr>
          <w:bCs/>
          <w:b/>
        </w:rPr>
        <w:t xml:space="preserve">P5</w:t>
      </w:r>
      <w:r>
        <w:t xml:space="preserve">: phân tích Trung Quốc 2012–2024 (Upper-middle), xác nhận chữ U ngược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w:t>
      </w:r>
      <w:r>
        <w:t xml:space="preserve"> </w:t>
      </w:r>
      <m:oMath>
        <m:r>
          <m:t>N</m:t>
        </m:r>
        <m:r>
          <m:rPr>
            <m:sty m:val="p"/>
          </m:rPr>
          <m:t>=</m:t>
        </m:r>
        <m:r>
          <m:t>81.022</m:t>
        </m:r>
      </m:oMath>
      <w:r>
        <w:t xml:space="preserve"> </w:t>
      </w:r>
      <w:r>
        <w:t xml:space="preserve">(M2) /</w:t>
      </w:r>
      <w:r>
        <w:t xml:space="preserve"> </w:t>
      </w:r>
      <m:oMath>
        <m:r>
          <m:t>N</m:t>
        </m:r>
        <m:r>
          <m:rPr>
            <m:sty m:val="p"/>
          </m:rPr>
          <m:t>=</m:t>
        </m:r>
        <m:r>
          <m:t>79.080</m:t>
        </m:r>
      </m:oMath>
      <w:r>
        <w:t xml:space="preserve"> </w:t>
      </w:r>
      <w:r>
        <w:t xml:space="preserve">(M5 với kiểm soát đầy đủ), điểm uốn = 43,6–51,5% (headline M5 =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w:t>
      </w:r>
      <w:r>
        <w:t xml:space="preserve"> </w:t>
      </w:r>
      <m:oMath>
        <m:sSub>
          <m:e>
            <m:r>
              <m:t>p</m:t>
            </m:r>
          </m:e>
          <m:sub>
            <m:r>
              <m:rPr>
                <m:nor/>
                <m:sty m:val="p"/>
              </m:rPr>
              <m:t>LM</m:t>
            </m:r>
          </m:sub>
        </m:sSub>
        <m:r>
          <m:rPr>
            <m:sty m:val="p"/>
          </m:rPr>
          <m:t>&lt;</m:t>
        </m:r>
        <m:r>
          <m:rPr>
            <m:sty m:val="p"/>
          </m:rPr>
          <m:t>,</m:t>
        </m:r>
        <m:r>
          <m:t>001</m:t>
        </m:r>
      </m:oMath>
      <w:r>
        <w:t xml:space="preserve">), gần tuyến tính ở Nhóm I, tan rã ở Nhóm V–VI; TCI nâng mặt bằng (+0,141,</w:t>
      </w:r>
      <w:r>
        <w:t xml:space="preserve"> </w:t>
      </w:r>
      <m:oMath>
        <m:r>
          <m:t>p</m:t>
        </m:r>
        <m:r>
          <m:rPr>
            <m:sty m:val="p"/>
          </m:rPr>
          <m:t>&lt;</m:t>
        </m:r>
        <m:r>
          <m:rPr>
            <m:sty m:val="p"/>
          </m:rPr>
          <m:t>,</m:t>
        </m:r>
        <m:r>
          <m:t>001</m:t>
        </m:r>
      </m:oMath>
      <w:r>
        <w:t xml:space="preserve">), DAI nâng mặt bằng (+0,201,</w:t>
      </w:r>
      <w:r>
        <w:t xml:space="preserve"> </w:t>
      </w:r>
      <m:oMath>
        <m:r>
          <m:t>p</m:t>
        </m:r>
        <m:r>
          <m:rPr>
            <m:sty m:val="p"/>
          </m:rPr>
          <m:t>&lt;</m:t>
        </m:r>
        <m:r>
          <m:rPr>
            <m:sty m:val="p"/>
          </m:rPr>
          <m:t>,</m:t>
        </m:r>
        <m:r>
          <m:t>001</m:t>
        </m:r>
      </m:oMath>
      <w:r>
        <w:t xml:space="preserve">) với tương tác đường cong cùng chiều nhưng không ý nghĩa toàn mẫu.</w:t>
      </w:r>
    </w:p>
    <w:p>
      <w:pPr>
        <w:numPr>
          <w:ilvl w:val="0"/>
          <w:numId w:val="1002"/>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điểm uốn.</w:t>
      </w:r>
    </w:p>
    <w:p>
      <w:pPr>
        <w:numPr>
          <w:ilvl w:val="0"/>
          <w:numId w:val="1002"/>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rồi 40,7% (2022) rồi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47"/>
    <w:bookmarkStart w:id="48"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48"/>
    <w:bookmarkStart w:id="49"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văn liệu về I–P bằng cách phân tách cấu trúc dị biệt và xác định ICRV như biến điều tiết có ý nghĩa; (ii) văn liệu về digital capability bằng cách làm rõ DAI là situational resource chứ không phải foundational capability; và (iii) văn liệu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49"/>
    <w:bookmarkStart w:id="50"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bookmarkEnd w:id="50"/>
    <w:bookmarkEnd w:id="5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2026-06-12T18:27:44Z</dcterms:created>
  <dcterms:modified xsi:type="dcterms:W3CDTF">2026-06-12T18:27:44Z</dcterms:modified>
</cp:coreProperties>
</file>

<file path=docProps/custom.xml><?xml version="1.0" encoding="utf-8"?>
<Properties xmlns="http://schemas.openxmlformats.org/officeDocument/2006/custom-properties" xmlns:vt="http://schemas.openxmlformats.org/officeDocument/2006/docPropsVTypes"/>
</file>