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Author details removed for blind review</w:t>
      </w:r>
    </w:p>
    <w:p>
      <w:pPr>
        <w:pStyle w:val="BodyText"/>
      </w:pPr>
      <w:r>
        <w:rPr>
          <w:iCs/>
          <w:i/>
        </w:rPr>
        <w:t xml:space="preserve">12 May 2026 — v13</w:t>
      </w:r>
    </w:p>
    <w:p>
      <w:pPr>
        <w:pStyle w:val="BodyText"/>
      </w:pPr>
      <w:r>
        <w:rPr>
          <w:iCs/>
          <w:i/>
        </w:rPr>
        <w:t xml:space="preserve">Target journal: Journal of Asia Business Studies (JABS), Emerald Publishing</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4 (Table 1 descriptives; Table 2 focal coefficient summary; Table 3 robustness panels; Table 4 turning points).</w:t>
      </w:r>
    </w:p>
    <w:p>
      <w:pPr>
        <w:pStyle w:val="BodyText"/>
      </w:pPr>
      <w:r>
        <w:rPr>
          <w:bCs/>
          <w:b/>
        </w:rPr>
        <w:t xml:space="preserve">Figures:</w:t>
      </w:r>
      <w:r>
        <w:t xml:space="preserve"> </w:t>
      </w:r>
      <w:r>
        <w:t xml:space="preserve">6 (Figure 1 conceptual model; Figures 2a–2d wave-specific FSTS curves; Figure 3 moderator marginal effects — TCI and DAI interactions with FSTS).</w:t>
      </w:r>
    </w:p>
    <w:p>
      <w:r>
        <w:pict>
          <v:rect style="width:0;height:1.5pt" o:hralign="center" o:hrstd="t" o:hr="t"/>
        </w:pict>
      </w:r>
    </w:p>
    <w:bookmarkStart w:id="20" w:name="abstract"/>
    <w:p>
      <w:pPr>
        <w:pStyle w:val="Heading2"/>
      </w:pPr>
      <w:r>
        <w:t xml:space="preserve">Abstract</w:t>
      </w:r>
    </w:p>
    <w:p>
      <w:pPr>
        <w:pStyle w:val="FirstParagraph"/>
      </w:pPr>
      <w:r>
        <w:t xml:space="preserve">Purpose — This study revisits the internationalisation–performance relationship in Vietnam across three survey waves, testing whether technological capability moderates export-intensity effects and how a Tier-1 digital indicator evolves across institutional generations.</w:t>
      </w:r>
    </w:p>
    <w:p>
      <w:pPr>
        <w:pStyle w:val="BodyText"/>
      </w:pPr>
      <w:r>
        <w:t xml:space="preserve">Design/methodology/approach — Three waves of World Bank Enterprise Survey data (Vietnam 2009, 2015, 2023; N = 2,958) are used to estimate wave-specific and pooled OLS models with HC1 robust standard errors, quadratic export-intensity terms, and capability interactions. TCI (quality certification, foreign-licensed technology) is the primary construct; a single-item website indicator (Tier-1 only) is retained as a digital-presence control.</w:t>
      </w:r>
    </w:p>
    <w:p>
      <w:pPr>
        <w:pStyle w:val="BodyText"/>
      </w:pPr>
      <w:r>
        <w:t xml:space="preserve">Findings — An inverted-U between export intensity and labour productivity holds across all three waves, with turning points clustered between 39% and 46% — a structurally durable 7-percentage-point band sustained across 14 years of institutional change. The nonlinearity is primarily a participation-margin effect: re-estimated on the exporter-only sub-sample, the quadratic term loses statistical significance (β = −0.200, p = .660), and fewer than 1% of pooled firms lie within ±5 percentage points of the turning point. TCI is positively associated with productivity in all waves (pooled β = 0.179, p &lt; .001) and moderates the I–P curvature. The website indicator follows a Tier-1 proxy-obsolescence trajectory: positive in 2009, null in 2015, and negatively interactive with export intensity in 2023.</w:t>
      </w:r>
    </w:p>
    <w:p>
      <w:pPr>
        <w:pStyle w:val="BodyText"/>
      </w:pPr>
      <w:r>
        <w:t xml:space="preserve">Originality/value — The study shows that the conventional inverted-U in zero-inflated emerging-market settings reflects a performance gap at the export-participation barrier rather than a continuous intensity-saturation curve, and demonstrates that pooled digital coefficients on a Tier-1 binary mask progressive proxy obsolescence.</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0"/>
    <w:bookmarkStart w:id="21"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 TCI_z is the within-wave standardised mean of quality certification and foreign-licensed technology. A single-item website-presence indicator (DAI_z, Tier 1 only) is retained as a baseline digital-presence control given the WBES Vietnam measurement constraint; the two share no items.</w:t>
      </w:r>
    </w:p>
    <w:p>
      <w:pPr>
        <w:pStyle w:val="BodyText"/>
      </w:pPr>
      <w:r>
        <w:t xml:space="preserve"> TCI_z is positively associated with productivity in all three waves (β = 0.215, 0.128, 0.123) and pooled (β =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fundamentally a step function across the export-participation barrier rather than a continuous within-exporter saturation curve</w:t>
      </w:r>
      <w:r>
        <w:t xml:space="preserve">: re-fitted on the exporter-only sub-sample (FSTS &gt; 0; pooled N = 669), the quadratic FSTS term loses significance (β = -0.200, p = .660); only ~1.0 % of pooled firms sit within ±5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(β = 0.175), null in 2015 (β = -0.044), and positive in 2023 (β = 0.095); the negative DAI × FSTS interaction observed only in 2023 (FSTS_c × DAI_z = -0.912, p = .043) is read as Tier-1 proxy obsolescence as website ownership diffuses to near-universal levels (49.8 % in 2023 vs 42.5 % in 2009), not as evidence on dynamic digital capability moderation.</w:t>
      </w:r>
    </w:p>
    <w:bookmarkEnd w:id="21"/>
    <w:bookmarkStart w:id="26" w:name="introduction"/>
    <w:p>
      <w:pPr>
        <w:pStyle w:val="Heading2"/>
      </w:pPr>
      <w:r>
        <w:t xml:space="preserve">1. Introduction</w:t>
      </w:r>
    </w:p>
    <w:bookmarkStart w:id="22" w:name="background-and-motivation"/>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w:t>
      </w:r>
    </w:p>
    <w:p>
      <w:pPr>
        <w:pStyle w:val="BodyText"/>
      </w:pPr>
      <w:r>
        <w:t xml:space="preserve">internationalisation should not be assumed to generate a simple linear performance premium.</w:t>
      </w:r>
      <w:r>
        <w:t xml:space="preserve"> </w:t>
      </w:r>
      <w:r>
        <w:t xml:space="preserve">Firms may gain access to larger markets, benefit from learning, and diversify revenue streams,</w:t>
      </w:r>
      <w:r>
        <w:t xml:space="preserve"> </w:t>
      </w:r>
      <w:r>
        <w:t xml:space="preserve">but they may also face rising coordination costs, information-processing burdens, and organisational strain as their foreign involvement deepens (Wright et al., 2005; Cuervo-Cazurra and</w:t>
      </w:r>
      <w:r>
        <w:t xml:space="preserve"> </w:t>
      </w:r>
      <w:r>
        <w:t xml:space="preserve">Genc, 2008; Wu et al., 2016).</w:t>
      </w:r>
      <w:r>
        <w:t xml:space="preserve"> </w:t>
      </w:r>
      <w:r>
        <w:t xml:space="preserve">This tension lies at the heart of the I–P literature. A long tradition of research has argued</w:t>
      </w:r>
      <w:r>
        <w:t xml:space="preserve"> </w:t>
      </w:r>
      <w:r>
        <w:t xml:space="preserve">that internationalisation can improve performance at lower and intermediate levels through scale,</w:t>
      </w:r>
      <w:r>
        <w:t xml:space="preserve"> </w:t>
      </w:r>
      <w:r>
        <w:t xml:space="preserve">learning, and diversification, while also generating diminishing or negative returns at higher levels</w:t>
      </w:r>
      <w:r>
        <w:t xml:space="preserve"> </w:t>
      </w:r>
      <w:r>
        <w:t xml:space="preserve">because of complexity and coordination burdens. Meta-analytic evidence strongly supports the</w:t>
      </w:r>
      <w:r>
        <w:t xml:space="preserve"> </w:t>
      </w:r>
      <w:r>
        <w:t xml:space="preserve">view that nonlinearity is a central feature of this relationship rather than an empirical anomaly</w:t>
      </w:r>
      <w:r>
        <w:t xml:space="preserve"> </w:t>
      </w:r>
      <w:r>
        <w:t xml:space="preserve">(Vernon, 1979; Lu and Beamish, 2004; Hennart, 2007; Coviello et al., 2017; Marano et al., 2016).</w:t>
      </w:r>
      <w:r>
        <w:t xml:space="preserve"> </w:t>
      </w:r>
      <w:r>
        <w:t xml:space="preserve">Digitalisation adds a further layer of complexity to this debate.</w:t>
      </w:r>
    </w:p>
    <w:p>
      <w:pPr>
        <w:pStyle w:val="BodyText"/>
      </w:pPr>
      <w:r>
        <w:t xml:space="preserve">Digital tools can reduce</w:t>
      </w:r>
    </w:p>
    <w:p>
      <w:pPr>
        <w:pStyle w:val="BodyText"/>
      </w:pPr>
      <w:r>
        <w:t xml:space="preserve">communication frictions, accelerate transactions, and support coordination across borders. Yet</w:t>
      </w:r>
      <w:r>
        <w:t xml:space="preserve"> </w:t>
      </w:r>
      <w:r>
        <w:t xml:space="preserve">those benefits do not arise automatically. Their realised value depends on whether firms possess</w:t>
      </w:r>
      <w:r>
        <w:t xml:space="preserve"> </w:t>
      </w:r>
      <w:r>
        <w:t xml:space="preserve">the organisational depth, absorptive capacity, and complementary routines needed to translate</w:t>
      </w:r>
      <w:r>
        <w:t xml:space="preserve"> </w:t>
      </w:r>
      <w:r>
        <w:t xml:space="preserve">digital adoption into productivity gains (Cohen and Levinthal, 1990; Vial, 2019; Verhoef et al.,</w:t>
      </w:r>
      <w:r>
        <w:t xml:space="preserve"> </w:t>
      </w:r>
      <w:r>
        <w:t xml:space="preserve">2021; Stallkamp and Schotter, 2021; Petricevic and Teece, 2019). For this reason, digital capability should not be treated as a universally beneficial resource whose payoff is constant across</w:t>
      </w:r>
      <w:r>
        <w:t xml:space="preserve"> </w:t>
      </w:r>
      <w:r>
        <w:t xml:space="preserve">firms and over time.</w:t>
      </w:r>
      <w:r>
        <w:t xml:space="preserve"> </w:t>
      </w:r>
      <w:r>
        <w:t xml:space="preserve">The Vietnamese setting makes this issue especially important. Because firms are embedded</w:t>
      </w:r>
      <w:r>
        <w:t xml:space="preserve"> </w:t>
      </w:r>
      <w:r>
        <w:t xml:space="preserve">in an economy undergoing capability upgrading and digital transition, both the benefits of</w:t>
      </w:r>
      <w:r>
        <w:t xml:space="preserve"> </w:t>
      </w:r>
      <w:r>
        <w:t xml:space="preserve">internationalisation and the payoff from digitalisation may vary across stages of development.</w:t>
      </w:r>
      <w:r>
        <w:t xml:space="preserve"> </w:t>
      </w:r>
      <w:r>
        <w:t xml:space="preserve">This raises a central question for the present study: does digital capability in Vietnam function</w:t>
      </w:r>
      <w:r>
        <w:t xml:space="preserve"> </w:t>
      </w:r>
      <w:r>
        <w:t xml:space="preserve">as a stable performance-enhancing asset, or does it operate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composition of the exporter cohort itself evolves across</w:t>
      </w:r>
      <w:r>
        <w:t xml:space="preserve"> </w:t>
      </w:r>
      <w:r>
        <w:t xml:space="preserve">the three waves: the share of firms reporting any positive direct-export intensity declines as</w:t>
      </w:r>
      <w:r>
        <w:t xml:space="preserve"> </w:t>
      </w:r>
      <w:r>
        <w:t xml:space="preserve">services and FDI-linked supply-chain firms enter the sample, while the average level of foundational digital adoption rises with the diffusion of websites, electronic payment systems, and</w:t>
      </w:r>
      <w:r>
        <w:t xml:space="preserve"> </w:t>
      </w:r>
      <w:r>
        <w:t xml:space="preserve">digital transaction interfaces. Reading the I–P relationship and the digital-adoption channel as</w:t>
      </w:r>
      <w:r>
        <w:t xml:space="preserve"> </w:t>
      </w:r>
      <w:r>
        <w:t xml:space="preserve">fixed structural facts across this fourteen-year window misses the fact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fundamentally driven by the participation margin — the productivity gap between firms that cross from non-exporting to any positive export intensity —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w:t>
      </w:r>
      <w:r>
        <w:t xml:space="preserve">in a transitional economy, not as a continuous saturation curve in the meta-analytic sense documented in developed-market samples. We treat this step-function structure as a headline empirical contribution rather than as an ancillary robustness probe, because it locates the productivity-relevant friction at the participation margin where institutional and capability constraints bind hardest in a transitional setting.</w:t>
      </w:r>
    </w:p>
    <w:bookmarkEnd w:id="22"/>
    <w:bookmarkStart w:id="23" w:name="research-gap"/>
    <w:p>
      <w:pPr>
        <w:pStyle w:val="Heading3"/>
      </w:pPr>
      <w:r>
        <w:t xml:space="preserve">1.2 Research gap</w:t>
      </w:r>
    </w:p>
    <w:p>
      <w:pPr>
        <w:pStyle w:val="FirstParagraph"/>
      </w:pPr>
      <w:r>
        <w:t xml:space="preserve">Three gaps motivate this study.</w:t>
      </w:r>
    </w:p>
    <w:p>
      <w:pPr>
        <w:pStyle w:val="BodyText"/>
      </w:pPr>
      <w:r>
        <w:t xml:space="preserve">First, existing work often treats digitalisation as a broadly</w:t>
      </w:r>
    </w:p>
    <w:p>
      <w:pPr>
        <w:pStyle w:val="BodyText"/>
      </w:pPr>
      <w:r>
        <w:t xml:space="preserve">positive resource without paying sufficient attention to temporal and contextual variation in its</w:t>
      </w:r>
      <w:r>
        <w:t xml:space="preserve"> </w:t>
      </w:r>
      <w:r>
        <w:t xml:space="preserve">payoff. Such a treatment risks implying that digital adoption produces a relatively stable performance premium across firms and across stages of economic transition (Strange and Zucchella,</w:t>
      </w:r>
      <w:r>
        <w:t xml:space="preserve"> </w:t>
      </w:r>
      <w:r>
        <w:t xml:space="preserve">2017; Goldfarb and Tucker, 2019). In reality, digitalisation may generate uneven returns because</w:t>
      </w:r>
      <w:r>
        <w:t xml:space="preserve"> </w:t>
      </w:r>
      <w:r>
        <w:t xml:space="preserve">firms differ in scale, routines, and complementary capability.</w:t>
      </w:r>
      <w:r>
        <w:t xml:space="preserve"> </w:t>
      </w:r>
      <w:r>
        <w:t xml:space="preserve">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w:t>
      </w:r>
      <w:r>
        <w:t xml:space="preserve"> </w:t>
      </w:r>
      <w:r>
        <w:t xml:space="preserve">or transaction mechanisms (Bharadwaj et al., 2013; Verhoef et al., 2021; Hanelt et al., 2021;</w:t>
      </w:r>
      <w:r>
        <w:t xml:space="preserve"> </w:t>
      </w:r>
      <w:r>
        <w:t xml:space="preserve">Brouthers et al., 2016). Although these constructs are related, they should not be treated as</w:t>
      </w:r>
      <w:r>
        <w:t xml:space="preserve"> </w:t>
      </w:r>
      <w:r>
        <w:t xml:space="preserve">interchangeable. Collapsing them into a single umbrella variable can reduce construct clarity</w:t>
      </w:r>
      <w:r>
        <w:t xml:space="preserve"> </w:t>
      </w:r>
      <w:r>
        <w:t xml:space="preserve">and blur the mechanisms linking digitalisation to performance.</w:t>
      </w:r>
      <w:r>
        <w:t xml:space="preserve"> </w:t>
      </w:r>
      <w:r>
        <w:t xml:space="preserve">Third, pooled estimates may obscure substantial lifecycle heterogeneity. In a setting such</w:t>
      </w:r>
      <w:r>
        <w:t xml:space="preserve"> </w:t>
      </w:r>
      <w:r>
        <w:t xml:space="preserve">as Vietnam, where firms and institutions pass through distinct stages of transition, the role of</w:t>
      </w:r>
      <w:r>
        <w:t xml:space="preserve"> </w:t>
      </w:r>
      <w:r>
        <w:t xml:space="preserve">internationalisation, technological capability, and digital adoption may vary considerably across</w:t>
      </w:r>
      <w:r>
        <w:t xml:space="preserve"> </w:t>
      </w:r>
      <w:r>
        <w:t xml:space="preserve">survey waves. A pooled model is useful for identifying average effects, but it is insufficient if</w:t>
      </w:r>
      <w:r>
        <w:t xml:space="preserve"> </w:t>
      </w:r>
      <w:r>
        <w:t xml:space="preserve">the underlying relationships shift across time. A design that combines pooled and wave-specific</w:t>
      </w:r>
      <w:r>
        <w:t xml:space="preserve"> </w:t>
      </w:r>
      <w:r>
        <w:t xml:space="preserve">analysis is therefore necessary to determine whether the observed effects are stable or stage</w:t>
      </w:r>
      <w:r>
        <w:t xml:space="preserve"> </w:t>
      </w:r>
      <w:r>
        <w:t xml:space="preserve">contingent.</w:t>
      </w:r>
    </w:p>
    <w:p>
      <w:pPr>
        <w:pStyle w:val="BodyText"/>
      </w:pPr>
      <w:r>
        <w:t xml:space="preserve">Recent meta-analytic work reinforces this concern. Pisani, Garcia-Bernardo, and Heemskerk (2020, SMJ) demonstrate that the inverted-U relationship between internationalisation and performance weakens substantially — and sometimes disappears —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 which hold institutional context constant while varying time —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 at 45.8% of total trade value, displacing the historically dominant textiles cluster — reflecting a structural upgrade in production capability that proceeded in parallel with the three survey waves (World Bank, 2025c).</w:t>
      </w:r>
    </w:p>
    <w:bookmarkEnd w:id="23"/>
    <w:bookmarkStart w:id="24" w:name="contribution"/>
    <w:p>
      <w:pPr>
        <w:pStyle w:val="Heading3"/>
      </w:pPr>
      <w:r>
        <w:t xml:space="preserve">1.3 Contribution</w:t>
      </w:r>
    </w:p>
    <w:p>
      <w:pPr>
        <w:pStyle w:val="FirstParagraph"/>
      </w:pPr>
      <w:r>
        <w:t xml:space="preserve">This study makes three contributions to the literature.</w:t>
      </w:r>
    </w:p>
    <w:p>
      <w:pPr>
        <w:pStyle w:val="BodyText"/>
      </w:pPr>
      <w:r>
        <w:t xml:space="preserve">First, it refines the I–P debate by</w:t>
      </w:r>
    </w:p>
    <w:p>
      <w:pPr>
        <w:pStyle w:val="BodyText"/>
      </w:pPr>
      <w:r>
        <w:t xml:space="preserve">showing that the Vietnamese evidence supports a nonlinear relationship, but that the salience</w:t>
      </w:r>
      <w:r>
        <w:t xml:space="preserve"> </w:t>
      </w:r>
      <w:r>
        <w:t xml:space="preserve">and visibility of that relationship vary across time. Rather than treating nonlinearity as a fixed</w:t>
      </w:r>
      <w:r>
        <w:t xml:space="preserve"> </w:t>
      </w:r>
      <w:r>
        <w:t xml:space="preserve">structural fact that appears identically in every period, the analysis shows that the I–P curve</w:t>
      </w:r>
      <w:r>
        <w:t xml:space="preserve"> </w:t>
      </w:r>
      <w:r>
        <w:t xml:space="preserve">must be read in conjunction with the broader capability environment.</w:t>
      </w:r>
      <w:r>
        <w:t xml:space="preserve"> </w:t>
      </w:r>
      <w:r>
        <w:t xml:space="preserve">Second, the study improves construct validity by separating technological capability from</w:t>
      </w:r>
      <w:r>
        <w:t xml:space="preserve"> </w:t>
      </w:r>
      <w:r>
        <w:t xml:space="preserve">foundational digital adoption. This distinction matters theoretically because deeper capability</w:t>
      </w:r>
      <w:r>
        <w:t xml:space="preserve"> </w:t>
      </w:r>
      <w:r>
        <w:t xml:space="preserve">stocks and basic digital enablement may generate performance through different channels.</w:t>
      </w:r>
    </w:p>
    <w:p>
      <w:pPr>
        <w:pStyle w:val="BodyText"/>
      </w:pPr>
      <w:r>
        <w:t xml:space="preserve">It</w:t>
      </w:r>
    </w:p>
    <w:p>
      <w:pPr>
        <w:pStyle w:val="BodyText"/>
      </w:pPr>
      <w:r>
        <w:t xml:space="preserve">also matters empirically because the two constructs do not exhibit identical patterns across the</w:t>
      </w:r>
      <w:r>
        <w:t xml:space="preserve"> </w:t>
      </w:r>
      <w:r>
        <w:t xml:space="preserve">Vietnamese waves.</w:t>
      </w:r>
      <w:r>
        <w:t xml:space="preserve"> </w:t>
      </w:r>
      <w:r>
        <w:t xml:space="preserve">Third, the study introduces a cross-wave, stage-dependency interpretation of digital internationalisation. Because the WBES data are repeated cross-sections rather than a firm panel, within-firm trajectories cannot be directly observed; the cross-wave evidence nonetheless suggests that digital capability is neither a universally stable premium nor a uniformly ineffective resource. Instead, it appears as an uneven and snapshot-contingent source of performance heterogeneity across institutional phases. This perspective helps explain why pooled average effects may coexist with substantial wave-specific differences.</w:t>
      </w:r>
    </w:p>
    <w:p>
      <w:pPr>
        <w:pStyle w:val="BodyText"/>
      </w:pPr>
      <w:r>
        <w:t xml:space="preserve">A fourth contribution reframes the inverted-U itself: the Vietnamese evidence shows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 β = -0.200 (p = .660), and only ~1.0 % of pooled firms occupy the ±5 percentage-point neighbourhood of the turning point. This locates the productivity-relevant friction at the participation margin — where institutional, capability, and sunk-cost barriers bind hardest in a transitional economy —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4"/>
    <w:bookmarkStart w:id="25" w:name="roadmap"/>
    <w:p>
      <w:pPr>
        <w:pStyle w:val="Heading3"/>
      </w:pPr>
      <w:r>
        <w:t xml:space="preserve">1.4 Roadmap</w:t>
      </w:r>
    </w:p>
    <w:p>
      <w:pPr>
        <w:pStyle w:val="FirstParagraph"/>
      </w:pPr>
      <w:r>
        <w:t xml:space="preserve">The remainder of the paper is organised as follows. Section 2 develops the theoretical framework</w:t>
      </w:r>
      <w:r>
        <w:t xml:space="preserve"> </w:t>
      </w:r>
      <w:r>
        <w:t xml:space="preserve">and hypotheses.</w:t>
      </w:r>
    </w:p>
    <w:p>
      <w:pPr>
        <w:pStyle w:val="BodyText"/>
      </w:pPr>
      <w:r>
        <w:t xml:space="preserve">Section 3 describes the data, variables, and empirical strategy.</w:t>
      </w:r>
    </w:p>
    <w:p>
      <w:pPr>
        <w:pStyle w:val="BodyText"/>
      </w:pPr>
      <w:r>
        <w:t xml:space="preserve">Section 4</w:t>
      </w:r>
    </w:p>
    <w:p>
      <w:pPr>
        <w:pStyle w:val="BodyText"/>
      </w:pPr>
      <w:r>
        <w:t xml:space="preserve">presents the results. Section 5 discusses the theoretical and managerial implications. Section 6</w:t>
      </w:r>
      <w:r>
        <w:t xml:space="preserve"> </w:t>
      </w:r>
      <w:r>
        <w:t xml:space="preserve">concludes.</w:t>
      </w:r>
    </w:p>
    <w:bookmarkEnd w:id="25"/>
    <w:bookmarkEnd w:id="26"/>
    <w:bookmarkStart w:id="31" w:name="theory-and-hypotheses"/>
    <w:p>
      <w:pPr>
        <w:pStyle w:val="Heading2"/>
      </w:pPr>
      <w:r>
        <w:t xml:space="preserve">2. Theory and hypotheses</w:t>
      </w:r>
    </w:p>
    <w:bookmarkStart w:id="27" w:name="X3b7d35b763b13aa013dc5c38abee688672fbd10"/>
    <w:p>
      <w:pPr>
        <w:pStyle w:val="Heading3"/>
      </w:pPr>
      <w:r>
        <w:t xml:space="preserve">2.1 Internationalisation and firm performance</w:t>
      </w:r>
    </w:p>
    <w:p>
      <w:pPr>
        <w:pStyle w:val="FirstParagraph"/>
      </w:pPr>
      <w:r>
        <w:t xml:space="preserve">The relationship between internationalisation and firm performance is unlikely to be linear in</w:t>
      </w:r>
      <w:r>
        <w:t xml:space="preserve"> </w:t>
      </w:r>
      <w:r>
        <w:t xml:space="preserve">a transitional economy such as Vietnam. Foreign expansion can improve performance through</w:t>
      </w:r>
      <w:r>
        <w:t xml:space="preserve"> </w:t>
      </w:r>
      <w:r>
        <w:t xml:space="preserve">greater market reach, diversification, and learning from external environments. Firms may use</w:t>
      </w:r>
      <w:r>
        <w:t xml:space="preserve"> </w:t>
      </w:r>
      <w:r>
        <w:t xml:space="preserve">internationalisation to spread fixed costs, access new customers, and acquire knowledge that</w:t>
      </w:r>
      <w:r>
        <w:t xml:space="preserve"> </w:t>
      </w:r>
      <w:r>
        <w:t xml:space="preserve">supports operational improvement.</w:t>
      </w:r>
      <w:r>
        <w:t xml:space="preserve"> </w:t>
      </w:r>
      <w:r>
        <w:t xml:space="preserve">At the same time, deeper international involvement often generates coordination costs and</w:t>
      </w:r>
      <w:r>
        <w:t xml:space="preserve"> </w:t>
      </w:r>
      <w:r>
        <w:t xml:space="preserve">organisational burdens. Firms must manage multiple markets, reconcile diverse customer demands, process more information, and sustain greater managerial control. As foreign expansion</w:t>
      </w:r>
      <w:r>
        <w:t xml:space="preserve"> </w:t>
      </w:r>
      <w:r>
        <w:t xml:space="preserve">intensifies, these costs may grow faster than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is especially plausible in Vietnam because firms operate under uneven capability conditions. Some firms may convert foreign expansion into learning and scale advantages,</w:t>
      </w:r>
      <w:r>
        <w:t xml:space="preserve"> </w:t>
      </w:r>
      <w:r>
        <w:t xml:space="preserve">whereas others may encounter organisational strain sooner. The relevant expectation is therefore</w:t>
      </w:r>
      <w:r>
        <w:t xml:space="preserve"> </w:t>
      </w:r>
      <w:r>
        <w:t xml:space="preserve">not a uniformly positive slope, but a nonlinear relationship in which gains from internationalisation become progressively more difficult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The internationalisation–performance relationship in Vietnam is non-monotonic</w:t>
      </w:r>
      <w:r>
        <w:t xml:space="preserve"> </w:t>
      </w:r>
      <w:r>
        <w:t xml:space="preserve">in the full sample and is best understood through a participation-and-intensity structure in a zero-inflated export setting. (H1a, participation margin) Crossing from</w:t>
      </w:r>
      <w:r>
        <w:t xml:space="preserve"> </w:t>
      </w:r>
      <w:r>
        <w:t xml:space="preserve">non-exporting (FSTS = 0) to exporting (FSTS &gt; 0) is positively associated with</w:t>
      </w:r>
      <w:r>
        <w:t xml:space="preserve"> </w:t>
      </w:r>
      <w:r>
        <w:t xml:space="preserve">labour productivity, capturing the learning-and-scale jump at entry. (H1b, intensity</w:t>
      </w:r>
      <w:r>
        <w:t xml:space="preserve"> </w:t>
      </w:r>
      <w:r>
        <w:t xml:space="preserve">margin) Within the exporter subsample, additional direct-export intensity is expected</w:t>
      </w:r>
      <w:r>
        <w:t xml:space="preserve"> </w:t>
      </w:r>
      <w:r>
        <w:t xml:space="preserve">to exhibit weaker, diminishing, or non-significant marginal returns relative to the</w:t>
      </w:r>
      <w:r>
        <w:t xml:space="preserve"> </w:t>
      </w:r>
      <w:r>
        <w:t xml:space="preserve">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 FSTS_c² β = −0.200, p = .660) instead indicates that the participation margin (H1a) is the dominant source of the full-sample curvature.</w:t>
      </w:r>
    </w:p>
    <w:bookmarkEnd w:id="27"/>
    <w:bookmarkStart w:id="28" w:name="X8b6ab3bfb99752d9beaf4133c4607c74858df36"/>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 TCI_z 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(TCI_full,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Foreign-technology / standards capability (TCI_z) is positively associated with</w:t>
      </w:r>
      <w:r>
        <w:t xml:space="preserve"> </w:t>
      </w:r>
      <w:r>
        <w:t xml:space="preserve">firm performance in Vietnam.</w:t>
      </w:r>
    </w:p>
    <w:bookmarkEnd w:id="28"/>
    <w:bookmarkStart w:id="29" w:name="X3c3a130d66a9b73cf57cd236c0b90b9b5f78226"/>
    <w:p>
      <w:pPr>
        <w:pStyle w:val="Heading3"/>
      </w:pPr>
      <w:r>
        <w:t xml:space="preserve">2.3 Website-based digital presence as a baseline control</w:t>
      </w:r>
    </w:p>
    <w:p>
      <w:pPr>
        <w:pStyle w:val="FirstParagraph"/>
      </w:pPr>
      <w:r>
        <w:t xml:space="preserve">The primary DAI_z used in this paper is a website-based digital presence measure: a binary indicator of whether the firm has its own website. This is a foundational and cross-wave-comparable</w:t>
      </w:r>
      <w:r>
        <w:t xml:space="preserve"> </w:t>
      </w:r>
      <w:r>
        <w:t xml:space="preserve">marker of digital adoption —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 a website does not by itself integrate transactions,</w:t>
      </w:r>
      <w:r>
        <w:t xml:space="preserve"> </w:t>
      </w:r>
      <w:r>
        <w:t xml:space="preserve">supply chains, or decision-making —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 digital presence (websites, e-mail); Tier 2 — digital communication and basic e-commerce;</w:t>
      </w:r>
      <w:r>
        <w:t xml:space="preserve"> </w:t>
      </w:r>
      <w:r>
        <w:t xml:space="preserve">Tier 3 — digital process integration (electronic payment, supply-chain digitisation); Tier 4 —</w:t>
      </w:r>
      <w:r>
        <w:t xml:space="preserve"> </w:t>
      </w:r>
      <w:r>
        <w:t xml:space="preserve">dynamic digital capability (data-driven decision-making, AI integration). The primary DAI_z</w:t>
      </w:r>
    </w:p>
    <w:p>
      <w:pPr>
        <w:pStyle w:val="BodyText"/>
      </w:pPr>
      <w:r>
        <w:t xml:space="preserve">anchors at Tier 1 only. A Tier 3-style extension (DAI_rich)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 DAI_z 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 functioning as a conditional scaling complement rather than a coordination-strain amplifier — because the surrounding ecosystem can absorb cross-border transaction processing that a website alone cannot.</w:t>
      </w:r>
    </w:p>
    <w:p>
      <w:pPr>
        <w:pStyle w:val="BodyText"/>
      </w:pPr>
      <w:r>
        <w:t xml:space="preserve">Given that DAI_z reduces to a single binary item — c22b (own-website presence) — it captures Tier-1 digital presence rather than dynamic digital capability. By 2023, website ownership has diffused to near half of the Vietnamese firm population (49.8 % in 2023 vs 42.5 % in 2009) and increasingly functions as an organisational hygiene factor rather than a marker of digital strategy.</w:t>
      </w:r>
      <w:r>
        <w:t xml:space="preserve"> </w:t>
      </w:r>
      <w:r>
        <w:rPr>
          <w:bCs/>
          <w:b/>
        </w:rPr>
        <w:t xml:space="preserve">Accordingly, DAI_z 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WBES-scope caveat.</w:t>
      </w:r>
      <w:r>
        <w:t xml:space="preserve"> </w:t>
      </w:r>
      <w:r>
        <w:t xml:space="preserve">Because the WBES Vietnam instrument carries only the website-presence binary (c22b) comparably across the 2009 / 2015 / 2023 waves, this paper does not attempt to test higher-tier digital-transformation mechanisms such as data-driven decision-making, AI integration, or ERP-based process digitisation. Any descriptive coefficient on DAI_z should be read as reflecting baseline digital-presence variation, not dynamic digital capability. This caveat shields the present analysis from over-claiming on the limited Tier-1 information that a single binary website indicator can provide.</w:t>
      </w:r>
    </w:p>
    <w:bookmarkEnd w:id="29"/>
    <w:bookmarkStart w:id="30" w:name="Xc5a2a99383014b63e4f4711abc650cca28d0c58"/>
    <w:p>
      <w:pPr>
        <w:pStyle w:val="Heading3"/>
      </w:pPr>
      <w:r>
        <w:t xml:space="preserve">2.4 Stage-contingent digital value (exploratory probe)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 DAI × FSTS interaction observed in the later waves can be read through two complementary mechanisms that this paper treats as jointly operating rather than mutually exclusive.</w:t>
      </w:r>
      <w:r>
        <w:t xml:space="preserve"> </w:t>
      </w:r>
      <w:r>
        <w:rPr>
          <w:iCs/>
          <w:i/>
        </w:rPr>
        <w:t xml:space="preserve">Mechanism A —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 not a primary hypothesis). The productivity relevance of baseline website-presence (DAI_z,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(TCI_z)</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(FSTS_c, FSTS_c2 )</w:t>
      </w:r>
      <w:r>
        <w:t xml:space="preserve"> </w:t>
      </w:r>
      <w:r>
        <w:t xml:space="preserve">(ln labour productivity)</w:t>
      </w:r>
      <w:r>
        <w:t xml:space="preserve"> </w:t>
      </w:r>
      <w:r>
        <w:t xml:space="preserve">H4 (mod., exploratory probe)</w:t>
      </w:r>
      <w:r>
        <w:t xml:space="preserve"> </w:t>
      </w:r>
      <w:r>
        <w:t xml:space="preserve">DAI_z (baseline control)</w:t>
      </w:r>
    </w:p>
    <w:p>
      <w:pPr>
        <w:pStyle w:val="BodyText"/>
      </w:pPr>
      <w:r>
        <w:t xml:space="preserve">Baseline website-presence</w:t>
      </w:r>
      <w:r>
        <w:t xml:space="preserve"> </w:t>
      </w:r>
      <w:r>
        <w:t xml:space="preserve">(DAI_z, Tier 1 only)</w:t>
      </w:r>
    </w:p>
    <w:p>
      <w:pPr>
        <w:pStyle w:val="BodyText"/>
      </w:pPr>
      <w:r>
        <w:t xml:space="preserve">Controls: lnEmp, FirmAge, ForeignOwned, sector FE [+ wave FE]</w:t>
      </w:r>
    </w:p>
    <w:tbl>
      <w:tblPr>
        <w:tblStyle w:val="FigureTable"/>
        <w:tblW w:type="auto" w:w="0"/>
        <w:tblLook w:firstRow="0" w:lastRow="0" w:firstColumn="0" w:lastColumn="0"/>
        <w:jc w:val="center"/>
      </w:tblPr>
      <w:tblGrid>
        <w:gridCol w:w="7920"/>
      </w:tblGrid>
      <w:tr>
        <w:tc>
          <w:tcPr/>
          <w:p>
            <w:pPr>
              <w:pStyle w:val="Compact"/>
              <w:jc w:val="center"/>
            </w:pPr>
            <w:r>
              <w:t xml:space="preserve">Figure 1: Conceptual model — TCI, DAI, and export intensity as determinants of firm performance (Vietnam, 3-wave)</w:t>
            </w:r>
          </w:p>
        </w:tc>
      </w:tr>
    </w:tbl>
    <w:p>
      <w:pPr>
        <w:pStyle w:val="ImageCaption"/>
      </w:pPr>
      <w:r>
        <w:t xml:space="preserve">Figure 1: Conceptual model — TCI, DAI, and export intensity as determinants of firm performance (Vietnam, 3-wave)</w:t>
      </w:r>
    </w:p>
    <w:p>
      <w:pPr>
        <w:pStyle w:val="BodyText"/>
      </w:pPr>
      <w:r>
        <w:rPr>
          <w:iCs/>
          <w:i/>
        </w:rPr>
        <w:t xml:space="preserve">Figure 1.</w:t>
      </w:r>
      <w:r>
        <w:t xml:space="preserve"> </w:t>
      </w:r>
      <w:r>
        <w:t xml:space="preserve">Conceptual model. The independent variable (internationalisation, FSTS_c and FSTS_c²) and the dependent variable (firm performance, ln labour productivity) anchor the IV–DV spine. Technological capability (TCI_z) enters as a direct effect (H2) and as a moderator of the FSTS curve (H2 moderation). Baseline website-presence (DAI_z, Tier 1 only) is retained as a baseline digital-presence control rather than a formal hypothesis-bearing construct; any DAI moderation of the export-intensity curve is reported as an exploratory probe (H4) on the limited information that a single binary website indicator can support across the 2009 / 2015 / 2023 waves. Controls are entered additively. Wave fixed effects apply to the pooled specification only.</w:t>
      </w:r>
    </w:p>
    <w:bookmarkEnd w:id="30"/>
    <w:bookmarkEnd w:id="31"/>
    <w:bookmarkStart w:id="36" w:name="data-variables-and-empirical-strategy"/>
    <w:p>
      <w:pPr>
        <w:pStyle w:val="Heading2"/>
      </w:pPr>
      <w:r>
        <w:t xml:space="preserve">3. Data, variables, and empirical strategy</w:t>
      </w:r>
    </w:p>
    <w:bookmarkStart w:id="32" w:name="data-structure"/>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2"/>
    <w:bookmarkStart w:id="33" w:name="variables"/>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(FSTS_c) and squared</w:t>
      </w:r>
    </w:p>
    <w:p>
      <w:pPr>
        <w:pStyle w:val="BodyText"/>
      </w:pPr>
      <w:r>
        <w:t xml:space="preserve">(FSTS_c ) so that linear and quadratic terms can be entered jointly to test for nonlinearity.</w:t>
      </w:r>
      <w:r>
        <w:t xml:space="preserve"> </w:t>
      </w:r>
      <w:r>
        <w:t xml:space="preserve">The analysis uses two distinct capability constructs.</w:t>
      </w:r>
    </w:p>
    <w:p>
      <w:pPr>
        <w:pStyle w:val="BodyText"/>
      </w:pPr>
      <w:r>
        <w:t xml:space="preserve">The Technological Capability Index</w:t>
      </w:r>
    </w:p>
    <w:p>
      <w:pPr>
        <w:pStyle w:val="BodyText"/>
      </w:pPr>
      <w:r>
        <w:t xml:space="preserve">(TCI_z) is interpreted narrowly as a foreign-technology and standards capability measure —</w:t>
      </w:r>
      <w:r>
        <w:t xml:space="preserve"> </w:t>
      </w:r>
      <w:r>
        <w:t xml:space="preserve">international quality certification and foreign-licensed technology — that proxies a firm’s exposure to external technological standards rather than the full Cohen-Levinthal absorptive-capacity</w:t>
      </w:r>
      <w:r>
        <w:t xml:space="preserve"> </w:t>
      </w:r>
      <w:r>
        <w:t xml:space="preserve">stock (Lall, 1992; Cohen and Levinthal, 1990). The Digital Adoption Index (DAI_z) is interpreted narrowly as website-based digital presence — foundational website adoption —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w:t>
      </w:r>
      <w:r>
        <w:t xml:space="preserve"> </w:t>
      </w:r>
      <w:r>
        <w:t xml:space="preserve">annual sales and l1 is permanent full-time employees. Internationalisation is FSTS = d3c / 100,</w:t>
      </w:r>
    </w:p>
    <w:p>
      <w:pPr>
        <w:pStyle w:val="BodyText"/>
      </w:pPr>
      <w:r>
        <w:t xml:space="preserve">mean-centred within wave (FSTS_c) and squared (FSTS_c ). The primary Technological Capability Index (TCI_z)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(DAI_z) is the within-wave standardised</w:t>
      </w:r>
    </w:p>
    <w:p>
      <w:pPr>
        <w:pStyle w:val="BodyText"/>
      </w:pPr>
      <w:r>
        <w:t xml:space="preserve">website-presence indicator c22b, recoded from 1/2 to 1/0. Under this revised primary specification, no item is shared between the TCI and DAI composites —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 DAI_z 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w:r>
        <w:t xml:space="preserve">TCI_full adds h1 (introduced new or significantly improved product) and h8 (R&amp;D expenditure</w:t>
      </w:r>
      <w:r>
        <w:t xml:space="preserve"> </w:t>
      </w:r>
      <w:r>
        <w:t xml:space="preserve">indicator) to the TCI items in 2015 and 2023, where h1 and h8 are present. DAI_rich,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 DAI_rich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scope note.</w:t>
      </w:r>
      <w:r>
        <w:t xml:space="preserve"> </w:t>
      </w:r>
      <w:r>
        <w:t xml:space="preserve">The DAI_z 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(FSTS_c × DAI_z = −0.912, p = .043) is best read as construct-tier obsolescence: Tier-1 website presence has become a minimum-threshold credential in Vietnam’s maturing digital environment and no longer differentiates firms’ cross-border coordination capacity at high export intensity. The DAI_rich robustness composite available in the 2023 wave (Tier 1+2, §4.5 Panel B) provides within-wave sensitivity analysis on this scope-limitation question, but cross-wave comparability limits its use as the primary measure.</w:t>
      </w:r>
    </w:p>
    <w:p>
      <w:pPr>
        <w:pStyle w:val="BodyText"/>
      </w:pPr>
      <w:r>
        <w:t xml:space="preserve">Controls are standard. Firm size lnEmp = ln(l1). Firm age FirmAge = survey year minus</w:t>
      </w:r>
      <w:r>
        <w:t xml:space="preserve"> </w:t>
      </w:r>
      <w:r>
        <w:t xml:space="preserve">b5 (year established). Foreign ownership ForeignOwned = 1 if b2b (percentage of equity owned</w:t>
      </w:r>
      <w:r>
        <w:t xml:space="preserve"> </w:t>
      </w:r>
      <w:r>
        <w:t xml:space="preserve">by private foreign individuals or firms) &gt; 0. Sector fixed effects use the first digit of a4b (broad</w:t>
      </w:r>
      <w:r>
        <w:t xml:space="preserve"> </w:t>
      </w:r>
      <w:r>
        <w:t xml:space="preserve">ISIC code) for the 2009 and 2015 waves and the first digit of a4a for the 2023 wave, where a4b</w:t>
      </w:r>
      <w:r>
        <w:t xml:space="preserve"> </w:t>
      </w:r>
      <w:r>
        <w:t xml:space="preserve">is not in the public release. Pooled specifications add wave fixed effects to absorb broad period</w:t>
      </w:r>
      <w:r>
        <w:t xml:space="preserve"> </w:t>
      </w:r>
      <w:r>
        <w:t xml:space="preserve">differences in the productivity baseline.</w:t>
      </w:r>
      <w:r>
        <w:t xml:space="preserve"> </w:t>
      </w:r>
      <w:r>
        <w:t xml:space="preserve">A note on missing-code handling.</w:t>
      </w:r>
    </w:p>
    <w:p>
      <w:pPr>
        <w:pStyle w:val="BodyText"/>
      </w:pPr>
      <w:r>
        <w:t xml:space="preserve">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 TCI_z, DAI_z,</w:t>
      </w:r>
      <w:r>
        <w:t xml:space="preserve"> </w:t>
      </w:r>
      <w:r>
        <w:t xml:space="preserve">sector1). The resulting analytic samples are 989, 956, and 1,013 observations for 2009, 2015,</w:t>
      </w:r>
      <w:r>
        <w:t xml:space="preserve"> </w:t>
      </w:r>
      <w:r>
        <w:t xml:space="preserve">and 2023 respectively; pooled N is 2,958.</w:t>
      </w:r>
    </w:p>
    <w:bookmarkEnd w:id="33"/>
    <w:bookmarkStart w:id="34" w:name="model-sequence"/>
    <w:p>
      <w:pPr>
        <w:pStyle w:val="Heading3"/>
      </w:pPr>
      <w:r>
        <w:t xml:space="preserve">3.3 Model sequence</w:t>
      </w:r>
    </w:p>
    <w:p>
      <w:pPr>
        <w:pStyle w:val="FirstParagraph"/>
      </w:pPr>
      <w:r>
        <w:t xml:space="preserve">The empirical strategy follows a nested sequence of models, all estimated by ordinary least</w:t>
      </w:r>
      <w:r>
        <w:t xml:space="preserve"> </w:t>
      </w:r>
      <w:r>
        <w:t xml:space="preserve">squares with HC1 robust standard errors. A control model establishes the baseline. A linear</w:t>
      </w:r>
      <w:r>
        <w:t xml:space="preserve"> </w:t>
      </w:r>
      <w:r>
        <w:t xml:space="preserve">internationalisation model then introduces FSTS_c. A nonlinear model adds the quadratic term</w:t>
      </w:r>
      <w:r>
        <w:t xml:space="preserve"> </w:t>
      </w:r>
      <w:r>
        <w:t xml:space="preserve">FSTS_c</w:t>
      </w:r>
    </w:p>
    <w:p>
      <w:pPr>
        <w:pStyle w:val="BodyText"/>
      </w:pPr>
      <w:r>
        <w:t xml:space="preserve">2 to test for curvature. Additional models introduce TCI_z and DAI_z separately, first</w:t>
      </w:r>
    </w:p>
    <w:p>
      <w:pPr>
        <w:pStyle w:val="BodyText"/>
      </w:pPr>
      <w:r>
        <w:t xml:space="preserve">in specifications that allow interaction terms with FSTS_c and FSTS_c , and then in directeffect specifications. The final full model includes the nonlinear internationalisation terms, both</w:t>
      </w:r>
      <w:r>
        <w:t xml:space="preserve"> </w:t>
      </w:r>
      <w:r>
        <w:t xml:space="preserve">direct capability measures, and the interaction terms involving digital adoption.</w:t>
      </w:r>
      <w:r>
        <w:t xml:space="preserve"> </w:t>
      </w:r>
      <w:r>
        <w:t xml:space="preserve">This design separates three analytical questions.</w:t>
      </w:r>
    </w:p>
    <w:p>
      <w:pPr>
        <w:pStyle w:val="BodyText"/>
      </w:pPr>
      <w:r>
        <w:t xml:space="preserve">First, is the I–P relationship nonlinear?</w:t>
      </w:r>
    </w:p>
    <w:p>
      <w:pPr>
        <w:pStyle w:val="BodyText"/>
      </w:pPr>
      <w:r>
        <w:t xml:space="preserve">Second, are TCI_z and DAI_z directly associated with performance? Third, does the role of</w:t>
      </w:r>
      <w:r>
        <w:t xml:space="preserve"> </w:t>
      </w:r>
      <w:r>
        <w:t xml:space="preserve">foundational digital adoption become more conditional as export intensity rises? Throughout,</w:t>
      </w:r>
      <w:r>
        <w:t xml:space="preserve"> </w:t>
      </w:r>
      <w:r>
        <w:t xml:space="preserve">results are described as associations rather than effects, consistent with the inferential limits of</w:t>
      </w:r>
      <w:r>
        <w:t xml:space="preserve"> </w:t>
      </w:r>
      <w:r>
        <w:t xml:space="preserve">repeated-cross-section data (Antonakis et al., 2010; Wooldridge, 2010).</w:t>
      </w:r>
    </w:p>
    <w:bookmarkEnd w:id="34"/>
    <w:bookmarkStart w:id="35" w:name="replication-and-reproducibility"/>
    <w:p>
      <w:pPr>
        <w:pStyle w:val="Heading3"/>
      </w:pPr>
      <w:r>
        <w:t xml:space="preserve">3.4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w:t>
      </w:r>
    </w:p>
    <w:p>
      <w:pPr>
        <w:pStyle w:val="BodyText"/>
      </w:pPr>
      <w:r>
        <w:t xml:space="preserve">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35"/>
    <w:bookmarkEnd w:id="36"/>
    <w:bookmarkStart w:id="43" w:name="results"/>
    <w:p>
      <w:pPr>
        <w:pStyle w:val="Heading2"/>
      </w:pPr>
      <w:r>
        <w:t xml:space="preserve">4. Results</w:t>
      </w:r>
    </w:p>
    <w:p>
      <w:pPr>
        <w:pStyle w:val="FirstParagraph"/>
      </w:pPr>
      <w:r>
        <w:t xml:space="preserve">Table 1 reports analytic-sample summary statistics by wave. Three patterns are worth noting</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37" w:name="wave-specific-findings"/>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 TCI_z (β = 0.215, p &lt; .001) and DAI_z (β = 0.175, p &lt; .001) are</w:t>
      </w:r>
      <w:r>
        <w:t xml:space="preserve"> </w:t>
      </w:r>
      <w:r>
        <w:t xml:space="preserve">positive. TCI moderation is statistically distinguishable from zero (M3</w:t>
      </w:r>
      <w:r>
        <w:t xml:space="preserve"> </w:t>
      </w:r>
      <w:r>
        <w:t xml:space="preserve">joint p = .040; FSTS_c × TCI_z = -0.579, p = .087), but DAI moderation is not (M4 joint</w:t>
      </w:r>
    </w:p>
    <w:p>
      <w:pPr>
        <w:pStyle w:val="BodyText"/>
      </w:pPr>
      <w:r>
        <w:t xml:space="preserve">Table 1: Analytic-sample summary statistics by wave.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 www.enterprisesurveys.org; 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w:t>
      </w:r>
    </w:p>
    <w:p>
      <w:pPr>
        <w:pStyle w:val="BodyText"/>
      </w:pPr>
      <w:r>
        <w:t xml:space="preserve">2 β = -2.115 (p = .004), with Lind–Mehlum p =</w:t>
      </w:r>
    </w:p>
    <w:p>
      <w:pPr>
        <w:pStyle w:val="BodyText"/>
      </w:pPr>
      <w:r>
        <w:t xml:space="preserve">FSTS_c β = 1.159 (p = .029) and FSTS_c</w:t>
      </w:r>
    </w:p>
    <w:p>
      <w:pPr>
        <w:pStyle w:val="BodyText"/>
      </w:pPr>
      <w:r>
        <w:t xml:space="preserve">.009. TCI_z retains a positive direct association (β = 0.128, p = .010) but at roughly 60 per</w:t>
      </w:r>
      <w:r>
        <w:t xml:space="preserve"> </w:t>
      </w:r>
      <w:r>
        <w:t xml:space="preserve">cent of the 2009 magnitude. DAI_z 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w:t>
      </w:r>
    </w:p>
    <w:p>
      <w:pPr>
        <w:pStyle w:val="BodyText"/>
      </w:pPr>
      <w:r>
        <w:t xml:space="preserve">M2 again</w:t>
      </w:r>
    </w:p>
    <w:p>
      <w:pPr>
        <w:pStyle w:val="BodyText"/>
      </w:pPr>
      <w:r>
        <w:t xml:space="preserve">indicates a clear inverted-U (FSTS_c β = 0.962, p = .039; FSTS_c β = -1.686, p = .008;</w:t>
      </w:r>
      <w:r>
        <w:t xml:space="preserve"> </w:t>
      </w:r>
      <w:r>
        <w:t xml:space="preserve">Lind–Mehlum p = .013).</w:t>
      </w:r>
    </w:p>
    <w:p>
      <w:pPr>
        <w:pStyle w:val="BodyText"/>
      </w:pPr>
      <w:r>
        <w:t xml:space="preserve">In the dual-direct M7, both capability dimensions are positive and</w:t>
      </w:r>
    </w:p>
    <w:p>
      <w:pPr>
        <w:pStyle w:val="BodyText"/>
      </w:pPr>
      <w:r>
        <w:t xml:space="preserve">significant (TCI_z β = 0.123, p = .006; DAI_z β = 0.095, p = .038). When the DAI interaction</w:t>
      </w:r>
      <w:r>
        <w:t xml:space="preserve"> </w:t>
      </w:r>
      <w:r>
        <w:t xml:space="preserve">terms are added in M8, the linear interaction is negative and individually significant (FSTS_c</w:t>
      </w:r>
    </w:p>
    <w:p>
      <w:pPr>
        <w:pStyle w:val="BodyText"/>
      </w:pPr>
      <w:r>
        <w:t xml:space="preserve">× DAI_z = -0.912, p = .043), the quadratic interaction is positive and marginal (FSTS_c2 ×</w:t>
      </w:r>
      <w:r>
        <w:t xml:space="preserve"> </w:t>
      </w:r>
      <w:r>
        <w:t xml:space="preserve">DAI_z = 1.043, p = .099), and the joint test sits at marginal significance (M4 joint p = .102;</w:t>
      </w:r>
    </w:p>
    <w:p>
      <w:pPr>
        <w:pStyle w:val="BodyText"/>
      </w:pPr>
      <w:r>
        <w:t xml:space="preserve">M8 joint p = .062). The substantive reading is that, by 2023, basic digital adoption becomes</w:t>
      </w:r>
      <w:r>
        <w:t xml:space="preserve"> </w:t>
      </w:r>
      <w:r>
        <w:t xml:space="preserve">more conditional on export intensity:</w:t>
      </w:r>
    </w:p>
    <w:p>
      <w:pPr>
        <w:pStyle w:val="BodyText"/>
      </w:pPr>
      <w:r>
        <w:t xml:space="preserve">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w:t>
      </w:r>
      <w:r>
        <w:t xml:space="preserve"> </w:t>
      </w:r>
      <w:r>
        <w:t xml:space="preserve">“</w:t>
      </w:r>
      <w:r>
        <w:t xml:space="preserve">digital adoption is bad</w:t>
      </w:r>
      <w:r>
        <w:t xml:space="preserve">”</w:t>
      </w:r>
      <w:r>
        <w:t xml:space="preserve"> </w:t>
      </w:r>
      <w:r>
        <w:t xml:space="preserve">— instead, the instrument has lost its discriminatory power as Tier 1 adoption has diffused to near-universal levels (49.8% in 2023 vs 42.5% in 2009). The DAI_rich composite (Tier 1+2;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(TCI_z = 0.215 → 0.128 → 0.123) but with moderation</w:t>
      </w:r>
    </w:p>
    <w:p>
      <w:pPr>
        <w:pStyle w:val="BodyText"/>
      </w:pPr>
      <w:r>
        <w:t xml:space="preserve">that survives in the 2009, 2023 and pooled panels. Website-based digital presence follows a nonmonotonic trajectory — strong in 2009 (β = 0.175 **</w:t>
      </w:r>
      <w:r>
        <w:rPr>
          <w:iCs/>
          <w:i/>
        </w:rPr>
        <w:t xml:space="preserve">), null in 2015 (β = -0.044 n.s.), and</w:t>
      </w:r>
      <w:r>
        <w:rPr>
          <w:iCs/>
          <w:i/>
        </w:rPr>
        <w:t xml:space="preserve"> </w:t>
      </w:r>
      <w:r>
        <w:rPr>
          <w:iCs/>
          <w:i/>
        </w:rPr>
        <w:t xml:space="preserve">re-emerging in 2023 (β = 0.095</w:t>
      </w:r>
      <w:r>
        <w:rPr>
          <w:iCs/>
          <w:i/>
        </w:rPr>
        <w:t xml:space="preserve"> </w:t>
      </w:r>
      <w:r>
        <w:t xml:space="preserve">) — and its moderation channel materialises only in 2023.</w:t>
      </w:r>
      <w:r>
        <w:t xml:space="preserve"> </w:t>
      </w:r>
      <w:r>
        <w:t xml:space="preserve">The Paternoster cross-wave z-tests reported in 4.5 confirm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confirms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 even at the website-only layer — generated direct gains because the alternative was</w:t>
      </w:r>
      <w:r>
        <w:t xml:space="preserve"> </w:t>
      </w:r>
      <w:r>
        <w:t xml:space="preserve">paper-based transaction processing. The 2015 wave captures a transitional phase in which the</w:t>
      </w:r>
    </w:p>
    <w:p>
      <w:pPr>
        <w:pStyle w:val="BodyText"/>
      </w:pPr>
      <w:r>
        <w:t xml:space="preserve">2 = -2.115, p = .004 in M2) but the digital channel</w:t>
      </w:r>
    </w:p>
    <w:p>
      <w:pPr>
        <w:pStyle w:val="BodyText"/>
      </w:pPr>
      <w:r>
        <w:t xml:space="preserve">I–P curvature is unusually sharp (FSTS_c</w:t>
      </w:r>
      <w:r>
        <w:t xml:space="preserve"> </w:t>
      </w:r>
      <w:r>
        <w:t xml:space="preserve">compresses entirely:</w:t>
      </w:r>
    </w:p>
    <w:p>
      <w:pPr>
        <w:pStyle w:val="BodyText"/>
      </w:pPr>
      <w:r>
        <w:t xml:space="preserve">DAI_z loses direct salience and shows no joint moderation, suggesting</w:t>
      </w:r>
    </w:p>
    <w:p>
      <w:pPr>
        <w:pStyle w:val="BodyText"/>
      </w:pPr>
      <w:r>
        <w:t xml:space="preserve">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 FSTS_c × DAI_z interaction shows that this conditional channel binds primarily at</w:t>
      </w:r>
      <w:r>
        <w:t xml:space="preserve"> </w:t>
      </w:r>
      <w:r>
        <w:t xml:space="preserve">higher export intensity rather than uniformly across the export-intensity range.</w:t>
      </w:r>
    </w:p>
    <w:bookmarkEnd w:id="37"/>
    <w:bookmarkStart w:id="38" w:name="pooled-findings"/>
    <w:p>
      <w:pPr>
        <w:pStyle w:val="Heading3"/>
      </w:pPr>
      <w:r>
        <w:t xml:space="preserve">4.2 Pooled findings</w:t>
      </w:r>
    </w:p>
    <w:p>
      <w:pPr>
        <w:pStyle w:val="FirstParagraph"/>
      </w:pPr>
      <w:r>
        <w:t xml:space="preserve">The pooled estimates confirm that the internationalisation–performance relationship is nonlinear</w:t>
      </w:r>
      <w:r>
        <w:t xml:space="preserve"> </w:t>
      </w:r>
      <w:r>
        <w:t xml:space="preserve">on average. In the pooled M2 specification, the linear FSTS_c term is positive (β = 0.984, p</w:t>
      </w:r>
    </w:p>
    <w:p>
      <w:pPr>
        <w:pStyle w:val="BodyText"/>
      </w:pPr>
      <w:r>
        <w:t xml:space="preserve">2 term is negative (β = -1.909, p &lt; .001); the Lind–Mehlum</w:t>
      </w:r>
    </w:p>
    <w:p>
      <w:pPr>
        <w:pStyle w:val="BodyText"/>
      </w:pPr>
      <w:r>
        <w:t xml:space="preserve">&lt; .001) and the quadratic FSTS_c</w:t>
      </w:r>
    </w:p>
    <w:p>
      <w:pPr>
        <w:pStyle w:val="BodyText"/>
      </w:pPr>
      <w:r>
        <w:t xml:space="preserve">test rejects monotonicity at p &lt; .001 with an estimated turning point at 39.7 per cent of directexport intensity. The curvature persists in the full M8 specification (FSTS_c β = 0.845, p = .006;</w:t>
      </w:r>
      <w:r>
        <w:t xml:space="preserve"> </w:t>
      </w:r>
      <w:r>
        <w:t xml:space="preserve">FSTS_c</w:t>
      </w:r>
    </w:p>
    <w:p>
      <w:pPr>
        <w:pStyle w:val="BodyText"/>
      </w:pPr>
      <w:r>
        <w:t xml:space="preserve">2 β = -1.650, p &lt; .001), supporting H1 and aligning with the meta-analytic evidence</w:t>
      </w:r>
    </w:p>
    <w:p>
      <w:pPr>
        <w:pStyle w:val="BodyText"/>
      </w:pPr>
      <w:r>
        <w:t xml:space="preserve">on the nonlinear shape of internationalisation returns in emerging-market firms (Marano et al.,</w:t>
      </w:r>
      <w:r>
        <w:t xml:space="preserve"> </w:t>
      </w:r>
      <w:r>
        <w:t xml:space="preserve">2016).</w:t>
      </w:r>
      <w:r>
        <w:t xml:space="preserve"> </w:t>
      </w:r>
      <w:r>
        <w:t xml:space="preserve">The pooled evidence shows that both technological capability and basic digital adoption are</w:t>
      </w:r>
      <w:r>
        <w:t xml:space="preserve"> </w:t>
      </w:r>
      <w:r>
        <w:t xml:space="preserve">positively associated with firm performance on average. In the pooled M7 dual-direct specification, TCI_z is positive (β = 0.179, p &lt; .001), and DAI_z is positive</w:t>
      </w:r>
      <w:r>
        <w:t xml:space="preserve"> </w:t>
      </w:r>
      <w:r>
        <w:t xml:space="preserve">and significant (β = 0.078, p = .004).</w:t>
      </w:r>
    </w:p>
    <w:p>
      <w:pPr>
        <w:pStyle w:val="BodyText"/>
      </w:pPr>
      <w:r>
        <w:t xml:space="preserve">In the full M8 specification, the TCI_z coefficient is</w:t>
      </w:r>
    </w:p>
    <w:p>
      <w:pPr>
        <w:pStyle w:val="BodyText"/>
      </w:pPr>
      <w:r>
        <w:t xml:space="preserve">essentially unchanged (β = 0.184, p &lt; .001), while the DAI_z direct coefficient becomes statistically indistinguishable from zero (β = 0.032, p = .537) once the interaction terms are entered.</w:t>
      </w:r>
      <w:r>
        <w:t xml:space="preserve"> </w:t>
      </w:r>
      <w:r>
        <w:t xml:space="preserve">This sensitivity is consistent with the interpretation that DAI_z combines a positive level effect</w:t>
      </w:r>
      <w:r>
        <w:t xml:space="preserve"> </w:t>
      </w:r>
      <w:r>
        <w:t xml:space="preserve">with a negative interaction with FSTS_c at higher export intensities — precisely the pattern</w:t>
      </w:r>
    </w:p>
    <w:p>
      <w:pPr>
        <w:pStyle w:val="BodyText"/>
      </w:pPr>
      <w:r>
        <w:t xml:space="preserve">documented in 4.1 for the 2023 wave.</w:t>
      </w:r>
      <w:r>
        <w:t xml:space="preserve"> </w:t>
      </w:r>
      <w:r>
        <w:t xml:space="preserve">The pooled interaction terms involving DAI_z carry a marginal joint signal.</w:t>
      </w:r>
    </w:p>
    <w:p>
      <w:pPr>
        <w:pStyle w:val="BodyText"/>
      </w:pPr>
      <w:r>
        <w:t xml:space="preserve">The linear</w:t>
      </w:r>
    </w:p>
    <w:p>
      <w:pPr>
        <w:pStyle w:val="BodyText"/>
      </w:pPr>
      <w:r>
        <w:t xml:space="preserve">interaction is negative but not individually significant (FSTS_c × DAI_z = -0.448, p = .116),</w:t>
      </w:r>
      <w:r>
        <w:t xml:space="preserve"> </w:t>
      </w:r>
      <w:r>
        <w:t xml:space="preserve">and the quadratic interaction is positive but not significant (FSTS_c</w:t>
      </w:r>
    </w:p>
    <w:p>
      <w:pPr>
        <w:pStyle w:val="BodyText"/>
      </w:pPr>
      <w:r>
        <w:t xml:space="preserve">2 × DAI_z = 0.460, p =</w:t>
      </w:r>
    </w:p>
    <w:p>
      <w:pPr>
        <w:pStyle w:val="BodyText"/>
      </w:pPr>
      <w:r>
        <w:t xml:space="preserve">.276). The joint Wald test sits at marginal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reaches marginal significance only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w:t>
      </w:r>
    </w:p>
    <w:p>
      <w:pPr>
        <w:pStyle w:val="BodyText"/>
      </w:pPr>
      <w:r>
        <w:t xml:space="preserve">The M3</w:t>
      </w:r>
    </w:p>
    <w:p>
      <w:pPr>
        <w:pStyle w:val="BodyText"/>
      </w:pPr>
      <w:r>
        <w:t xml:space="preserve">joint test on FSTS_c × TCI_z and FSTS_c × TCI_z is statistically distinguishable from</w:t>
      </w:r>
      <w:r>
        <w:t xml:space="preserve"> </w:t>
      </w:r>
      <w:r>
        <w:t xml:space="preserve">zero in three of four panels (2009 p = .040, 2023 p = .027, pooled p = .003) and null only in</w:t>
      </w:r>
      <w:r>
        <w:t xml:space="preserve"> </w:t>
      </w:r>
      <w:r>
        <w:t xml:space="preserve">2015 (p = .713). Pooled, the linear interaction is negative (FSTS_c × TCI_z = -0.587, p =</w:t>
      </w:r>
      <w:r>
        <w:t xml:space="preserve"> </w:t>
      </w:r>
      <w:r>
        <w:t xml:space="preserve">.003) and the quadratic is positive (FSTS_c</w:t>
      </w:r>
    </w:p>
    <w:p>
      <w:pPr>
        <w:pStyle w:val="BodyText"/>
      </w:pPr>
      <w:r>
        <w:t xml:space="preserve">2 × TCI_z =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r>
        <w:t xml:space="preserve"> </w:t>
      </w:r>
      <w:r>
        <w:t xml:space="preserve">shows that this conclusion would be incomplete.</w:t>
      </w:r>
    </w:p>
    <w:p>
      <w:pPr>
        <w:pStyle w:val="BodyText"/>
      </w:pPr>
      <w:r>
        <w:t xml:space="preserve">The wave-specific evidence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tbl>
      <w:tblPr>
        <w:tblStyle w:val="FigureTable"/>
        <w:tblW w:type="auto" w:w="0"/>
        <w:tblLook w:firstRow="0" w:lastRow="0" w:firstColumn="0" w:lastColumn="0"/>
        <w:jc w:val="center"/>
      </w:tblPr>
      <w:tblGrid>
        <w:gridCol w:w="7920"/>
      </w:tblGrid>
      <w:tr>
        <w:tc>
          <w:tcPr/>
          <w:p>
            <w:pPr>
              <w:pStyle w:val="Compact"/>
              <w:jc w:val="center"/>
            </w:pPr>
            <w:r>
              <w:t xml:space="preserve">Figure 2a: Wave 2009 — predicted ln(labour productivity) vs FSTS</w:t>
            </w:r>
          </w:p>
        </w:tc>
      </w:tr>
    </w:tbl>
    <w:p>
      <w:pPr>
        <w:pStyle w:val="ImageCaption"/>
      </w:pPr>
      <w:r>
        <w:t xml:space="preserve">Figure 2a: Wave 2009 — predicted ln(labour productivity) vs FSTS</w:t>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tbl>
      <w:tblPr>
        <w:tblStyle w:val="FigureTable"/>
        <w:tblW w:type="auto" w:w="0"/>
        <w:tblLook w:firstRow="0" w:lastRow="0" w:firstColumn="0" w:lastColumn="0"/>
        <w:jc w:val="center"/>
      </w:tblPr>
      <w:tblGrid>
        <w:gridCol w:w="7920"/>
      </w:tblGrid>
      <w:tr>
        <w:tc>
          <w:tcPr/>
          <w:p>
            <w:pPr>
              <w:pStyle w:val="Compact"/>
              <w:jc w:val="center"/>
            </w:pPr>
            <w:r>
              <w:t xml:space="preserve">Figure 2b: Wave 2015 — predicted ln(labour productivity) vs FSTS</w:t>
            </w:r>
          </w:p>
        </w:tc>
      </w:tr>
    </w:tbl>
    <w:p>
      <w:pPr>
        <w:pStyle w:val="ImageCaption"/>
      </w:pPr>
      <w:r>
        <w:t xml:space="preserve">Figure 2b: Wave 2015 — predicted ln(labour productivity) vs FSTS</w:t>
      </w:r>
    </w:p>
    <w:p>
      <w:pPr>
        <w:pStyle w:val="BodyText"/>
      </w:pPr>
      <w:r>
        <w:rPr>
          <w:iCs/>
          <w:i/>
        </w:rPr>
        <w:t xml:space="preserve">Figure 2b.</w:t>
      </w:r>
      <w:r>
        <w:t xml:space="preserve"> </w:t>
      </w:r>
      <w:r>
        <w:t xml:space="preserve">Predicted ln(labour productivity) as a function of FSTS for the 2015 wave (M2). Turning point ≈ 39% FSTS (Lind-Mehlum p = .009).</w:t>
      </w:r>
    </w:p>
    <w:tbl>
      <w:tblPr>
        <w:tblStyle w:val="FigureTable"/>
        <w:tblW w:type="auto" w:w="0"/>
        <w:tblLook w:firstRow="0" w:lastRow="0" w:firstColumn="0" w:lastColumn="0"/>
        <w:jc w:val="center"/>
      </w:tblPr>
      <w:tblGrid>
        <w:gridCol w:w="7920"/>
      </w:tblGrid>
      <w:tr>
        <w:tc>
          <w:tcPr/>
          <w:p>
            <w:pPr>
              <w:pStyle w:val="Compact"/>
              <w:jc w:val="center"/>
            </w:pPr>
            <w:r>
              <w:t xml:space="preserve">Figure 2c: Wave 2023 — predicted ln(labour productivity) vs FSTS</w:t>
            </w:r>
          </w:p>
        </w:tc>
      </w:tr>
    </w:tbl>
    <w:p>
      <w:pPr>
        <w:pStyle w:val="ImageCaption"/>
      </w:pPr>
      <w:r>
        <w:t xml:space="preserve">Figure 2c: Wave 2023 — predicted ln(labour productivity) vs FSTS</w:t>
      </w:r>
    </w:p>
    <w:p>
      <w:pPr>
        <w:pStyle w:val="BodyText"/>
      </w:pPr>
      <w:r>
        <w:rPr>
          <w:iCs/>
          <w:i/>
        </w:rPr>
        <w:t xml:space="preserve">Figure 2c.</w:t>
      </w:r>
      <w:r>
        <w:t xml:space="preserve"> </w:t>
      </w:r>
      <w:r>
        <w:t xml:space="preserve">Predicted ln(labour productivity) as a function of FSTS for the 2023 wave (M2). Turning point ≈ 42% FSTS (Lind-Mehlum p = .013).</w:t>
      </w:r>
    </w:p>
    <w:tbl>
      <w:tblPr>
        <w:tblStyle w:val="FigureTable"/>
        <w:tblW w:type="auto" w:w="0"/>
        <w:tblLook w:firstRow="0" w:lastRow="0" w:firstColumn="0" w:lastColumn="0"/>
        <w:jc w:val="center"/>
      </w:tblPr>
      <w:tblGrid>
        <w:gridCol w:w="7920"/>
      </w:tblGrid>
      <w:tr>
        <w:tc>
          <w:tcPr/>
          <w:p>
            <w:pPr>
              <w:pStyle w:val="Compact"/>
              <w:jc w:val="center"/>
            </w:pPr>
            <w:r>
              <w:t xml:space="preserve">Figure 2d: Pooled (2009+2015+2023) — predicted ln(labour productivity) vs FSTS</w:t>
            </w:r>
          </w:p>
        </w:tc>
      </w:tr>
    </w:tbl>
    <w:p>
      <w:pPr>
        <w:pStyle w:val="ImageCaption"/>
      </w:pPr>
      <w:r>
        <w:t xml:space="preserve">Figure 2d: Pooled (2009+2015+2023) — predicted ln(labour productivity) vs FSTS</w:t>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38"/>
    <w:bookmarkStart w:id="39" w:name="interpretation-of-the-hypothesis-tests"/>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 coordination capacity, contract enforcement, and trade-finance access — that change more slowly than the wider operating environment. This within-WBES cross-wave evidence complements the institutional-context channel identified in meta-analyses of the I–P relationship (Wu, Fan, &amp; Chen, 2022 — MIR; Marano et al., 2016).</w:t>
      </w:r>
    </w:p>
    <w:p>
      <w:pPr>
        <w:pStyle w:val="BodyText"/>
      </w:pPr>
      <w:r>
        <w:t xml:space="preserve">H2 is supported by the positive TCI_z direct association in the pooled sample (β = 0.179, p &lt; .001) and in all three wave-specific periods (2009 p &lt; .001; 2015 p = .010; 2023 p = .006), reinforced by statistically distinguishable TCI moderation in three of four panels (M3 joint p = .040, .713, .027 and .003). The baseline DAI_z control reports a positive pooled level association (β = 0.078, p = .004) but with substantial wave-to-wave variability — strong in 2009 (β = 0.175, p &lt; .001), null in 2015 (β = -0.044, p = .377), and re-emerging in 2023 (β = 0.095, p = .038). Because DAI_z indexes only Tier-1 website presence and is not formalised as a primary hypothesis in this paper, this wave variation is reported descriptively rather than as a hypothesis test. The Paternoster cross-wave z-tests (4.5, Panel F) confirm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 FSTS_c × DAI_z = -0.912 (p = .043) and</w:t>
      </w:r>
      <w:r>
        <w:t xml:space="preserve"> </w:t>
      </w:r>
      <w:r>
        <w:t xml:space="preserve">the joint test at M4 p = .102, M8 p = .062. The pooled M8 joint test (p = .083)</w:t>
      </w:r>
      <w:r>
        <w:t xml:space="preserve"> </w:t>
      </w:r>
      <w:r>
        <w:t xml:space="preserve">is also at marginal significance,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 FSTS² × DAI is not): the moderator shifts the position of the turning point but preserves the inverted-U shape. Type II moderation flips the shape of the curve (i.e., FSTS² × DAI is significant): high versus low moderator values produce qualitatively different functional forms. The 2023 DAI evidence fits Type I: the significant linear interaction FSTS_c × DAI_z = −0.912 (p = .043) indicates that digital adoption attenuates the positive slope at low export intensity, pulling the turning point inward, while the FSTS² × DAI interaction remains insignificant, confirming that the inverted-U shape is preserved. Type II moderation — digital capability reversing the curvature for high-adopter firms — is not supported in the Vietnam sample.</w:t>
      </w:r>
    </w:p>
    <w:tbl>
      <w:tblPr>
        <w:tblStyle w:val="FigureTable"/>
        <w:tblW w:type="auto" w:w="0"/>
        <w:tblLook w:firstRow="0" w:lastRow="0" w:firstColumn="0" w:lastColumn="0"/>
        <w:jc w:val="center"/>
      </w:tblPr>
      <w:tblGrid>
        <w:gridCol w:w="7920"/>
      </w:tblGrid>
      <w:tr>
        <w:tc>
          <w:tcPr/>
          <w:p>
            <w:pPr>
              <w:pStyle w:val="Compact"/>
              <w:jc w:val="center"/>
            </w:pPr>
            <w:r>
              <w:t xml:space="preserve">Figure 3: Moderator marginal effects — TCI and DAI interactions with FSTS (Vietnam)</w:t>
            </w:r>
          </w:p>
        </w:tc>
      </w:tr>
    </w:tbl>
    <w:p>
      <w:pPr>
        <w:pStyle w:val="ImageCaption"/>
      </w:pPr>
      <w:r>
        <w:t xml:space="preserve">Figure 3: Moderator marginal effects — TCI and DAI interactions with FSTS (Vietnam)</w:t>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 (Type I moderation: slope-flattening, shape preserved).</w:t>
      </w:r>
    </w:p>
    <w:bookmarkEnd w:id="39"/>
    <w:bookmarkStart w:id="40" w:name="X23d394b5fab5dc8f1b4dd565bcba255732d0503"/>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 FSTS_c</w:t>
      </w:r>
      <w:r>
        <w:t xml:space="preserve"> </w:t>
      </w:r>
      <w:r>
        <w:t xml:space="preserve">term is negative (β = -0.861, p &lt; .001) but the quadratic term is not significant (FSTS_c</w:t>
      </w:r>
    </w:p>
    <w:p>
      <w:pPr>
        <w:pStyle w:val="BodyText"/>
      </w:pPr>
      <w:r>
        <w:t xml:space="preserve">2β</w:t>
      </w:r>
    </w:p>
    <w:p>
      <w:pPr>
        <w:pStyle w:val="BodyText"/>
      </w:pPr>
      <w:r>
        <w:t xml:space="preserve">=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1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1 summarises the directional interpretation of the focal coefficients from the full specifications by wave and for the pooled sample.</w:t>
      </w:r>
    </w:p>
    <w:bookmarkEnd w:id="40"/>
    <w:bookmarkStart w:id="42" w:name="robustness"/>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 Sector split (manufacturing versus non-manufacturing).</w:t>
      </w:r>
    </w:p>
    <w:p>
      <w:pPr>
        <w:pStyle w:val="BodyText"/>
      </w:pPr>
      <w:r>
        <w:t xml:space="preserve">To test whether the</w:t>
      </w:r>
    </w:p>
    <w:p>
      <w:pPr>
        <w:pStyle w:val="BodyText"/>
      </w:pPr>
      <w:r>
        <w:t xml:space="preserve">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w:t>
      </w:r>
    </w:p>
    <w:p>
      <w:pPr>
        <w:pStyle w:val="BodyText"/>
      </w:pPr>
      <w:r>
        <w:t xml:space="preserve">manufacturing (FSTS_c β = 0.971, p = .001; FSTS_c</w:t>
      </w:r>
    </w:p>
    <w:p>
      <w:pPr>
        <w:pStyle w:val="BodyText"/>
      </w:pPr>
      <w:r>
        <w:t xml:space="preserve">2 β = -1.883, p &lt; .001) than in non-</w:t>
      </w:r>
    </w:p>
    <w:p>
      <w:pPr>
        <w:pStyle w:val="BodyText"/>
      </w:pPr>
      <w:r>
        <w:t xml:space="preserve">manufacturing (FSTS_c β = 1.615, p = .064, marginal; FSTS_c</w:t>
      </w:r>
    </w:p>
    <w:p>
      <w:pPr>
        <w:pStyle w:val="BodyText"/>
      </w:pPr>
      <w:r>
        <w:t xml:space="preserve">2 β = -2.479, p = .046).</w:t>
      </w:r>
    </w:p>
    <w:p>
      <w:pPr>
        <w:pStyle w:val="BodyText"/>
      </w:pPr>
      <w:r>
        <w:t xml:space="preserve">More substantively, the capability and digital-adoption channels operate primarily in manufacturing.</w:t>
      </w:r>
    </w:p>
    <w:p>
      <w:pPr>
        <w:pStyle w:val="BodyText"/>
      </w:pPr>
      <w:r>
        <w:t xml:space="preserve">In the M7 dual-direct specification, manufacturing firms display a strong TCI_z</w:t>
      </w:r>
    </w:p>
    <w:p>
      <w:pPr>
        <w:pStyle w:val="BodyText"/>
      </w:pPr>
      <w:r>
        <w:t xml:space="preserve">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 FSTS_c term (β = -0.861, p &lt; .001)</w:t>
      </w:r>
      <w:r>
        <w:t xml:space="preserve"> </w:t>
      </w:r>
      <w:r>
        <w:t xml:space="preserve">but a non-significant quadratic term (FSTS_c</w:t>
      </w:r>
    </w:p>
    <w:p>
      <w:pPr>
        <w:pStyle w:val="BodyText"/>
      </w:pPr>
      <w:r>
        <w:t xml:space="preserve">2 β = -0.200, p = .660), and the joint M8 test of the</w:t>
      </w:r>
    </w:p>
    <w:p>
      <w:pPr>
        <w:pStyle w:val="BodyText"/>
      </w:pPr>
      <w:r>
        <w:t xml:space="preserve">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w:t>
      </w:r>
    </w:p>
    <w:p>
      <w:pPr>
        <w:pStyle w:val="BodyText"/>
      </w:pPr>
      <w:r>
        <w:t xml:space="preserve">× wave, FSTS_c2 × wave, DAI_z × wave, TCI_z × wave). The joint Wald tests show that</w:t>
      </w:r>
      <w:r>
        <w:t xml:space="preserve"> </w:t>
      </w:r>
      <w:r>
        <w:t xml:space="preserve">only DAI_z × wave is statistically distinguishable from the pooled average (joint p = .016); the</w:t>
      </w:r>
    </w:p>
    <w:p>
      <w:pPr>
        <w:pStyle w:val="BodyText"/>
      </w:pPr>
      <w:r>
        <w:t xml:space="preserve">2 and TCI_z direct-effect cross-wave differences are not statistically separable</w:t>
      </w:r>
      <w:r>
        <w:t xml:space="preserve"> </w:t>
      </w:r>
      <w:r>
        <w:t xml:space="preserve">(all joint p &gt; .25), and the FSTS_c × DAI_z and FSTS_c × DAI_z cross-wave differences</w:t>
      </w:r>
      <w:r>
        <w:t xml:space="preserve"> </w:t>
      </w:r>
      <w:r>
        <w:t xml:space="preserve">FSTS_c, FSTS_c</w:t>
      </w:r>
    </w:p>
    <w:p>
      <w:pPr>
        <w:pStyle w:val="BodyText"/>
      </w:pPr>
      <w:r>
        <w:t xml:space="preserve">are not separable either (joint p &gt; .55). This formal test confirms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Density-around-turning-point check. We also report the within-sample mass of firms in the</w:t>
      </w:r>
      <w:r>
        <w:t xml:space="preserve"> </w:t>
      </w:r>
      <w:r>
        <w:t xml:space="preserve">curvature zone.</w:t>
      </w:r>
    </w:p>
    <w:p>
      <w:pPr>
        <w:pStyle w:val="BodyText"/>
      </w:pPr>
      <w:r>
        <w:t xml:space="preserve">Defining a ±5 percentage-point band around the wave-specific turning point</w:t>
      </w:r>
    </w:p>
    <w:p>
      <w:pPr>
        <w:pStyle w:val="BodyText"/>
      </w:pPr>
      <w:r>
        <w:t xml:space="preserve">(TP),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41"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Heckman two-step corrections (Panel E) yield insignificant inverse-Mills ratios across all waves (all |λ| &lt; 0.84, p &gt; .25), indicating no detectable selection bias on the exporter subsample. Propensity-score matching (Panel J) corroborates the average H2 TCI association and the baseline DAI_z 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confirms that website presence does not plausibly cause productivity improvements in 2023 Vietnam, reinforcing the Tier 1 proxy obsolescence interpretation of the negative DAI×FSTS interaction. The strongly positive instrumented TCI coefficient (β=1.639, p&lt;.001 — substantially larger than the OLS estimate, consistent with attenuation-bias correction) further confirms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confirm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confirm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confirm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§5 rely on the pattern across panels and the directional consistency of the focal estimates rather than on the significance of any single robustness panel.</w:t>
      </w:r>
    </w:p>
    <w:p>
      <w:pPr>
        <w:pStyle w:val="BodyText"/>
      </w:pPr>
      <w:r>
        <w:t xml:space="preserve">Table 3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3: Robustness panels A–K and supplementary checks.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 669 FSTS_c = −0.861 ; FSTS_c2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 website (kernel 1,085 ATT_DAI = 0.321 (SE 0.043)</w:t>
      </w:r>
      <w:r>
        <w:t xml:space="preserve"> </w:t>
      </w:r>
      <w:r>
        <w:t xml:space="preserve">Robust to algorithm</w:t>
      </w:r>
      <w:r>
        <w:t xml:space="preserve"> </w:t>
      </w:r>
      <w:r>
        <w:t xml:space="preserve">BW 0.06)</w:t>
      </w:r>
      <w:r>
        <w:t xml:space="preserve"> </w:t>
      </w:r>
      <w:r>
        <w:t xml:space="preserve">J. PSM ATT —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 0.61; FSTSc2 −2.21 → −1.17; No sign change; focal findTCI 0.14 → 0.19; DAI 0.07 →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 www.enterprisesurveys.org; authors’ calculations.</w:t>
      </w:r>
      <w:r>
        <w:t xml:space="preserve"> </w:t>
      </w:r>
      <w:r>
        <w:t xml:space="preserve">Notes.</w:t>
      </w:r>
    </w:p>
    <w:p>
      <w:pPr>
        <w:pStyle w:val="BodyText"/>
      </w:pPr>
      <w:r>
        <w:t xml:space="preserve">Table 4: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 Turning points (already reported in Table 4 above) are derived from M2 (lnLP = β₀ + β₁ FSTS_c + β₂ FSTS_c² + controls + sector FE [+ wave FE in pooled]) back-transformed to the raw FSTS scale; 95% CI uses the delta method; Lind–Mehlum p-values follow the Sasabuchi-style endpoint test (Lind &amp; Mehlum, 2010). Source: WBES Vietnam 2009, 2015, 2023; authors’ calculations.</w:t>
      </w:r>
    </w:p>
    <w:bookmarkEnd w:id="41"/>
    <w:bookmarkEnd w:id="42"/>
    <w:bookmarkEnd w:id="43"/>
    <w:bookmarkStart w:id="49" w:name="discussion"/>
    <w:p>
      <w:pPr>
        <w:pStyle w:val="Heading2"/>
      </w:pPr>
      <w:r>
        <w:t xml:space="preserve">5. Discussion</w:t>
      </w:r>
    </w:p>
    <w:p>
      <w:pPr>
        <w:pStyle w:val="FirstParagraph"/>
      </w:pPr>
      <w:r>
        <w:t xml:space="preserve">The results should first be located against the meta-analytic baseline. Wu, Fan, and Chen (2022, MIR) establish a positive average I–P relationship for emerging-market multinationals — a useful macro-level anchor, but one that aggregates across institutional contexts in which the functional form may vary substantially. Country-level heterogeneity in the I–P curve shape remains under-specified in that meta-analysis. Vietnam — as a single-party transitional economy with rapid but uneven digital infrastructure uptake — provides a critical test of whether the pooled meta-level estimate masks functional-form nonlinearity at the within-country level. The present evidence is consistent with that concern: the inverted-U is robust within Vietnam but is driven predominantly by a participation-margin step rather than by within-exporter saturation, a structure that pooling across exporters and non-exporters in cross-country meta-analyses would tend to inflate into an apparent continuous curvature. The within-Vietnam temporal durability of the threshold (39–46 % band sustained across 14 years) additionally confirms that institutional context — held constant in this single-country design — stabilises the curve shape in a way that cross-country designs cannot isolate. Our finding of a reproducible inverted-U at FSTS ≈ 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w:t>
      </w:r>
    </w:p>
    <w:bookmarkStart w:id="44" w:name="X45b04fa3b40d11388c7a41a1d622c5668243784"/>
    <w:p>
      <w:pPr>
        <w:pStyle w:val="Heading3"/>
      </w:pPr>
      <w:r>
        <w:t xml:space="preserve">5.1 Reinterpreting the baseline website-presence indicator in Vietnam</w:t>
      </w:r>
    </w:p>
    <w:p>
      <w:pPr>
        <w:pStyle w:val="FirstParagraph"/>
      </w:pPr>
      <w:r>
        <w:t xml:space="preserve">The central implication of the descriptive DAI_z findings is that baseline website presence in Vietnam should</w:t>
      </w:r>
      <w:r>
        <w:t xml:space="preserve"> </w:t>
      </w:r>
      <w:r>
        <w:t xml:space="preserve">not be interpreted as a universal and temporally stable productivity premium, nor as evidence on dynamic digital capability. Although both</w:t>
      </w:r>
      <w:r>
        <w:t xml:space="preserve"> </w:t>
      </w:r>
      <w:r>
        <w:t xml:space="preserve">TCI_z and DAI_z are positive on average in pooled specifications, their empirical roles differ</w:t>
      </w:r>
      <w:r>
        <w:t xml:space="preserve"> </w:t>
      </w:r>
      <w:r>
        <w:t xml:space="preserve">materially across waves and across identification strategies (Vahlne, 2020; Stallkamp and Schotter, 2021). Within the constraint of a Tier-1 binary website indicator, the pattern is that</w:t>
      </w:r>
      <w:r>
        <w:t xml:space="preserve"> </w:t>
      </w:r>
      <w:r>
        <w:t xml:space="preserve">website ownership is not a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 FSTS_c × DAI_z interaction in 2023 — where DAI productivity relevance attenuates at higher export intensities —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interpretation helps reconcile the coexistence of positive pooled effects and uneven wavespecific results. The pooled model captures the average tendency for stronger capability to be</w:t>
      </w:r>
      <w:r>
        <w:t xml:space="preserve"> </w:t>
      </w:r>
      <w:r>
        <w:t xml:space="preserve">associated with better performance. The wave-specific models show that this tendency is not</w:t>
      </w:r>
      <w:r>
        <w:t xml:space="preserve"> </w:t>
      </w:r>
      <w:r>
        <w:t xml:space="preserve">equally strong in every phase. The value of digital capability therefore depends on where firms</w:t>
      </w:r>
      <w:r>
        <w:t xml:space="preserve"> </w:t>
      </w:r>
      <w:r>
        <w:t xml:space="preserve">stand in the broader trajectory of internationalisation and transition, as captured in repeated cross-sectional snapshots rather than within-firm longitudinal records.</w:t>
      </w:r>
    </w:p>
    <w:bookmarkEnd w:id="44"/>
    <w:bookmarkStart w:id="45" w:name="Xf38ea3bc596d70f844bdf59a29c37f26a529ee1"/>
    <w:p>
      <w:pPr>
        <w:pStyle w:val="Heading3"/>
      </w:pPr>
      <w:r>
        <w:t xml:space="preserve">5.2 Why the distinction between TCI and baseline DAI matters</w:t>
      </w:r>
    </w:p>
    <w:p>
      <w:pPr>
        <w:pStyle w:val="FirstParagraph"/>
      </w:pPr>
      <w:r>
        <w:t xml:space="preserve">The results strengthen the methodological case for separating foreign-technology / standards capability from a baseline website-presence indicator and for not conflating the two under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 TCI_z 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 DAI_rich extension reported in 4.5 Panel B reinforces the construct interpretation</w:t>
      </w:r>
      <w:r>
        <w:t xml:space="preserve"> </w:t>
      </w:r>
      <w:r>
        <w:t xml:space="preserve">rather than weakening it. Although the primary DAI_z anchored on c22b (website presence) is</w:t>
      </w:r>
      <w:r>
        <w:t xml:space="preserve"> </w:t>
      </w:r>
      <w:r>
        <w:t xml:space="preserve">by 2023 close to a Tier-1 baseline indicator, the DAI_rich extension available only in 2023 —</w:t>
      </w:r>
      <w:r>
        <w:t xml:space="preserve"> </w:t>
      </w:r>
      <w:r>
        <w:t xml:space="preserve">combining c22b with electronic-payment shares (k33, k38) — produces a similarly directioned</w:t>
      </w:r>
      <w:r>
        <w:t xml:space="preserve"> </w:t>
      </w:r>
      <w:r>
        <w:t xml:space="preserve">and a moderation pattern in the same direction (FSTS_c ×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w:r>
        <w:t xml:space="preserve">TCI_z behaves like a</w:t>
      </w:r>
    </w:p>
    <w:p>
      <w:pPr>
        <w:pStyle w:val="BodyText"/>
      </w:pPr>
      <w:r>
        <w:t xml:space="preserve">robust foreign-technology / standards capability whose productivity association survives both</w:t>
      </w:r>
      <w:r>
        <w:t xml:space="preserve"> </w:t>
      </w:r>
      <w:r>
        <w:t xml:space="preserve">PSM and 2SLS. DAI_z 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supports a more careful approach to digitalisation in international-business research, one that</w:t>
      </w:r>
      <w:r>
        <w:t xml:space="preserve"> </w:t>
      </w:r>
      <w:r>
        <w:t xml:space="preserve">distinguishes between basic digital enablement (easily contaminated by selection on observables)</w:t>
      </w:r>
      <w:r>
        <w:t xml:space="preserve"> </w:t>
      </w:r>
      <w:r>
        <w:t xml:space="preserve">and broader technological depth (more identification-robust), rather than collapsing them into</w:t>
      </w:r>
      <w:r>
        <w:t xml:space="preserve"> </w:t>
      </w:r>
      <w:r>
        <w:t xml:space="preserve">a single label.</w:t>
      </w:r>
    </w:p>
    <w:bookmarkEnd w:id="45"/>
    <w:bookmarkStart w:id="46" w:name="the-significance-of-the-2015-dip"/>
    <w:p>
      <w:pPr>
        <w:pStyle w:val="Heading3"/>
      </w:pPr>
      <w:r>
        <w:t xml:space="preserve">5.3 The significance of the 2015 dip</w:t>
      </w:r>
    </w:p>
    <w:p>
      <w:pPr>
        <w:pStyle w:val="FirstParagraph"/>
      </w:pPr>
      <w:r>
        <w:t xml:space="preserve">Before invoking the macro-infrastructure narrative, it is worth grounding the 2015 null in the micro-structure of the sample itself. As reported in Table 1, the exporter share fell from 28.4% in 2009 to 20.7% in 2015 —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 not merely the macro infrastructure gap —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 and to a degree complementary —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will be needed to disentangle the two channels.</w:t>
      </w:r>
    </w:p>
    <w:p>
      <w:pPr>
        <w:pStyle w:val="BodyText"/>
      </w:pPr>
      <w:r>
        <w:t xml:space="preserve">The 2015 pattern is best interpreted not as an anomaly, but as a wave-specific compression of</w:t>
      </w:r>
      <w:r>
        <w:t xml:space="preserve"> </w:t>
      </w:r>
      <w:r>
        <w:t xml:space="preserve">the foundational digital-adoption channel under transitional infrastructure conditions. It shows</w:t>
      </w:r>
      <w:r>
        <w:t xml:space="preserve"> </w:t>
      </w:r>
      <w:r>
        <w:t xml:space="preserve">that even when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 they are not entered</w:t>
      </w:r>
      <w:r>
        <w:t xml:space="preserve"> </w:t>
      </w:r>
      <w:r>
        <w:t xml:space="preserve">into the regression —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demonstrates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46"/>
    <w:bookmarkStart w:id="47" w:name="managerial-implications"/>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 FSTS &gt; 0) and the inverted-U turning-point band at 39–46 % FSTS. Read together, the step-function structure at the participation margin and the Tier-1 saturation of website-based digital presence imply a threshold-conditioned capital-allocation map for Vietnamese SME managers — one that translates the wave-specific coefficient patterns into stage-appropriate priorities.</w:t>
      </w:r>
    </w:p>
    <w:p>
      <w:pPr>
        <w:pStyle w:val="BodyText"/>
      </w:pPr>
      <w:r>
        <w:rPr>
          <w:iCs/>
          <w:i/>
        </w:rPr>
        <w:t xml:space="preserve">Stage 1 —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 Approaching the turning-point band (FSTS ≈ 30–46 %).</w:t>
      </w:r>
      <w:r>
        <w:t xml:space="preserve"> </w:t>
      </w:r>
      <w:r>
        <w:t xml:space="preserve">The TCI direct association (pooled β = 0.179, p &lt; .001; instrumented β =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 foreign-licensed technology, formal quality-certification systems, process integration with foreign principals —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 Beyond the turning point (FSTS &gt; ~46 %).</w:t>
      </w:r>
      <w:r>
        <w:t xml:space="preserve"> </w:t>
      </w:r>
      <w:r>
        <w:t xml:space="preserve">The negative FSTS × DAI_z interaction observed in 2023 (β =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 DAI_rich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47"/>
    <w:bookmarkStart w:id="48" w:name="policy-implications"/>
    <w:p>
      <w:pPr>
        <w:pStyle w:val="Heading3"/>
      </w:pPr>
      <w:r>
        <w:t xml:space="preserve">5.5 Policy implications</w:t>
      </w:r>
    </w:p>
    <w:p>
      <w:pPr>
        <w:pStyle w:val="FirstParagraph"/>
      </w:pPr>
      <w:r>
        <w:t xml:space="preserve">We frame the policy reading as tentative considerations rather than directive prescriptions. The</w:t>
      </w:r>
      <w:r>
        <w:t xml:space="preserve"> </w:t>
      </w:r>
      <w:r>
        <w:t xml:space="preserve">associational nature of the evidence, the breadth of the wave-specific heterogeneity, and the</w:t>
      </w:r>
      <w:r>
        <w:t xml:space="preserve"> </w:t>
      </w:r>
      <w:r>
        <w:t xml:space="preserve">single-economy scope all weigh against converting the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 quality certification,</w:t>
      </w:r>
      <w:r>
        <w:t xml:space="preserve"> </w:t>
      </w:r>
      <w:r>
        <w:t xml:space="preserve">absorptive-capacity investment, organisational routines for cross-border coordination — will be</w:t>
      </w:r>
      <w:r>
        <w:t xml:space="preserve"> </w:t>
      </w:r>
      <w:r>
        <w:t xml:space="preserve">more consistent with the pattern that emerges in 2023.</w:t>
      </w:r>
      <w:r>
        <w:t xml:space="preserve"> </w:t>
      </w:r>
      <w:r>
        <w:t xml:space="preserve">Third, the cross-wave comparison — which, given the repeated cross-sectional design, reflects cohort-level snapshots rather than within-firm trajectories —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 reinforcing the argument that policy evaluation in transitional settings must monitor the capability environment, not adoption rates alone.</w:t>
      </w:r>
    </w:p>
    <w:bookmarkEnd w:id="48"/>
    <w:bookmarkEnd w:id="49"/>
    <w:bookmarkStart w:id="50" w:name="limitations-and-future-research"/>
    <w:p>
      <w:pPr>
        <w:pStyle w:val="Heading2"/>
      </w:pPr>
      <w:r>
        <w:t xml:space="preserve">6. Limitations and future research</w:t>
      </w:r>
    </w:p>
    <w:p>
      <w:pPr>
        <w:pStyle w:val="FirstParagraph"/>
      </w:pPr>
      <w:r>
        <w:t xml:space="preserve">The findings should be read against five limitations. First and most fundamentally, the WBES</w:t>
      </w:r>
      <w:r>
        <w:t xml:space="preserve"> </w:t>
      </w:r>
      <w:r>
        <w:t xml:space="preserve">microdata are repeated cross-sections rather than a true firm panel. Within-firm change over</w:t>
      </w:r>
      <w:r>
        <w:t xml:space="preserve"> </w:t>
      </w:r>
      <w:r>
        <w:t xml:space="preserve">time cannot be identified, and time-invariant unobserved heterogeneity cannot be netted out at</w:t>
      </w:r>
      <w:r>
        <w:t xml:space="preserve"> </w:t>
      </w:r>
      <w:r>
        <w:t xml:space="preserve">the firm level. The associational language used throughout the paper reflects this constraint and</w:t>
      </w:r>
      <w:r>
        <w:t xml:space="preserve"> </w:t>
      </w:r>
      <w:r>
        <w:t xml:space="preserve">should not be relaxed in any reader’s interpretation of the results.</w:t>
      </w:r>
      <w:r>
        <w:t xml:space="preserve"> </w:t>
      </w:r>
      <w:r>
        <w:t xml:space="preserve">Second, DAI_z captures only a foundational, Tier-1-style layer of digital adoption centred</w:t>
      </w:r>
      <w:r>
        <w:t xml:space="preserve"> </w:t>
      </w:r>
      <w:r>
        <w:t xml:space="preserve">on website presence, rather than digitally integrated organisational capability. The DAI_rich</w:t>
      </w:r>
      <w:r>
        <w:t xml:space="preserve"> </w:t>
      </w:r>
      <w:r>
        <w:t xml:space="preserve">extension for the 2023 wave shows that the conditional pattern survives when richer items are</w:t>
      </w:r>
      <w:r>
        <w:t xml:space="preserve"> </w:t>
      </w:r>
      <w:r>
        <w:t xml:space="preserve">available, but a panel of digitally integrated firms with deeper measurement would tighten the</w:t>
      </w:r>
      <w:r>
        <w:t xml:space="preserve"> </w:t>
      </w:r>
      <w:r>
        <w:t xml:space="preserve">construct further and allow a sharper test of whether deeper digital integration exhibits a more</w:t>
      </w:r>
      <w:r>
        <w:t xml:space="preserve"> </w:t>
      </w:r>
      <w:r>
        <w:t xml:space="preserve">stable productivity channel.</w:t>
      </w:r>
      <w:r>
        <w:t xml:space="preserve"> </w:t>
      </w: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r>
        <w:t xml:space="preserve"> </w:t>
      </w:r>
      <w:r>
        <w:t xml:space="preserve">Fourth, the cross-wave evidence is uneven in statistical strength.</w:t>
      </w:r>
    </w:p>
    <w:p>
      <w:pPr>
        <w:pStyle w:val="BodyText"/>
      </w:pPr>
      <w:r>
        <w:t xml:space="preserve">The Paternoster et al.</w:t>
      </w:r>
    </w:p>
    <w:p>
      <w:pPr>
        <w:numPr>
          <w:ilvl w:val="0"/>
          <w:numId w:val="1002"/>
        </w:numPr>
        <w:pStyle w:val="Compact"/>
      </w:pPr>
      <w:r>
        <w:t xml:space="preserve">z-tests confirm that the drop in DAI_z 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Future work could exploit policy</w:t>
      </w:r>
      <w:r>
        <w:t xml:space="preserve"> </w:t>
      </w:r>
      <w:r>
        <w:t xml:space="preserve">timing — for example, Vietnam’s National Digital Transformation Programme launched in 2020</w:t>
      </w:r>
      <w:r>
        <w:t xml:space="preserve"> </w:t>
      </w:r>
      <w:r>
        <w:t xml:space="preserve">— for sharper identification of the digital channel through a policy-evaluation design rather than</w:t>
      </w:r>
      <w:r>
        <w:t xml:space="preserve"> </w:t>
      </w:r>
      <w:r>
        <w:t xml:space="preserve">a cross-wave comparison.</w:t>
      </w:r>
      <w:r>
        <w:t xml:space="preserve"> </w:t>
      </w:r>
      <w:r>
        <w:t xml:space="preserve">Fifth, the sector fixed effects in the main models are intentionally broad to keep the crosswave specification comparable.</w:t>
      </w:r>
    </w:p>
    <w:p>
      <w:pPr>
        <w:pStyle w:val="FirstParagraph"/>
      </w:pPr>
      <w:r>
        <w:t xml:space="preserve">Section 4.5 Panel G addresses one natural extension by re-</w:t>
      </w:r>
    </w:p>
    <w:p>
      <w:pPr>
        <w:pStyle w:val="BodyText"/>
      </w:pPr>
      <w:r>
        <w:t xml:space="preserve">estimating the pooled M2 / M7 / M8 specifications on manufacturing (sector1 ∈ {1, 2, 3}; N =</w:t>
      </w:r>
      <w:r>
        <w:t xml:space="preserve"> </w:t>
      </w:r>
      <w:r>
        <w:t xml:space="preserve">1,854) versus non-manufacturing (sector1 ∈ {4, 5, 6, 7}; N = 1,104) subsets, and shows that the</w:t>
      </w:r>
      <w:r>
        <w:t xml:space="preserve"> </w:t>
      </w:r>
      <w:r>
        <w:t xml:space="preserve">digital-adoption channel operates primarily in manufacturing while the technological-capability</w:t>
      </w:r>
      <w:r>
        <w:t xml:space="preserve"> </w:t>
      </w:r>
      <w:r>
        <w:t xml:space="preserve">channel is present in both. Finer industry-level mechanisms — for example, contrasting digitally</w:t>
      </w:r>
      <w:r>
        <w:t xml:space="preserve"> </w:t>
      </w:r>
      <w:r>
        <w:t xml:space="preserve">intensive services with traditional services, or contrasting export-oriented with domestically</w:t>
      </w:r>
      <w:r>
        <w:t xml:space="preserve"> </w:t>
      </w:r>
      <w:r>
        <w:t xml:space="preserve">oriented manufacturing sub-sectors —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 negative at high export intensity under Tier-1-only adoption —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§2.1.</w:t>
      </w:r>
    </w:p>
    <w:bookmarkEnd w:id="50"/>
    <w:bookmarkStart w:id="51" w:name="conclusion"/>
    <w:p>
      <w:pPr>
        <w:pStyle w:val="Heading2"/>
      </w:pPr>
      <w:r>
        <w:t xml:space="preserve">7. Conclusion</w:t>
      </w:r>
    </w:p>
    <w:p>
      <w:pPr>
        <w:pStyle w:val="FirstParagraph"/>
      </w:pPr>
      <w:r>
        <w:t xml:space="preserve">This study revisits the internationalisation–performance relationship in Vietnam by treating foreign-technology / standards capability as the primary capability construct and by retaining a single-item website-presence indicator only as a baseline digital-presence control. It compares pooled with wave-specific evidence across the 2009 / 2015 / 2023 WBES waves to evaluate the structural durability of the I–P threshold and the wave-level identification robustness of each capability dimension.</w:t>
      </w:r>
    </w:p>
    <w:p>
      <w:pPr>
        <w:pStyle w:val="BodyText"/>
      </w:pPr>
      <w:r>
        <w:t xml:space="preserve">The findings show that the internationalisation–performance relationship is non-monotonic in the full sample, that the pattern is driven primarily by a participation-and-intensity structure rather than by strong within-exporter curvature alone, and — critically — that the inverted-U turning point is structurally durable: the threshold range clusters within a narrow ~7-percentage-point band (39.3–46.2 %) across 14 years of major institutional change, including WTO accession, the Global Financial Crisis, the COVID-19 supply-chain disruption, and the diffusion of digital-payment infrastructure. This durability is consistent with deep firm-level constraints — coordination capacity, contract enforcement, and trade-finance access — that change more slowly than the wider operating environment.</w:t>
      </w:r>
    </w:p>
    <w:p>
      <w:pPr>
        <w:pStyle w:val="BodyText"/>
      </w:pPr>
      <w:r>
        <w:t xml:space="preserve">The results also show that technological capability and the baseline website-presence indicator should not be treated as interchangeable, and that conflating them under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would obscure their differing identification properties. Technological capability is comparatively stable and identification-robust across specifications. The baseline DAI_z 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not currently available cross-wave in the WBES Vietnam instrument.</w:t>
      </w:r>
    </w:p>
    <w:bookmarkEnd w:id="51"/>
    <w:bookmarkStart w:id="52" w:name="conflict-of-interest"/>
    <w:p>
      <w:pPr>
        <w:pStyle w:val="Heading2"/>
      </w:pPr>
      <w:r>
        <w:t xml:space="preserve">Conflict of interest</w:t>
      </w:r>
    </w:p>
    <w:p>
      <w:pPr>
        <w:pStyle w:val="FirstParagraph"/>
      </w:pPr>
      <w:r>
        <w:t xml:space="preserve">The authors declare no conflict of interest.</w:t>
      </w:r>
    </w:p>
    <w:bookmarkEnd w:id="52"/>
    <w:bookmarkStart w:id="53"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53"/>
    <w:bookmarkStart w:id="54"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54"/>
    <w:bookmarkStart w:id="5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w:t>
      </w:r>
    </w:p>
    <w:p>
      <w:pPr>
        <w:pStyle w:val="BodyText"/>
      </w:pPr>
      <w:r>
        <w:t xml:space="preserve">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55"/>
    <w:bookmarkStart w:id="56"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56"/>
    <w:bookmarkStart w:id="57"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1),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3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57"/>
    <w:bookmarkStart w:id="58" w:name="references"/>
    <w:p>
      <w:pPr>
        <w:pStyle w:val="Heading2"/>
      </w:pPr>
      <w:r>
        <w:t xml:space="preserve">References</w:t>
      </w:r>
    </w:p>
    <w:p>
      <w:pPr>
        <w:pStyle w:val="FirstParagraph"/>
      </w:pP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 https://doi.org/10.1257/jep.21.3.105</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 https://doi.org/10.1057/jibs.2015.20</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 https://doi.org/10.1002/smj.2475</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 https://doi.org/10.1057/palgrave.jibs.8400390</w:t>
      </w:r>
      <w:r>
        <w:t xml:space="preserve"> </w:t>
      </w:r>
      <w:r>
        <w:t xml:space="preserve">Eisenhardt, K. M., &amp; Martin, J. A. (2000). Dynamic capabilities: What are they?</w:t>
      </w:r>
      <w:r>
        <w:t xml:space="preserve"> </w:t>
      </w:r>
      <w:r>
        <w:rPr>
          <w:iCs/>
          <w:i/>
        </w:rPr>
        <w:t xml:space="preserve">Strategic Management Journal, 21</w:t>
      </w:r>
      <w:r>
        <w:t xml:space="preserve">(10–11), 1105–1121. https://doi.org/10.1002/1097-0266(200010/11)21:10/11%3C1105::AID-SMJ133%3E3.0.CO;2-E</w:t>
      </w:r>
      <w:r>
        <w:t xml:space="preserve"> </w:t>
      </w:r>
      <w:r>
        <w:t xml:space="preserve">Goldfarb, A., &amp; Tucker, C. (2019). Digital economics.</w:t>
      </w:r>
      <w:r>
        <w:t xml:space="preserve"> </w:t>
      </w:r>
      <w:r>
        <w:rPr>
          <w:iCs/>
          <w:i/>
        </w:rPr>
        <w:t xml:space="preserve">Journal of Economic Literature, 57</w:t>
      </w:r>
      <w:r>
        <w:t xml:space="preserve">(1), 3–43. https://doi.org/10.1257/jel.20171452</w:t>
      </w:r>
      <w:r>
        <w:t xml:space="preserve"> </w:t>
      </w:r>
      <w:r>
        <w:t xml:space="preserve">Haans, R. F. J., Pieters, C., &amp; He, Z.-L. (2016). Thinking about U: Theorizing and testing U- and inverted-U-shaped relationships in strategy research.</w:t>
      </w:r>
      <w:r>
        <w:t xml:space="preserve"> </w:t>
      </w:r>
      <w:r>
        <w:rPr>
          <w:iCs/>
          <w:i/>
        </w:rPr>
        <w:t xml:space="preserve">Strategic Management Journal, 37</w:t>
      </w:r>
      <w:r>
        <w:t xml:space="preserve">(7), 1177–1195. https://doi.org/10.1002/smj.2399</w:t>
      </w:r>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r>
        <w:t xml:space="preserve"> </w:t>
      </w:r>
      <w:r>
        <w:t xml:space="preserve">Heckman, J. J. (1979). Sample selection bias as a specification error.</w:t>
      </w:r>
      <w:r>
        <w:t xml:space="preserve"> </w:t>
      </w:r>
      <w:r>
        <w:rPr>
          <w:iCs/>
          <w:i/>
        </w:rPr>
        <w:t xml:space="preserve">Econometrica, 47</w:t>
      </w:r>
      <w:r>
        <w:t xml:space="preserve">(1), 153–161. https://doi.org/10.2307/1912352</w:t>
      </w:r>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 https://doi.org/10.1002/gsj.8</w:t>
      </w:r>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 https://www.itu.int/en/ITU-D/Statistics/Pages/publications/wtid.aspx</w:t>
      </w:r>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r>
        <w:t xml:space="preserve"> </w:t>
      </w:r>
      <w:r>
        <w:t xml:space="preserve">Knight, G. A., &amp; Liesch, P. W. (2016). Internationalization: From incremental to born global.</w:t>
      </w:r>
      <w:r>
        <w:t xml:space="preserve"> </w:t>
      </w:r>
      <w:r>
        <w:rPr>
          <w:iCs/>
          <w:i/>
        </w:rPr>
        <w:t xml:space="preserve">Journal of World Business, 51</w:t>
      </w:r>
      <w:r>
        <w:t xml:space="preserve">(1), 93–102. https://doi.org/10.1016/j.jwb.2015.08.011</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 https://doi.org/10.1057/s41267-019-00269-x</w:t>
      </w:r>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r>
        <w:t xml:space="preserve"> </w:t>
      </w:r>
      <w:r>
        <w:t xml:space="preserve">Prime Minister of Vietnam. (2020, June 3).</w:t>
      </w:r>
      <w:r>
        <w:t xml:space="preserve"> </w:t>
      </w:r>
      <w:r>
        <w:rPr>
          <w:iCs/>
          <w:i/>
        </w:rPr>
        <w:t xml:space="preserve">Decision No. 749/QD-TTg approving the</w:t>
      </w:r>
      <w:r>
        <w:rPr>
          <w:iCs/>
          <w:i/>
        </w:rPr>
        <w:t xml:space="preserve"> </w:t>
      </w:r>
      <w:r>
        <w:rPr>
          <w:iCs/>
          <w:i/>
        </w:rPr>
        <w:t xml:space="preserve">“</w:t>
      </w:r>
      <w:r>
        <w:rPr>
          <w:iCs/>
          <w:i/>
        </w:rPr>
        <w:t xml:space="preserve">National Digital Transformation Programme by 2025, with orientations towards 2030</w:t>
      </w:r>
      <w:r>
        <w:rPr>
          <w:iCs/>
          <w:i/>
        </w:rPr>
        <w:t xml:space="preserve">”</w:t>
      </w:r>
      <w:r>
        <w:t xml:space="preserve"> </w:t>
      </w:r>
      <w:r>
        <w:t xml:space="preserve">[Policy document]. Retrieved May 9, 2026, from https://english.luatvietnam.vn/decision-no-749-qd-ttg-on-approving-the-national-digital-transformation-program-until-2025-with-a-vision-184241-doc1.html</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r>
        <w:t xml:space="preserve"> </w:t>
      </w:r>
      <w:r>
        <w:t xml:space="preserve">Staiger, D., &amp; Stock, J. H. (1997). Instrumental variables regression with weak instruments.</w:t>
      </w:r>
      <w:r>
        <w:t xml:space="preserve"> </w:t>
      </w:r>
      <w:r>
        <w:rPr>
          <w:iCs/>
          <w:i/>
        </w:rPr>
        <w:t xml:space="preserve">Econometrica, 65</w:t>
      </w:r>
      <w:r>
        <w:t xml:space="preserve">(3), 557–586. https://doi.org/10.2307/2171753</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 https://doi.org/10.1108/MBR-05-2017-0028</w:t>
      </w:r>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https://doi.org/10.1002/gsj.1375</w:t>
      </w:r>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Vernon, R. (1979). The product cycle hypothesis in a new international environment.</w:t>
      </w:r>
      <w:r>
        <w:t xml:space="preserve"> </w:t>
      </w:r>
      <w:r>
        <w:rPr>
          <w:iCs/>
          <w:i/>
        </w:rPr>
        <w:t xml:space="preserve">Bulletin of Economics and Statistics, 41</w:t>
      </w:r>
      <w:r>
        <w:t xml:space="preserve">(4), 255–267. https://doi.org/10.1111/j.1468-0084.1979.mp41004002.x</w:t>
      </w:r>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r>
        <w:t xml:space="preserve"> </w:t>
      </w: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 https://www.enterprisesurveys.org/en/enterprisesurveys</w:t>
      </w:r>
      <w:r>
        <w:t xml:space="preserve"> </w:t>
      </w:r>
      <w:r>
        <w:t xml:space="preserve">World Bank. (2016).</w:t>
      </w:r>
      <w:r>
        <w:t xml:space="preserve"> </w:t>
      </w:r>
      <w:r>
        <w:rPr>
          <w:iCs/>
          <w:i/>
        </w:rPr>
        <w:t xml:space="preserve">Vietnam Enterprise Survey 2015: Data file</w:t>
      </w:r>
      <w:r>
        <w:t xml:space="preserve">. Enterprise Surveys, World Bank Group. Retrieved May 9, 2026, from https://www.enterprisesurveys.org/en/enterprisesurveys</w:t>
      </w:r>
      <w:r>
        <w:t xml:space="preserve"> </w:t>
      </w:r>
      <w:r>
        <w:t xml:space="preserve">World Bank. (2024).</w:t>
      </w:r>
      <w:r>
        <w:t xml:space="preserve"> </w:t>
      </w:r>
      <w:r>
        <w:rPr>
          <w:iCs/>
          <w:i/>
        </w:rPr>
        <w:t xml:space="preserve">Vietnam Enterprise Survey 2023: Data file</w:t>
      </w:r>
      <w:r>
        <w:t xml:space="preserve">. Enterprise Surveys, World Bank Group. Retrieved May 9, 2026, from https://www.enterprisesurveys.org/en/enterprisesurveys</w:t>
      </w:r>
      <w:r>
        <w:t xml:space="preserve"> </w:t>
      </w:r>
      <w:r>
        <w:t xml:space="preserve">World Bank. (2026).</w:t>
      </w:r>
      <w:r>
        <w:t xml:space="preserve"> </w:t>
      </w:r>
      <w:r>
        <w:rPr>
          <w:iCs/>
          <w:i/>
        </w:rPr>
        <w:t xml:space="preserve">World Development Indicators</w:t>
      </w:r>
      <w:r>
        <w:t xml:space="preserve"> </w:t>
      </w:r>
      <w:r>
        <w:t xml:space="preserve">[Data set]. Retrieved May 9, 2026, from https://databank.worldbank.org/source/world-development-indicators</w:t>
      </w:r>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 https://doi.org/10.1111/j.1467-6486.2005.00487.x</w:t>
      </w:r>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 https://doi.org/10.1007/s11575-022-00466-1</w:t>
      </w:r>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 https://doi.org/10.1016/j.jwb.2015.09.001</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abstractNum w:abstractNumId="99431998">
    <w:nsid w:val="A99431998"/>
    <w:multiLevelType w:val="multilevel"/>
    <w:lvl w:ilvl="0">
      <w:start w:val="1998"/>
      <w:numFmt w:val="decimal"/>
      <w:lvlText w:val="(%1)"/>
      <w:lvlJc w:val="left"/>
      <w:pPr>
        <w:ind w:left="720" w:hanging="480"/>
      </w:pPr>
    </w:lvl>
    <w:lvl w:ilvl="1">
      <w:start w:val="1998"/>
      <w:numFmt w:val="decimal"/>
      <w:lvlText w:val="(%2)"/>
      <w:lvlJc w:val="left"/>
      <w:pPr>
        <w:ind w:left="1440" w:hanging="480"/>
      </w:pPr>
    </w:lvl>
    <w:lvl w:ilvl="2">
      <w:start w:val="1998"/>
      <w:numFmt w:val="decimal"/>
      <w:lvlText w:val="(%3)"/>
      <w:lvlJc w:val="left"/>
      <w:pPr>
        <w:ind w:left="2160" w:hanging="480"/>
      </w:pPr>
    </w:lvl>
    <w:lvl w:ilvl="3">
      <w:start w:val="1998"/>
      <w:numFmt w:val="decimal"/>
      <w:lvlText w:val="(%4)"/>
      <w:lvlJc w:val="left"/>
      <w:pPr>
        <w:ind w:left="2880" w:hanging="480"/>
      </w:pPr>
    </w:lvl>
    <w:lvl w:ilvl="4">
      <w:start w:val="1998"/>
      <w:numFmt w:val="decimal"/>
      <w:lvlText w:val="(%5)"/>
      <w:lvlJc w:val="left"/>
      <w:pPr>
        <w:ind w:left="3600" w:hanging="480"/>
      </w:pPr>
    </w:lvl>
    <w:lvl w:ilvl="5">
      <w:start w:val="1998"/>
      <w:numFmt w:val="decimal"/>
      <w:lvlText w:val="(%6)"/>
      <w:lvlJc w:val="left"/>
      <w:pPr>
        <w:ind w:left="4320" w:hanging="480"/>
      </w:pPr>
    </w:lvl>
    <w:lvl w:ilvl="6">
      <w:start w:val="1998"/>
      <w:numFmt w:val="decimal"/>
      <w:lvlText w:val="(%7)"/>
      <w:lvlJc w:val="left"/>
      <w:pPr>
        <w:ind w:left="5040" w:hanging="480"/>
      </w:pPr>
    </w:lvl>
    <w:lvl w:ilvl="7">
      <w:start w:val="1998"/>
      <w:numFmt w:val="decimal"/>
      <w:lvlText w:val="(%8)"/>
      <w:lvlJc w:val="left"/>
      <w:pPr>
        <w:ind w:left="5760" w:hanging="480"/>
      </w:pPr>
    </w:lvl>
    <w:lvl w:ilvl="8">
      <w:start w:val="1998"/>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 w:numId="1002">
    <w:abstractNumId w:val="99431998"/>
    <w:lvlOverride w:ilvl="0">
      <w:startOverride w:val="1998"/>
    </w:lvlOverride>
    <w:lvlOverride w:ilvl="1">
      <w:startOverride w:val="1998"/>
    </w:lvlOverride>
    <w:lvlOverride w:ilvl="2">
      <w:startOverride w:val="1998"/>
    </w:lvlOverride>
    <w:lvlOverride w:ilvl="3">
      <w:startOverride w:val="1998"/>
    </w:lvlOverride>
    <w:lvlOverride w:ilvl="4">
      <w:startOverride w:val="1998"/>
    </w:lvlOverride>
    <w:lvlOverride w:ilvl="5">
      <w:startOverride w:val="1998"/>
    </w:lvlOverride>
    <w:lvlOverride w:ilvl="6">
      <w:startOverride w:val="1998"/>
    </w:lvlOverride>
    <w:lvlOverride w:ilvl="7">
      <w:startOverride w:val="1998"/>
    </w:lvlOverride>
    <w:lvlOverride w:ilvl="8">
      <w:startOverride w:val="199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2026-05-12T17:36:02Z</dcterms:created>
  <dcterms:modified xsi:type="dcterms:W3CDTF">2026-05-12T17:36:02Z</dcterms:modified>
</cp:coreProperties>
</file>

<file path=docProps/custom.xml><?xml version="1.0" encoding="utf-8"?>
<Properties xmlns="http://schemas.openxmlformats.org/officeDocument/2006/custom-properties" xmlns:vt="http://schemas.openxmlformats.org/officeDocument/2006/docPropsVTypes"/>
</file>