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0"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School of Economics, Can Tho University · thuyhuongctu@gmail.com · ORCID:</w:t>
      </w:r>
      <w:r>
        <w:t xml:space="preserve"> </w:t>
      </w:r>
      <w:hyperlink r:id="rId20">
        <w:r>
          <w:rPr>
            <w:rStyle w:val="Hyperlink"/>
          </w:rPr>
          <w:t xml:space="preserve">0000-0002-7711-2487</w:t>
        </w:r>
      </w:hyperlink>
      <w:r>
        <w:t xml:space="preserve"> </w:t>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Journal of Economics and Development (JED), Emerald Publishing on behalf of National Economics University (NEU)</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16,800 words (reduction to ~9,500 pending — see RECONCILIATION_NOTES.md).</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2" w:name="abstract"/>
    <w:p>
      <w:pPr>
        <w:pStyle w:val="Heading2"/>
      </w:pPr>
      <w:r>
        <w:t xml:space="preserve">Abstract</w:t>
      </w:r>
    </w:p>
    <w:p>
      <w:pPr>
        <w:pStyle w:val="FirstParagraph"/>
      </w:pPr>
      <w:r>
        <w:rPr>
          <w:bCs/>
          <w:b/>
        </w:rPr>
        <w:t xml:space="preserve">Purpose.</w:t>
      </w:r>
      <w:r>
        <w:t xml:space="preserve"> </w:t>
      </w:r>
      <w:r>
        <w:t xml:space="preserve">This study revisits the internationalisation–performance relationship in Vietnam across three survey waves, testing whether technological capability moderates export-intensity effects and tracing how a Tier-1 digital indicator evolves across institutional generations.</w:t>
      </w:r>
    </w:p>
    <w:p>
      <w:pPr>
        <w:pStyle w:val="BodyText"/>
      </w:pPr>
      <w:r>
        <w:rPr>
          <w:bCs/>
          <w:b/>
        </w:rPr>
        <w:t xml:space="preserve">Design/methodology/approach.</w:t>
      </w:r>
      <w:r>
        <w:t xml:space="preserve"> </w:t>
      </w:r>
      <w:r>
        <w:t xml:space="preserve">Three waves of the World Bank Enterprise Survey (Vietnam 2009, 2015, 2023; N = 2,958) underpin wave-specific and pooled OLS models with HC1 robust standard errors, quadratic FSTS terms, and capability interactions. The Technological Capability Index (TCI: quality certification, foreign-licensed technology) is the primary construct; a Tier-1 website-presence indicator serves as the digital-adoption control. Lind–Mehlum U-tests verify the inverted-U; Paternoster z-tests evaluate cross-wave coefficient equality.</w:t>
      </w:r>
    </w:p>
    <w:p>
      <w:pPr>
        <w:pStyle w:val="BodyText"/>
      </w:pPr>
      <w:r>
        <w:rPr>
          <w:bCs/>
          <w:b/>
        </w:rPr>
        <w:t xml:space="preserve">Findings.</w:t>
      </w:r>
      <w:r>
        <w:t xml:space="preserve"> </w:t>
      </w:r>
      <w:r>
        <w:t xml:space="preserve">An inverted-U between export intensity and labour productivity holds across all three waves, with turning points clustered between 39% and 46%, a band that stays durable over 14 years of institutional change. The nonlinearity traces to a participation-margin effect: restricted to exporters, the quadratic term loses significance (</w:t>
      </w:r>
      <m:oMath>
        <m:r>
          <m:t>β</m:t>
        </m:r>
      </m:oMath>
      <w:r>
        <w:t xml:space="preserve"> </w:t>
      </w:r>
      <w:r>
        <w:t xml:space="preserve">= −0.200, p =.660). TCI positively moderates productivity and the I–P curvature across waves, while the website indicator follows a proxy-obsolescence trajectory: positive in 2009, null in 2015, negatively interactive in 2023.</w:t>
      </w:r>
    </w:p>
    <w:p>
      <w:pPr>
        <w:pStyle w:val="BodyText"/>
      </w:pPr>
      <w:r>
        <w:rPr>
          <w:bCs/>
          <w:b/>
        </w:rPr>
        <w:t xml:space="preserve">Research limitations/implications.</w:t>
      </w:r>
      <w:r>
        <w:t xml:space="preserve"> </w:t>
      </w:r>
      <w:r>
        <w:t xml:space="preserve">The repeated-cross-section design supports associational inference only; within-firm causal identification is not possible. Findings on the website indicator reflect a single binary measure; richer Tier-2/3 digital instruments are needed for cleaner capability-moderation tests.</w:t>
      </w:r>
    </w:p>
    <w:p>
      <w:pPr>
        <w:pStyle w:val="BodyText"/>
      </w:pPr>
      <w:r>
        <w:rPr>
          <w:bCs/>
          <w:b/>
        </w:rPr>
        <w:t xml:space="preserve">Practical implications.</w:t>
      </w:r>
      <w:r>
        <w:t xml:space="preserve"> </w:t>
      </w:r>
      <w:r>
        <w:t xml:space="preserve">For Vietnamese SMEs, the 39–46% FSTS band defines a bounded operating range within which export expansion remains productivity-enhancing. For policy makers under Decision 749/QĐ-TTg (National Digital Transformation Programme to 2030), Tier-1 website-presence indicators have saturated and are no longer useful as policy targets; the next phase must shift to Tier-2/3 digital capabilities (e-commerce platforms, ERP, AI-augmented operations).</w:t>
      </w:r>
    </w:p>
    <w:p>
      <w:pPr>
        <w:pStyle w:val="BodyText"/>
      </w:pPr>
      <w:r>
        <w:rPr>
          <w:bCs/>
          <w:b/>
        </w:rPr>
        <w:t xml:space="preserve">Social implications.</w:t>
      </w:r>
      <w:r>
        <w:t xml:space="preserve"> </w:t>
      </w:r>
      <w:r>
        <w:t xml:space="preserve">The participation-margin reading of the I-P inverted-U reframes Vietnamese SME export-promotion design from</w:t>
      </w:r>
      <w:r>
        <w:t xml:space="preserve"> </w:t>
      </w:r>
      <w:r>
        <w:t xml:space="preserve">“</w:t>
      </w:r>
      <w:r>
        <w:t xml:space="preserve">internationalise to grow</w:t>
      </w:r>
      <w:r>
        <w:t xml:space="preserve">”</w:t>
      </w:r>
      <w:r>
        <w:t xml:space="preserve"> </w:t>
      </w:r>
      <w:r>
        <w:t xml:space="preserve">to</w:t>
      </w:r>
      <w:r>
        <w:t xml:space="preserve"> </w:t>
      </w:r>
      <w:r>
        <w:t xml:space="preserve">“</w:t>
      </w:r>
      <w:r>
        <w:t xml:space="preserve">build prerequisites first, then internationalise within the bounded range</w:t>
      </w:r>
      <w:r>
        <w:t xml:space="preserve">”</w:t>
      </w:r>
      <w:r>
        <w:t xml:space="preserve">, with direct implications for the equity of MOIT export-support disbursements across firm size and digital-readiness segments.</w:t>
      </w:r>
    </w:p>
    <w:p>
      <w:pPr>
        <w:pStyle w:val="BodyText"/>
      </w:pPr>
      <w:r>
        <w:rPr>
          <w:bCs/>
          <w:b/>
        </w:rPr>
        <w:t xml:space="preserve">Originality/value.</w:t>
      </w:r>
      <w:r>
        <w:t xml:space="preserve"> </w:t>
      </w:r>
      <w:r>
        <w:t xml:space="preserve">In this zero-inflated setting the inverted-U reflects a participation-barrier step function rather than intensity saturation, and pooled Tier-1 digital coefficients mask progressive proxy obsolescence. Because the turning-point cluster (39–46% FSTS) is institutionally embedded, the debate moves from</w:t>
      </w:r>
      <w:r>
        <w:t xml:space="preserve"> </w:t>
      </w:r>
      <w:r>
        <w:t xml:space="preserve">“</w:t>
      </w:r>
      <w:r>
        <w:t xml:space="preserve">does internationalisation help?</w:t>
      </w:r>
      <w:r>
        <w:t xml:space="preserve">”</w:t>
      </w:r>
      <w:r>
        <w:t xml:space="preserve"> </w:t>
      </w:r>
      <w:r>
        <w:t xml:space="preserve">to</w:t>
      </w:r>
      <w:r>
        <w:t xml:space="preserve"> </w:t>
      </w:r>
      <w:r>
        <w:t xml:space="preserve">“</w:t>
      </w:r>
      <w:r>
        <w:t xml:space="preserve">under what institutional conditions does the threshold shift?</w:t>
      </w:r>
      <w:r>
        <w:t xml:space="preserve">”</w:t>
      </w:r>
      <w:r>
        <w:t xml:space="preserve">, qualifying rather than overturning the cross-national I-P skepticism of Pisani, Garcia-Bernardo and Heemskerk (2020, Strategic Management Journal).</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2"/>
    <w:bookmarkStart w:id="23"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=.006, 2015 p</w:t>
      </w:r>
      <w:r>
        <w:t xml:space="preserve"> </w:t>
      </w:r>
      <w:r>
        <w:t xml:space="preserve">=.009, 2023 p =.013) and in the pooled sample (p &lt;.001), with turning points clustered</w:t>
      </w:r>
      <w:r>
        <w:t xml:space="preserve"> </w:t>
      </w:r>
      <w:r>
        <w:t xml:space="preserve">between 39 and 46 % of direct-export intensity.</w:t>
      </w:r>
    </w:p>
    <w:p>
      <w:pPr>
        <w:pStyle w:val="BodyText"/>
      </w:pPr>
      <w:r>
        <w:t xml:space="preserve"> Technological capability is the primary capability construct:</w:t>
      </w:r>
      <w:r>
        <w:t xml:space="preserve"> </w:t>
      </w:r>
      <m:oMath>
        <m:sSub>
          <m:e>
            <m:r>
              <m:rPr>
                <m:nor/>
                <m:sty m:val="p"/>
              </m:rPr>
              <m:t>TCI</m:t>
            </m:r>
          </m:e>
          <m:sub>
            <m:r>
              <m:t>z</m:t>
            </m:r>
          </m:sub>
        </m:sSub>
      </m:oMath>
      <w:r>
        <w:t xml:space="preserve"> </w:t>
      </w:r>
      <w:r>
        <w:t xml:space="preserve">is the within-wave standardised mean of quality certification and foreign-licensed technology. A single-item website-presence indicator (</w:t>
      </w:r>
      <m:oMath>
        <m:sSub>
          <m:e>
            <m:r>
              <m:rPr>
                <m:nor/>
                <m:sty m:val="p"/>
              </m:rPr>
              <m:t>DAI</m:t>
            </m:r>
          </m:e>
          <m:sub>
            <m:r>
              <m:t>z</m:t>
            </m:r>
          </m:sub>
        </m:sSub>
      </m:oMath>
      <w:r>
        <w:t xml:space="preserve">, Tier 1 only) is retained as a baseline digital-presence control given the WBES Vietnam measurement constraint; the two share no items.</w:t>
      </w:r>
    </w:p>
    <w:p>
      <w:pPr>
        <w:pStyle w:val="BodyText"/>
      </w:pPr>
      <w:r>
        <w:t xml:space="preserve"></w:t>
      </w:r>
      <w:r>
        <w:t xml:space="preserve"> </w:t>
      </w:r>
      <m:oMath>
        <m:sSub>
          <m:e>
            <m:r>
              <m:rPr>
                <m:nor/>
                <m:sty m:val="p"/>
              </m:rPr>
              <m:t>TCI</m:t>
            </m:r>
          </m:e>
          <m:sub>
            <m:r>
              <m:t>z</m:t>
            </m:r>
          </m:sub>
        </m:sSub>
      </m:oMath>
      <w:r>
        <w:t xml:space="preserve"> </w:t>
      </w:r>
      <w:r>
        <w:t xml:space="preserve">is positively associated with productivity in all three waves (</w:t>
      </w:r>
      <m:oMath>
        <m:r>
          <m:t>β</m:t>
        </m:r>
      </m:oMath>
      <w:r>
        <w:t xml:space="preserve"> </w:t>
      </w:r>
      <w:r>
        <w:t xml:space="preserve">= 0.215, 0.128, 0.123) and pooled (</w:t>
      </w:r>
      <m:oMath>
        <m:r>
          <m:t>β</m:t>
        </m:r>
      </m:oMath>
      <w:r>
        <w:t xml:space="preserve"> </w:t>
      </w:r>
      <w:r>
        <w:t xml:space="preserve">= 0.179, p &lt;.001), and moderates the curvature in three of four panels (M3 joint p =.040,.713,.027 and.003).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a step function across the export-participation barrier rather than a continuous within-exporter saturation curve</w:t>
      </w:r>
      <w:r>
        <w:t xml:space="preserve">: re-fitted on the exporter-only sub-sample (FSTS &gt; 0; pooled N = 669), the quadratic FSTS term loses significance (</w:t>
      </w:r>
      <m:oMath>
        <m:r>
          <m:t>β</m:t>
        </m:r>
      </m:oMath>
      <w:r>
        <w:t xml:space="preserve"> </w:t>
      </w:r>
      <w:r>
        <w:t xml:space="preserve">= -0.200, p =.660); only ~1.0 % of pooled firms sit within $</w:t>
      </w:r>
      <w:r>
        <w:t xml:space="preserve">$5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w:t>
      </w:r>
      <m:oMath>
        <m:r>
          <m:t>β</m:t>
        </m:r>
      </m:oMath>
      <w:r>
        <w:t xml:space="preserve"> </w:t>
      </w:r>
      <w:r>
        <w:t xml:space="preserve">= 0.175), null in 2015 (</w:t>
      </w:r>
      <m:oMath>
        <m:r>
          <m:t>β</m:t>
        </m:r>
      </m:oMath>
      <w:r>
        <w:t xml:space="preserve"> </w:t>
      </w:r>
      <w:r>
        <w:t xml:space="preserve">= -0.044), and positive in 2023 (</w:t>
      </w:r>
      <m:oMath>
        <m:r>
          <m:t>β</m:t>
        </m:r>
      </m:oMath>
      <w:r>
        <w:t xml:space="preserve"> </w:t>
      </w:r>
      <w:r>
        <w:t xml:space="preserve">= 0.095); the negative</w:t>
      </w:r>
      <w:r>
        <w:t xml:space="preserve"> </w:t>
      </w:r>
      <m:oMath>
        <m:r>
          <m:rPr>
            <m:nor/>
            <m:sty m:val="p"/>
          </m:rPr>
          <m:t>DAI</m:t>
        </m:r>
        <m:r>
          <m:rPr>
            <m:sty m:val="p"/>
          </m:rPr>
          <m:t>×</m:t>
        </m:r>
        <m:r>
          <m:rPr>
            <m:nor/>
            <m:sty m:val="p"/>
          </m:rPr>
          <m:t>FSTS</m:t>
        </m:r>
      </m:oMath>
      <w:r>
        <w:t xml:space="preserve"> </w:t>
      </w:r>
      <w:r>
        <w:t xml:space="preserve">interaction observed only in 2023 (</w:t>
      </w:r>
      <m:oMath>
        <m:sSub>
          <m:e>
            <m:r>
              <m:rPr>
                <m:nor/>
                <m:sty m:val="p"/>
              </m:rPr>
              <m:t>FSTS</m:t>
            </m:r>
          </m:e>
          <m:sub>
            <m:r>
              <m:t>c</m:t>
            </m:r>
          </m:sub>
        </m:sSub>
        <m:r>
          <m:rPr>
            <m:sty m:val="p"/>
          </m:rPr>
          <m:t>×</m:t>
        </m:r>
        <m:sSub>
          <m:e>
            <m:r>
              <m:rPr>
                <m:nor/>
                <m:sty m:val="p"/>
              </m:rPr>
              <m:t>DAI</m:t>
            </m:r>
          </m:e>
          <m:sub>
            <m:r>
              <m:t>z</m:t>
            </m:r>
          </m:sub>
        </m:sSub>
      </m:oMath>
      <w:r>
        <w:t xml:space="preserve"> </w:t>
      </w:r>
      <w:r>
        <w:t xml:space="preserve">= -0.912, p =.043) is read as Tier-1 proxy obsolescence as website ownership diffuses to near-universal levels (49.8 % in 2023 vs 42.5 % in 2009), not as evidence on dynamic digital capability moderation.</w:t>
      </w:r>
    </w:p>
    <w:bookmarkEnd w:id="23"/>
    <w:bookmarkStart w:id="28" w:name="introduction"/>
    <w:p>
      <w:pPr>
        <w:pStyle w:val="Heading2"/>
      </w:pPr>
      <w:r>
        <w:t xml:space="preserve">1. Introduction</w:t>
      </w:r>
    </w:p>
    <w:bookmarkStart w:id="24"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does not lend itself to the assumption of a simple linear performance premium.</w:t>
      </w:r>
      <w:r>
        <w:t xml:space="preserve"> </w:t>
      </w:r>
      <w:r>
        <w:t xml:space="preserve">Foreign involvement opens access to larger markets, learning, and diversified revenue, yet it also brings rising coordination costs, heavier information-processing burdens, and organisational strain as that involvement deepens (Wright et al., 2005; Cuervo-Cazurra and</w:t>
      </w:r>
      <w:r>
        <w:t xml:space="preserve"> </w:t>
      </w:r>
      <w:r>
        <w:t xml:space="preserve">Genc, 2008; Wu et al., 2016).</w:t>
      </w:r>
      <w:r>
        <w:t xml:space="preserve"> </w:t>
      </w:r>
      <w:r>
        <w:t xml:space="preserve">This tension lies at the heart of the I–P literature. A long tradition of work holds that internationalisation improves performance at lower and intermediate levels through scale,</w:t>
      </w:r>
      <w:r>
        <w:t xml:space="preserve"> </w:t>
      </w:r>
      <w:r>
        <w:t xml:space="preserve">learning, and diversification, while complexity and coordination burdens drag returns toward zero or below them at higher levels. Meta-analytic evidence indicates that this nonlinearity is a central feature of the relationship, not an empirical anomaly</w:t>
      </w:r>
      <w:r>
        <w:t xml:space="preserve"> </w:t>
      </w:r>
      <w:r>
        <w:t xml:space="preserve">(Vernon, 1979; Lu and Beamish, 2004; Hennart, 2007; Coviello et al., 2017; Marano et al., 2016).</w:t>
      </w:r>
      <w:r>
        <w:t xml:space="preserve"> </w:t>
      </w:r>
      <w:r>
        <w:t xml:space="preserve">Digitalisation layers a further complication onto this debate. Digital tools can cut communication frictions, speed transactions, and support cross-border coordination, but the benefits do not arrive automatically. Their realised value depends on whether a firm holds the organisational depth, absorptive capacity, and complementary routines needed to convert digital adoption into productivity gains (Cohen and Levinthal, 1990; Vial, 2019; Verhoef et al.,</w:t>
      </w:r>
      <w:r>
        <w:t xml:space="preserve"> </w:t>
      </w:r>
      <w:r>
        <w:t xml:space="preserve">2021; Stallkamp and Schotter, 2021; Petricevic and Teece, 2019). Digital capability, then, is poorly described as a universally beneficial resource whose payoff stays constant across</w:t>
      </w:r>
      <w:r>
        <w:t xml:space="preserve"> </w:t>
      </w:r>
      <w:r>
        <w:t xml:space="preserve">firms and over time.</w:t>
      </w:r>
      <w:r>
        <w:t xml:space="preserve"> </w:t>
      </w:r>
      <w:r>
        <w:t xml:space="preserve">The Vietnamese setting makes this issue especially pointed. Firms here are embedded</w:t>
      </w:r>
      <w:r>
        <w:t xml:space="preserve"> </w:t>
      </w:r>
      <w:r>
        <w:t xml:space="preserve">in an economy that is upgrading capability and passing through digital transition at the same time, so both the gains from</w:t>
      </w:r>
      <w:r>
        <w:t xml:space="preserve"> </w:t>
      </w:r>
      <w:r>
        <w:t xml:space="preserve">internationalisation and the payoff from digitalisation may shift across stages of development. The central question for this study follows directly: does digital capability in Vietnam behave</w:t>
      </w:r>
      <w:r>
        <w:t xml:space="preserve"> </w:t>
      </w:r>
      <w:r>
        <w:t xml:space="preserve">as a stable performance-enhancing asset, or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exporter cohort itself changes composition across</w:t>
      </w:r>
      <w:r>
        <w:t xml:space="preserve"> </w:t>
      </w:r>
      <w:r>
        <w:t xml:space="preserve">the three waves: the share of firms reporting any positive direct-export intensity falls as</w:t>
      </w:r>
      <w:r>
        <w:t xml:space="preserve"> </w:t>
      </w:r>
      <w:r>
        <w:t xml:space="preserve">services and FDI-linked supply-chain firms enter the sample, while average foundational digital adoption rises with the diffusion of websites, electronic payment systems, and</w:t>
      </w:r>
      <w:r>
        <w:t xml:space="preserve"> </w:t>
      </w:r>
      <w:r>
        <w:t xml:space="preserve">digital transaction interfaces. To read the I–P relationship and the digital-adoption channel as</w:t>
      </w:r>
      <w:r>
        <w:t xml:space="preserve"> </w:t>
      </w:r>
      <w:r>
        <w:t xml:space="preserve">fixed structural facts across this fourteen-year window is to miss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driven primarily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The participation-margin mechanism itself is well established in the trade and selection literatures, Melitz (2003) on heterogeneous firms with sunk export costs, Wagner (2007) on exporter productivity premia, and Bernard et al. (2007, 2012) on extensive-margin productivity gains. The contribution of this study is not to discover this mechanism but to document that, in three repeated cross-sections of Vietnamese firms, the participation-margin effect is large enough to explain the entire apparent inverted-U observed in standard FSTS-and-FSTS² specifications, with the within-exporter curvature statistically flat. This locates the productivity-relevant friction at the participation margin where institutional and capability constraints bind hardest in a transitional setting.</w:t>
      </w:r>
    </w:p>
    <w:bookmarkEnd w:id="24"/>
    <w:bookmarkStart w:id="25" w:name="research-gap"/>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5"/>
    <w:bookmarkStart w:id="26" w:name="contribution"/>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cross-wave, stage-dependency reading of digital internationalisation. The WBES data are repeated cross-sections rather than a firm panel, so within-firm trajectories cannot be observed directly; even so, the cross-wave evidence points to digital capability as neither a universally stable premium nor a uniformly ineffective resource. It appears instead as an uneven, snapshot-contingent source of performance heterogeneity across institutional phases, which helps explain how pooled average effects coexist with substantial wave-specific differences.</w:t>
      </w:r>
    </w:p>
    <w:p>
      <w:pPr>
        <w:pStyle w:val="BodyText"/>
      </w:pPr>
      <w:r>
        <w:t xml:space="preserve">The final contribution reframes the</w:t>
      </w:r>
      <w:r>
        <w:t xml:space="preserve"> </w:t>
      </w:r>
      <w:r>
        <w:rPr>
          <w:iCs/>
          <w:i/>
        </w:rPr>
        <w:t xml:space="preserve">interpretation</w:t>
      </w:r>
      <w:r>
        <w:t xml:space="preserve"> </w:t>
      </w:r>
      <w:r>
        <w:t xml:space="preserve">of the apparent inverted-U: the Vietnamese evidence suggests that the robustly identified turning point (39–46 % FSTS) reflects a step function across the export-participation barrier rather than a continuous coordination-cost saturation curve. The decomposition is sharp: re-fitted on the exporter-only sub-sample, the quadratic FSTS term collapses to a non-significant</w:t>
      </w:r>
      <w:r>
        <w:t xml:space="preserve"> </w:t>
      </w:r>
      <m:oMath>
        <m:r>
          <m:t>β</m:t>
        </m:r>
      </m:oMath>
      <w:r>
        <w:t xml:space="preserve"> </w:t>
      </w:r>
      <w:r>
        <w:t xml:space="preserve">= -0.200 (p =.660), and only ~1.0 % of pooled firms occupy the $</w:t>
      </w:r>
      <w:r>
        <w:t xml:space="preserve">$5 percentage-point neighbourhood of the turning point. The participation-margin mechanism itself is well-known in the trade literature (Melitz, 2003; Bernard et al., 2007, 2012; Wagner, 2007); the contribution of this study is empirical decomposition, not mechanism discovery.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6"/>
    <w:bookmarkStart w:id="27" w:name="roadmap"/>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7"/>
    <w:bookmarkEnd w:id="28"/>
    <w:bookmarkStart w:id="36" w:name="theory-and-hypotheses"/>
    <w:p>
      <w:pPr>
        <w:pStyle w:val="Heading2"/>
      </w:pPr>
      <w:r>
        <w:t xml:space="preserve">2. Theory and hypotheses</w:t>
      </w:r>
    </w:p>
    <w:bookmarkStart w:id="29" w:name="X3b7d35b763b13aa013dc5c38abee688672fbd10"/>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can lift performance through</w:t>
      </w:r>
      <w:r>
        <w:t xml:space="preserve"> </w:t>
      </w:r>
      <w:r>
        <w:t xml:space="preserve">greater market reach, diversification, and learning from external environments; firms use</w:t>
      </w:r>
      <w:r>
        <w:t xml:space="preserve"> </w:t>
      </w:r>
      <w:r>
        <w:t xml:space="preserve">internationalisation to spread fixed costs, reach new customers, and acquire knowledge that</w:t>
      </w:r>
      <w:r>
        <w:t xml:space="preserve"> </w:t>
      </w:r>
      <w:r>
        <w:t xml:space="preserve">supports operational improvement.</w:t>
      </w:r>
      <w:r>
        <w:t xml:space="preserve"> </w:t>
      </w:r>
      <w:r>
        <w:t xml:space="preserve">Deeper international involvement, at the same time, tends to generate coordination costs and</w:t>
      </w:r>
      <w:r>
        <w:t xml:space="preserve"> </w:t>
      </w:r>
      <w:r>
        <w:t xml:space="preserve">organisational burdens. A firm must manage multiple markets, reconcile diverse customer demands, process more information, and sustain tighter managerial control. As foreign expansion</w:t>
      </w:r>
      <w:r>
        <w:t xml:space="preserve"> </w:t>
      </w:r>
      <w:r>
        <w:t xml:space="preserve">intensifies, these costs may outgrow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carries particular weight in Vietnam, where firms operate under uneven capability conditions. Some convert foreign expansion into learning and scale advantages;</w:t>
      </w:r>
      <w:r>
        <w:t xml:space="preserve"> </w:t>
      </w:r>
      <w:r>
        <w:t xml:space="preserve">others meet organisational strain sooner. What this study expects, then, is</w:t>
      </w:r>
      <w:r>
        <w:t xml:space="preserve"> </w:t>
      </w:r>
      <w:r>
        <w:t xml:space="preserve">not a uniformly positive slope, but a nonlinear relationship in which the gains from internationalisation become progressively harder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w:t>
      </w:r>
      <w:r>
        <w:t xml:space="preserve"> </w:t>
      </w:r>
      <m:oMath>
        <m:sSubSup>
          <m:e>
            <m:r>
              <m:rPr>
                <m:nor/>
                <m:sty m:val="p"/>
              </m:rPr>
              <m:t>FSTS</m:t>
            </m:r>
          </m:e>
          <m:sub>
            <m:r>
              <m:t>c</m:t>
            </m:r>
          </m:sub>
          <m:sup>
            <m:r>
              <m:t>2</m:t>
            </m:r>
          </m:sup>
        </m:sSubSup>
      </m:oMath>
      <w:r>
        <w:t xml:space="preserve"> </w:t>
      </w:r>
      <m:oMath>
        <m:r>
          <m:t>β</m:t>
        </m:r>
      </m:oMath>
      <w:r>
        <w:t xml:space="preserve"> </w:t>
      </w:r>
      <w:r>
        <w:t xml:space="preserve">= −0.200, p =.660) instead indicates that the participation margin (H1a) is the dominant source of the full-sample curvature.</w:t>
      </w:r>
    </w:p>
    <w:bookmarkEnd w:id="29"/>
    <w:bookmarkStart w:id="30"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This study treats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w:t>
      </w:r>
      <w:r>
        <w:t xml:space="preserve"> </w:t>
      </w:r>
      <m:oMath>
        <m:sSub>
          <m:e>
            <m:r>
              <m:rPr>
                <m:nor/>
                <m:sty m:val="p"/>
              </m:rPr>
              <m:t>TCI</m:t>
            </m:r>
          </m:e>
          <m:sub>
            <m:r>
              <m:t>z</m:t>
            </m:r>
          </m:sub>
        </m:sSub>
      </m:oMath>
      <w:r>
        <w:t xml:space="preserve"> </w:t>
      </w:r>
      <w:r>
        <w:t xml:space="preserve">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w:t>
      </w:r>
      <m:oMath>
        <m:sSub>
          <m:e>
            <m:r>
              <m:rPr>
                <m:nor/>
                <m:sty m:val="p"/>
              </m:rPr>
              <m:t>TCI</m:t>
            </m:r>
          </m:e>
          <m:sub>
            <m:r>
              <m:t>f</m:t>
            </m:r>
          </m:sub>
        </m:sSub>
      </m:oMath>
      <w:r>
        <w:t xml:space="preserve">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w:t>
      </w:r>
      <m:oMath>
        <m:sSub>
          <m:e>
            <m:r>
              <m:rPr>
                <m:nor/>
                <m:sty m:val="p"/>
              </m:rPr>
              <m:t>TCI</m:t>
            </m:r>
          </m:e>
          <m:sub>
            <m:r>
              <m:t>z</m:t>
            </m:r>
          </m:sub>
        </m:sSub>
      </m:oMath>
      <w:r>
        <w:t xml:space="preserve">),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0"/>
    <w:bookmarkStart w:id="31" w:name="Xc172df63165a200a03f115512b27dddb3cfd513"/>
    <w:p>
      <w:pPr>
        <w:pStyle w:val="Heading3"/>
      </w:pPr>
      <w:r>
        <w:t xml:space="preserve">2.3 Website-based digital presence and firm performance</w:t>
      </w:r>
    </w:p>
    <w:p>
      <w:pPr>
        <w:pStyle w:val="FirstParagraph"/>
      </w:pPr>
      <w:r>
        <w:t xml:space="preserve">The primary</w:t>
      </w:r>
      <w:r>
        <w:t xml:space="preserve"> </w:t>
      </w:r>
      <m:oMath>
        <m:sSub>
          <m:e>
            <m:r>
              <m:rPr>
                <m:nor/>
                <m:sty m:val="p"/>
              </m:rPr>
              <m:t>DAI</m:t>
            </m:r>
          </m:e>
          <m:sub>
            <m:r>
              <m:t>z</m:t>
            </m:r>
          </m:sub>
        </m:sSub>
      </m:oMath>
      <w:r>
        <w:t xml:space="preserve"> </w:t>
      </w:r>
      <w:r>
        <w:t xml:space="preserve">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This study uses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w:t>
      </w:r>
      <w:r>
        <w:t xml:space="preserve"> </w:t>
      </w:r>
      <w:r>
        <w:t xml:space="preserve">dynamic digital capability (data-driven decision-making, AI integration). The primary</w:t>
      </w:r>
      <w:r>
        <w:t xml:space="preserve"> </w:t>
      </w:r>
      <m:oMath>
        <m:sSub>
          <m:e>
            <m:r>
              <m:rPr>
                <m:nor/>
                <m:sty m:val="p"/>
              </m:rPr>
              <m:t>DAI</m:t>
            </m:r>
          </m:e>
          <m:sub>
            <m:r>
              <m:t>z</m:t>
            </m:r>
          </m:sub>
        </m:sSub>
      </m:oMath>
    </w:p>
    <w:p>
      <w:pPr>
        <w:pStyle w:val="BodyText"/>
      </w:pPr>
      <w:r>
        <w:t xml:space="preserve">anchors at Tier 1 only. A Tier 3-style extension (</w:t>
      </w:r>
      <m:oMath>
        <m:sSub>
          <m:e>
            <m:r>
              <m:rPr>
                <m:nor/>
                <m:sty m:val="p"/>
              </m:rPr>
              <m:t>DAI</m:t>
            </m:r>
          </m:e>
          <m:sub>
            <m:r>
              <m:t>r</m:t>
            </m:r>
          </m:sub>
        </m:sSub>
      </m:oMath>
      <w:r>
        <w:t xml:space="preserve">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w:t>
      </w:r>
      <w:r>
        <w:t xml:space="preserve"> </w:t>
      </w:r>
      <m:oMath>
        <m:sSub>
          <m:e>
            <m:r>
              <m:rPr>
                <m:nor/>
                <m:sty m:val="p"/>
              </m:rPr>
              <m:t>DAI</m:t>
            </m:r>
          </m:e>
          <m:sub>
            <m:r>
              <m:t>z</m:t>
            </m:r>
          </m:sub>
        </m:sSub>
      </m:oMath>
      <w:r>
        <w:t xml:space="preserve"> </w:t>
      </w:r>
      <w:r>
        <w:t xml:space="preserve">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Given that</w:t>
      </w:r>
      <w:r>
        <w:t xml:space="preserve"> </w:t>
      </w:r>
      <m:oMath>
        <m:sSub>
          <m:e>
            <m:r>
              <m:rPr>
                <m:nor/>
                <m:sty m:val="p"/>
              </m:rPr>
              <m:t>DAI</m:t>
            </m:r>
          </m:e>
          <m:sub>
            <m:r>
              <m:t>z</m:t>
            </m:r>
          </m:sub>
        </m:sSub>
      </m:oMath>
      <w:r>
        <w:t xml:space="preserve"> </w:t>
      </w:r>
      <w:r>
        <w:t xml:space="preserve">reduces to a single binary item, c22b (own-website presence), it captures Tier-1 digital presence rather than dynamic digital capability. By 2023, website ownership has diffused to near half of the Vietnamese firm population (49.8 % in 2023 vs 42.5 % in 2009) and increasingly functions as an organisational hygiene factor, a</w:t>
      </w:r>
      <w:r>
        <w:t xml:space="preserve"> </w:t>
      </w:r>
      <w:r>
        <w:rPr>
          <w:iCs/>
          <w:i/>
        </w:rPr>
        <w:t xml:space="preserve">digital saturation</w:t>
      </w:r>
      <w:r>
        <w:t xml:space="preserve"> </w:t>
      </w:r>
      <w:r>
        <w:t xml:space="preserve">in which near-universal Tier-1 presence loses discriminating power, rather than a marker of digital strategy. This is a substantive finding in its own right: basic website adoption has decayed from a candidate RBV advantage into a baseline hygiene condition.</w:t>
      </w:r>
      <w:r>
        <w:t xml:space="preserve"> </w:t>
      </w:r>
      <w:r>
        <w:rPr>
          <w:bCs/>
          <w:b/>
        </w:rPr>
        <w:t xml:space="preserve">Accordingly,</w:t>
      </w:r>
      <w:r>
        <w:rPr>
          <w:bCs/>
          <w:b/>
        </w:rPr>
        <w:t xml:space="preserve"> </w:t>
      </w:r>
      <m:oMath>
        <m:sSub>
          <m:e>
            <m:r>
              <m:rPr>
                <m:nor/>
                <m:sty m:val="p"/>
              </m:rPr>
              <m:t>DAI</m:t>
            </m:r>
          </m:e>
          <m:sub>
            <m:r>
              <m:t>z</m:t>
            </m:r>
          </m:sub>
        </m:sSub>
      </m:oMath>
      <w:r>
        <w:rPr>
          <w:bCs/>
          <w:b/>
        </w:rPr>
        <w:t xml:space="preserve"> </w:t>
      </w:r>
      <w:r>
        <w:rPr>
          <w:bCs/>
          <w:b/>
        </w:rPr>
        <w:t xml:space="preserve">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w:t>
      </w:r>
      <w:r>
        <w:t xml:space="preserve"> </w:t>
      </w:r>
      <m:oMath>
        <m:sSub>
          <m:e>
            <m:r>
              <m:rPr>
                <m:nor/>
                <m:sty m:val="p"/>
              </m:rPr>
              <m:t>DAI</m:t>
            </m:r>
          </m:e>
          <m:sub>
            <m:r>
              <m:t>z</m:t>
            </m:r>
          </m:sub>
        </m:sSub>
      </m:oMath>
      <w:r>
        <w:t xml:space="preserve"> </w:t>
      </w:r>
      <w:r>
        <w:t xml:space="preserve">is not advanced as a primary hypothesis in this study, no H3 is formulated in the present paper. The exploratory digital moderation probe that follows (Section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w:t>
      </w:r>
      <w:r>
        <w:t xml:space="preserve"> </w:t>
      </w:r>
      <m:oMath>
        <m:sSub>
          <m:e>
            <m:r>
              <m:rPr>
                <m:nor/>
                <m:sty m:val="p"/>
              </m:rPr>
              <m:t>DAI</m:t>
            </m:r>
          </m:e>
          <m:sub>
            <m:r>
              <m:t>z</m:t>
            </m:r>
          </m:sub>
        </m:sSub>
      </m:oMath>
      <w:r>
        <w:t xml:space="preserve"> </w:t>
      </w:r>
      <w:r>
        <w:t xml:space="preserve">should be read as reflecting baseline digital-presence variation, not dynamic digital capability. This caveat shields the present analysis from over-claiming on the limited Tier-1 information that a single binary website indicator can provide.</w:t>
      </w:r>
    </w:p>
    <w:bookmarkEnd w:id="31"/>
    <w:bookmarkStart w:id="35" w:name="stage-contingent-digital-value"/>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w:t>
      </w:r>
      <w:r>
        <w:t xml:space="preserve"> </w:t>
      </w:r>
      <m:oMath>
        <m:r>
          <m:rPr>
            <m:nor/>
            <m:sty m:val="p"/>
          </m:rPr>
          <m:t>DAI</m:t>
        </m:r>
        <m:r>
          <m:rPr>
            <m:sty m:val="p"/>
          </m:rPr>
          <m:t>×</m:t>
        </m:r>
        <m:r>
          <m:rPr>
            <m:nor/>
            <m:sty m:val="p"/>
          </m:rPr>
          <m:t>FSTS</m:t>
        </m:r>
      </m:oMath>
      <w:r>
        <w:t xml:space="preserve"> </w:t>
      </w:r>
      <w:r>
        <w:t xml:space="preserve">interaction observed in the later waves can be read through two complementary mechanisms that this paper treats as jointly operating rather than mutually exclusive.</w:t>
      </w:r>
      <w:r>
        <w:t xml:space="preserve"> </w:t>
      </w:r>
      <w:r>
        <w:rPr>
          <w:iCs/>
          <w:i/>
        </w:rPr>
        <w:t xml:space="preserve">Mechanism A,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this study treats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not a primary hypothesis). The productivity relevance of baseline website-presence (</w:t>
      </w:r>
      <m:oMath>
        <m:sSub>
          <m:e>
            <m:r>
              <m:rPr>
                <m:nor/>
                <m:sty m:val="p"/>
              </m:rPr>
              <m:t>DAI</m:t>
            </m:r>
          </m:e>
          <m:sub>
            <m:r>
              <m:t>z</m:t>
            </m:r>
          </m:sub>
        </m:sSub>
      </m:oMath>
      <w:r>
        <w:t xml:space="preserve">,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w:t>
      </w:r>
      <m:oMath>
        <m:sSub>
          <m:e>
            <m:r>
              <m:rPr>
                <m:nor/>
                <m:sty m:val="p"/>
              </m:rPr>
              <m:t>TCI</m:t>
            </m:r>
          </m:e>
          <m:sub>
            <m:r>
              <m:t>z</m:t>
            </m:r>
          </m:sub>
        </m:sSub>
      </m:oMath>
      <w:r>
        <w:t xml:space="preserve">)</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w:t>
      </w:r>
      <m:oMath>
        <m:sSub>
          <m:e>
            <m:r>
              <m:rPr>
                <m:nor/>
                <m:sty m:val="p"/>
              </m:rPr>
              <m:t>FSTS</m:t>
            </m:r>
          </m:e>
          <m:sub>
            <m:r>
              <m:t>c</m:t>
            </m:r>
          </m:sub>
        </m:sSub>
      </m:oMath>
      <w:r>
        <w:t xml:space="preserve">,</w:t>
      </w:r>
      <w:r>
        <w:t xml:space="preserve"> </w:t>
      </w:r>
      <m:oMath>
        <m:sSubSup>
          <m:e>
            <m:r>
              <m:rPr>
                <m:nor/>
                <m:sty m:val="p"/>
              </m:rPr>
              <m:t>FSTS</m:t>
            </m:r>
          </m:e>
          <m:sub>
            <m:r>
              <m:t>c</m:t>
            </m:r>
          </m:sub>
          <m:sup>
            <m:r>
              <m:t>2</m:t>
            </m:r>
          </m:sup>
        </m:sSubSup>
      </m:oMath>
      <w:r>
        <w:t xml:space="preserve">)</w:t>
      </w:r>
      <w:r>
        <w:t xml:space="preserve"> </w:t>
      </w:r>
      <w:r>
        <w:t xml:space="preserve">(ln labour productivity)</w:t>
      </w:r>
      <w:r>
        <w:t xml:space="preserve"> </w:t>
      </w:r>
      <w:r>
        <w:t xml:space="preserve">H4 (mod., exploratory probe)</w:t>
      </w:r>
      <w:r>
        <w:t xml:space="preserve"> </w:t>
      </w:r>
      <m:oMath>
        <m:sSub>
          <m:e>
            <m:r>
              <m:rPr>
                <m:nor/>
                <m:sty m:val="p"/>
              </m:rPr>
              <m:t>DAI</m:t>
            </m:r>
          </m:e>
          <m:sub>
            <m:r>
              <m:t>z</m:t>
            </m:r>
          </m:sub>
        </m:sSub>
      </m:oMath>
      <w:r>
        <w:t xml:space="preserve"> </w:t>
      </w:r>
      <w:r>
        <w:t xml:space="preserve">(baseline control)</w:t>
      </w:r>
    </w:p>
    <w:p>
      <w:pPr>
        <w:pStyle w:val="BodyText"/>
      </w:pPr>
      <w:r>
        <w:t xml:space="preserve">Baseline website-presence</w:t>
      </w:r>
      <w:r>
        <w:t xml:space="preserve"> </w:t>
      </w:r>
      <w:r>
        <w:t xml:space="preserve">(</w:t>
      </w:r>
      <m:oMath>
        <m:sSub>
          <m:e>
            <m:r>
              <m:rPr>
                <m:nor/>
                <m:sty m:val="p"/>
              </m:rPr>
              <m:t>DAI</m:t>
            </m:r>
          </m:e>
          <m:sub>
            <m:r>
              <m:t>z</m:t>
            </m:r>
          </m:sub>
        </m:sSub>
      </m:oMath>
      <w:r>
        <w:t xml:space="preserve">, Tier 1 only)</w:t>
      </w:r>
    </w:p>
    <w:p>
      <w:pPr>
        <w:pStyle w:val="BodyText"/>
      </w:pPr>
      <w:r>
        <w:t xml:space="preserve">Controls: lnEmp, FirmAge, ForeignOwned, sector FE [+ wave FE]</w:t>
      </w:r>
    </w:p>
    <w:p>
      <w:pPr>
        <w:pStyle w:val="CaptionedFigure"/>
      </w:pPr>
      <w:r>
        <w:drawing>
          <wp:inline>
            <wp:extent cx="5334000" cy="2930266"/>
            <wp:effectExtent b="0" l="0" r="0" t="0"/>
            <wp:docPr descr="Figure 1: Conceptual model, TCI, DAI, and export intensity as determinants of firm performance (Vietnam, 3-wave)"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334000" cy="2930266"/>
                    </a:xfrm>
                    <a:prstGeom prst="rect">
                      <a:avLst/>
                    </a:prstGeom>
                    <a:noFill/>
                    <a:ln w="9525">
                      <a:noFill/>
                      <a:headEnd/>
                      <a:tailEnd/>
                    </a:ln>
                  </pic:spPr>
                </pic:pic>
              </a:graphicData>
            </a:graphic>
          </wp:inline>
        </w:drawing>
      </w:r>
    </w:p>
    <w:p>
      <w:pPr>
        <w:pStyle w:val="ImageCaption"/>
      </w:pPr>
      <w:r>
        <w:t xml:space="preserve">Figure 1: Conceptual model,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internationalisation intensity (FSTS, centred</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is placed at left; the dependent variable, firm performance, measured as ln(labour productivity) = ln(annual revenue PPP / permanent workers), is placed at right, following left-to-right causal flow convention. H1 (inverted-U nonlinearity:</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is grounded in the Uppsala model (Johanson &amp; Vahlne, 1977, 2009) and coordination-cost theory (Hitt et al., 1997). H2 specifies technological capability (</w:t>
      </w:r>
      <m:oMath>
        <m:sSub>
          <m:e>
            <m:r>
              <m:rPr>
                <m:nor/>
                <m:sty m:val="p"/>
              </m:rPr>
              <m:t>TCI</m:t>
            </m:r>
          </m:e>
          <m:sub>
            <m:r>
              <m:t>z</m:t>
            </m:r>
          </m:sub>
        </m:sSub>
      </m:oMath>
      <w:r>
        <w:t xml:space="preserve">, Resource-Based View: Barney, 1991) as a level-shifting direct effect and secondary moderator on the FSTS–performance curve; instrument: industry-level TCI mean (causal IV identification). H4 treats website-based digital adoption (</w:t>
      </w:r>
      <m:oMath>
        <m:sSub>
          <m:e>
            <m:r>
              <m:rPr>
                <m:nor/>
                <m:sty m:val="p"/>
              </m:rPr>
              <m:t>DAI</m:t>
            </m:r>
          </m:e>
          <m:sub>
            <m:r>
              <m:t>z</m:t>
            </m:r>
          </m:sub>
        </m:sSub>
      </m:oMath>
      <w:r>
        <w:t xml:space="preserve">, Tier-1 only) as an exploratory probe of the Digital Capability Lens (Banalieva &amp; Dhanaraj, 2019); measurement constraint acknowledged,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Nhóm IV (Lower_mid_transition, ICRV Group 4 of 6; lower-middle-income transition economy; WGI Rule of Law</w:t>
      </w:r>
      <w:r>
        <w:t xml:space="preserve"> </w:t>
      </w:r>
      <m:oMath>
        <m:r>
          <m:rPr>
            <m:sty m:val="p"/>
          </m:rPr>
          <m:t>≈</m:t>
        </m:r>
      </m:oMath>
      <w:r>
        <w:t xml:space="preserve"> </w:t>
      </w:r>
      <w:r>
        <w:t xml:space="preserve">−0.09 in 2023, World Bank). Data: WBES 2009, 2015, 2023; N = 2,958 (pooled), n_wave = 989/956/1,013.</w:t>
      </w:r>
    </w:p>
    <w:bookmarkEnd w:id="35"/>
    <w:bookmarkEnd w:id="36"/>
    <w:bookmarkStart w:id="42" w:name="data-variables-and-empirical-strategy"/>
    <w:p>
      <w:pPr>
        <w:pStyle w:val="Heading2"/>
      </w:pPr>
      <w:r>
        <w:t xml:space="preserve">3. Data, variables, and empirical strategy</w:t>
      </w:r>
    </w:p>
    <w:bookmarkStart w:id="37"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7"/>
    <w:bookmarkStart w:id="38"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w:t>
      </w:r>
      <m:oMath>
        <m:sSub>
          <m:e>
            <m:r>
              <m:rPr>
                <m:nor/>
                <m:sty m:val="p"/>
              </m:rPr>
              <m:t>FSTS</m:t>
            </m:r>
          </m:e>
          <m:sub>
            <m:r>
              <m:t>c</m:t>
            </m:r>
          </m:sub>
        </m:sSub>
      </m:oMath>
      <w:r>
        <w:t xml:space="preserve">) and squared (</w:t>
      </w:r>
      <m:oMath>
        <m:sSubSup>
          <m:e>
            <m:r>
              <m:rPr>
                <m:nor/>
                <m:sty m:val="p"/>
              </m:rPr>
              <m:t>FSTS</m:t>
            </m:r>
          </m:e>
          <m:sub>
            <m:r>
              <m:t>c</m:t>
            </m:r>
          </m:sub>
          <m:sup>
            <m:r>
              <m:t>2</m:t>
            </m:r>
          </m:sup>
        </m:sSubSup>
      </m:oMath>
      <w:r>
        <w:t xml:space="preserve">) so that linear and quadratic terms can be entered jointly to test for nonlinearity. The analysis uses two distinct capability constructs. The Technological Capability Index (</w:t>
      </w:r>
      <m:oMath>
        <m:sSub>
          <m:e>
            <m:r>
              <m:rPr>
                <m:nor/>
                <m:sty m:val="p"/>
              </m:rPr>
              <m:t>TCI</m:t>
            </m:r>
          </m:e>
          <m:sub>
            <m:r>
              <m:t>z</m:t>
            </m:r>
          </m:sub>
        </m:sSub>
      </m:oMath>
      <w:r>
        <w:t xml:space="preserve">) is interpreted narrowly as a foreign-technology and standards capability measure,</w:t>
      </w:r>
      <w:r>
        <w:t xml:space="preserve"> </w:t>
      </w:r>
      <w:r>
        <w:t xml:space="preserve">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sSub>
          <m:e>
            <m:r>
              <m:rPr>
                <m:nor/>
                <m:sty m:val="p"/>
              </m:rPr>
              <m:t>DAI</m:t>
            </m:r>
          </m:e>
          <m:sub>
            <m:r>
              <m:t>z</m:t>
            </m:r>
          </m:sub>
        </m:sSub>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w:t>
      </w:r>
      <m:oMath>
        <m:sSub>
          <m:e>
            <m:r>
              <m:rPr>
                <m:nor/>
                <m:sty m:val="p"/>
              </m:rPr>
              <m:t>FSTS</m:t>
            </m:r>
          </m:e>
          <m:sub>
            <m:r>
              <m:t>c</m:t>
            </m:r>
          </m:sub>
        </m:sSub>
      </m:oMath>
      <w:r>
        <w:t xml:space="preserve">) and squared (</w:t>
      </w:r>
      <m:oMath>
        <m:sSubSup>
          <m:e>
            <m:r>
              <m:rPr>
                <m:nor/>
                <m:sty m:val="p"/>
              </m:rPr>
              <m:t>FSTS</m:t>
            </m:r>
          </m:e>
          <m:sub>
            <m:r>
              <m:t>c</m:t>
            </m:r>
          </m:sub>
          <m:sup>
            <m:r>
              <m:t>2</m:t>
            </m:r>
          </m:sup>
        </m:sSubSup>
      </m:oMath>
      <w:r>
        <w:t xml:space="preserve">). The primary Technological Capability Index (</w:t>
      </w:r>
      <m:oMath>
        <m:sSub>
          <m:e>
            <m:r>
              <m:rPr>
                <m:nor/>
                <m:sty m:val="p"/>
              </m:rPr>
              <m:t>TCI</m:t>
            </m:r>
          </m:e>
          <m:sub>
            <m:r>
              <m:t>z</m:t>
            </m:r>
          </m:sub>
        </m:sSub>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sSub>
          <m:e>
            <m:r>
              <m:rPr>
                <m:nor/>
                <m:sty m:val="p"/>
              </m:rPr>
              <m:t>DAI</m:t>
            </m:r>
          </m:e>
          <m:sub>
            <m:r>
              <m:t>z</m:t>
            </m:r>
          </m:sub>
        </m:sSub>
      </m:oMath>
      <w:r>
        <w:t xml:space="preserve">)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is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sSub>
          <m:e>
            <m:r>
              <m:rPr>
                <m:nor/>
                <m:sty m:val="p"/>
              </m:rPr>
              <m:t>DAI</m:t>
            </m:r>
          </m:e>
          <m:sub>
            <m:r>
              <m:t>z</m:t>
            </m:r>
          </m:sub>
        </m:sSub>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m:oMath>
        <m:sSub>
          <m:e>
            <m:r>
              <m:rPr>
                <m:nor/>
                <m:sty m:val="p"/>
              </m:rPr>
              <m:t>TCI</m:t>
            </m:r>
          </m:e>
          <m:sub>
            <m:r>
              <m:t>f</m:t>
            </m:r>
          </m:sub>
        </m:sSub>
      </m:oMath>
      <w:r>
        <w:t xml:space="preserve">ull adds h1 (introduced new or significantly improved product) and h8 (R&amp;D expenditure</w:t>
      </w:r>
      <w:r>
        <w:t xml:space="preserve"> </w:t>
      </w:r>
      <w:r>
        <w:t xml:space="preserve">indicator) to the TCI items in 2015 and 2023, where h1 and h8 are present.</w:t>
      </w:r>
      <w:r>
        <w:t xml:space="preserve"> </w:t>
      </w:r>
      <m:oMath>
        <m:sSub>
          <m:e>
            <m:r>
              <m:rPr>
                <m:nor/>
                <m:sty m:val="p"/>
              </m:rPr>
              <m:t>DAI</m:t>
            </m:r>
          </m:e>
          <m:sub>
            <m:r>
              <m:t>r</m:t>
            </m:r>
          </m:sub>
        </m:sSub>
      </m:oMath>
      <w:r>
        <w:t xml:space="preserve">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nor/>
                <m:sty m:val="p"/>
              </m:rPr>
              <m:t>DAI</m:t>
            </m:r>
          </m:e>
          <m:sub>
            <m:r>
              <m:t>r</m:t>
            </m:r>
          </m:sub>
        </m:sSub>
      </m:oMath>
      <w:r>
        <w:t xml:space="preserve">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w:t>
      </w:r>
      <w:r>
        <w:t xml:space="preserve"> </w:t>
      </w:r>
      <m:oMath>
        <m:sSub>
          <m:e>
            <m:r>
              <m:rPr>
                <m:nor/>
                <m:sty m:val="p"/>
              </m:rPr>
              <m:t>DAI</m:t>
            </m:r>
          </m:e>
          <m:sub>
            <m:r>
              <m:t>z</m:t>
            </m:r>
          </m:sub>
        </m:sSub>
      </m:oMath>
      <w:r>
        <w:t xml:space="preserve"> </w:t>
      </w:r>
      <w:r>
        <w:t xml:space="preserve">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w:t>
      </w:r>
      <m:oMath>
        <m:sSub>
          <m:e>
            <m:r>
              <m:rPr>
                <m:nor/>
                <m:sty m:val="p"/>
              </m:rPr>
              <m:t>FSTS</m:t>
            </m:r>
          </m:e>
          <m:sub>
            <m:r>
              <m:t>c</m:t>
            </m:r>
          </m:sub>
        </m:sSub>
        <m:r>
          <m:rPr>
            <m:sty m:val="p"/>
          </m:rPr>
          <m:t>×</m:t>
        </m:r>
        <m:sSub>
          <m:e>
            <m:r>
              <m:rPr>
                <m:nor/>
                <m:sty m:val="p"/>
              </m:rPr>
              <m:t>DAI</m:t>
            </m:r>
          </m:e>
          <m:sub>
            <m:r>
              <m:t>z</m:t>
            </m:r>
          </m:sub>
        </m:sSub>
      </m:oMath>
      <w:r>
        <w:t xml:space="preserve"> </w:t>
      </w:r>
      <w:r>
        <w:t xml:space="preserve">= −0.912, p =.043) is best read as construct-tier obsolescence: Tier-1 website presence has become a minimum-threshold credential in Vietnam’s maturing digital environment and no longer differentiates firms’ cross-border coordination capacity at high export intensity. The</w:t>
      </w:r>
      <w:r>
        <w:t xml:space="preserve"> </w:t>
      </w:r>
      <m:oMath>
        <m:sSub>
          <m:e>
            <m:r>
              <m:rPr>
                <m:nor/>
                <m:sty m:val="p"/>
              </m:rPr>
              <m:t>DAI</m:t>
            </m:r>
          </m:e>
          <m:sub>
            <m:r>
              <m:t>r</m:t>
            </m:r>
          </m:sub>
        </m:sSub>
      </m:oMath>
      <w:r>
        <w:t xml:space="preserve">ich robustness composite available in the 2023 wave (Tier 1+2, Section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w:t>
      </w:r>
      <w:r>
        <w:t xml:space="preserve"> </w:t>
      </w:r>
      <m:oMath>
        <m:sSub>
          <m:e>
            <m:r>
              <m:rPr>
                <m:nor/>
                <m:sty m:val="p"/>
              </m:rPr>
              <m:t>DAI</m:t>
            </m:r>
          </m:e>
          <m:sub>
            <m:r>
              <m:t>z</m:t>
            </m:r>
          </m:sub>
        </m:sSub>
      </m:oMath>
      <w:r>
        <w:t xml:space="preserve"> </w:t>
      </w:r>
      <w:r>
        <w:t xml:space="preserve">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w:t>
      </w:r>
      <w:r>
        <w:t xml:space="preserve"> </w:t>
      </w:r>
      <m:oMath>
        <m:sSub>
          <m:e>
            <m:r>
              <m:rPr>
                <m:nor/>
                <m:sty m:val="p"/>
              </m:rPr>
              <m:t>DAI</m:t>
            </m:r>
          </m:e>
          <m:sub>
            <m:r>
              <m:t>r</m:t>
            </m:r>
          </m:sub>
        </m:sSub>
      </m:oMath>
      <w:r>
        <w:t xml:space="preserve">ich robustness extension (Section 4.5 Panel B) applies the 2023-wave Tier-2 items precisely as a within-wave sensitivity probe to assess whether the primary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to 0). c22b is recoded similarly (1 = has website; 2 to 0).</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standardised within each wave independently so that coefficients are comparable in magnitude across waves. Turning-point formula: TP* = −</w:t>
      </w:r>
      <m:oMath>
        <m:sSub>
          <m:e>
            <m:r>
              <m:t>β</m:t>
            </m:r>
          </m:e>
          <m:sub>
            <m:r>
              <m:t>1</m:t>
            </m:r>
          </m:sub>
        </m:sSub>
      </m:oMath>
      <w:r>
        <w:t xml:space="preserve"> </w:t>
      </w:r>
      <w:r>
        <w:t xml:space="preserve">/ (2</w:t>
      </w:r>
      <m:oMath>
        <m:sSub>
          <m:e>
            <m:r>
              <m:t>β</m:t>
            </m:r>
          </m:e>
          <m:sub>
            <m:r>
              <m:t>2</m:t>
            </m:r>
          </m:sub>
        </m:sSub>
      </m:oMath>
      <w:r>
        <w:t xml:space="preserve">); the Lind–Mehlum (2010) utest formally confirms inverted-U shape by rejecting monotonicity at p &lt;.05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This study treats -9 as missing before any composite is built and apply listwise deletion</w:t>
      </w:r>
      <w:r>
        <w:t xml:space="preserve"> </w:t>
      </w:r>
      <w:r>
        <w:t xml:space="preserve">on the focal variable set (lnLP, lnEmp, FirmAge, ForeignOwned, FSTS,</w:t>
      </w:r>
      <w:r>
        <w:t xml:space="preserve"> </w:t>
      </w:r>
      <m:oMath>
        <m:sSub>
          <m:e>
            <m:r>
              <m:rPr>
                <m:nor/>
                <m:sty m:val="p"/>
              </m:rPr>
              <m:t>TCI</m:t>
            </m:r>
          </m:e>
          <m:sub>
            <m:r>
              <m:t>z</m:t>
            </m:r>
          </m:sub>
        </m:sSub>
      </m:oMath>
      <w:r>
        <w:t xml:space="preserve">,</w:t>
      </w:r>
      <w:r>
        <w:t xml:space="preserve"> </w:t>
      </w:r>
      <m:oMath>
        <m:sSub>
          <m:e>
            <m:r>
              <m:rPr>
                <m:nor/>
                <m:sty m:val="p"/>
              </m:rPr>
              <m:t>DAI</m:t>
            </m:r>
          </m:e>
          <m:sub>
            <m:r>
              <m:t>z</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8"/>
    <w:bookmarkStart w:id="39" w:name="model-sequence"/>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w:t>
      </w:r>
      <w:r>
        <w:t xml:space="preserve"> </w:t>
      </w:r>
      <m:oMath>
        <m:sSub>
          <m:e>
            <m:r>
              <m:rPr>
                <m:nor/>
                <m:sty m:val="p"/>
              </m:rPr>
              <m:t>FSTS</m:t>
            </m:r>
          </m:e>
          <m:sub>
            <m:r>
              <m:t>c</m:t>
            </m:r>
          </m:sub>
        </m:sSub>
      </m:oMath>
      <w:r>
        <w:t xml:space="preserve">. A nonlinear model adds the quadratic term</w:t>
      </w:r>
      <w:r>
        <w:t xml:space="preserve"> </w:t>
      </w:r>
      <m:oMath>
        <m:sSubSup>
          <m:e>
            <m:r>
              <m:rPr>
                <m:nor/>
                <m:sty m:val="p"/>
              </m:rPr>
              <m:t>FSTS</m:t>
            </m:r>
          </m:e>
          <m:sub>
            <m:r>
              <m:t>c</m:t>
            </m:r>
          </m:sub>
          <m:sup>
            <m:r>
              <m:t>2</m:t>
            </m:r>
          </m:sup>
        </m:sSubSup>
      </m:oMath>
      <w:r>
        <w:t xml:space="preserve"> </w:t>
      </w:r>
      <w:r>
        <w:t xml:space="preserve">to test for curvature. Additional models introduce</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separately, first in specifications that allow interaction terms with</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w:t>
      </w:r>
      <w:r>
        <w:t xml:space="preserve"> </w:t>
      </w:r>
      <m:oMath>
        <m:sSub>
          <m:e>
            <m:r>
              <m:rPr>
                <m:nor/>
                <m:sty m:val="p"/>
              </m:rPr>
              <m:t>FSTS</m:t>
            </m:r>
          </m:e>
          <m:sub>
            <m:r>
              <m:t>c</m:t>
            </m:r>
          </m:sub>
        </m:sSub>
      </m:oMath>
      <w:r>
        <w:t xml:space="preserve">_it the within-wave mean-centred export intensity, and</w:t>
      </w:r>
      <w:r>
        <w:t xml:space="preserve"> </w:t>
      </w:r>
      <w:r>
        <w:rPr>
          <w:bCs/>
          <w:b/>
        </w:rPr>
        <w:t xml:space="preserve">X</w:t>
      </w:r>
      <w:r>
        <w:t xml:space="preserve">_it the vector of controls (lnEmp, FirmAge, ForeignOwned); δ_s denotes sector fixed effects and</w:t>
      </w:r>
      <w:r>
        <w:t xml:space="preserve"> </w:t>
      </w:r>
      <m:oMath>
        <m:r>
          <m:t>λ</m:t>
        </m:r>
      </m:oMath>
      <w:r>
        <w:t xml:space="preserve">_t wave fixed effects (pooled specifications only):</w:t>
      </w:r>
    </w:p>
    <w:p>
      <w:pPr>
        <w:pStyle w:val="BodyText"/>
      </w:pPr>
      <w:r>
        <w:rPr>
          <w:bCs/>
          <w:b/>
        </w:rPr>
        <w:t xml:space="preserve">M0, Baseline controls:</w:t>
      </w:r>
      <w:r>
        <w:t xml:space="preserve"> </w:t>
      </w:r>
      <w:r>
        <w:t xml:space="preserve">lnLP_it =</w:t>
      </w:r>
      <w:r>
        <w:t xml:space="preserve"> </w:t>
      </w:r>
      <m:oMath>
        <m:r>
          <m:t>α</m:t>
        </m:r>
      </m:oMath>
      <w:r>
        <w:t xml:space="preserve"> </w:t>
      </w:r>
      <w:r>
        <w:t xml:space="preserve">+</w:t>
      </w:r>
      <w:r>
        <w:t xml:space="preserve"> </w:t>
      </w:r>
      <m:oMath>
        <m:r>
          <m:t>γ</m:t>
        </m:r>
      </m:oMath>
      <w:r>
        <w:t xml:space="preserve">₁ lnEmp_it +</w:t>
      </w:r>
      <w:r>
        <w:t xml:space="preserve"> </w:t>
      </w:r>
      <m:oMath>
        <m:r>
          <m:t>γ</m:t>
        </m:r>
      </m:oMath>
      <w:r>
        <w:t xml:space="preserve">₂ FirmAge_it +</w:t>
      </w:r>
      <w:r>
        <w:t xml:space="preserve"> </w:t>
      </w:r>
      <m:oMath>
        <m:r>
          <m:t>γ</m:t>
        </m:r>
      </m:oMath>
      <w:r>
        <w:t xml:space="preserve">₃ ForeignOwned_it + δ_s + [</w:t>
      </w:r>
      <m:oMath>
        <m:r>
          <m:t>λ</m:t>
        </m:r>
      </m:oMath>
      <w:r>
        <w:t xml:space="preserve">_t] +</w:t>
      </w:r>
      <w:r>
        <w:t xml:space="preserve"> </w:t>
      </w:r>
      <m:oMath>
        <m:r>
          <m:t>ϵ</m:t>
        </m:r>
      </m:oMath>
      <w:r>
        <w:t xml:space="preserve">_it</w:t>
      </w:r>
    </w:p>
    <w:p>
      <w:pPr>
        <w:pStyle w:val="BodyText"/>
      </w:pPr>
      <w:r>
        <w:rPr>
          <w:bCs/>
          <w:b/>
        </w:rPr>
        <w:t xml:space="preserve">M1, Linear internationalisation:</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r>
          <m:t>γ</m:t>
        </m:r>
      </m:oMath>
      <w:r>
        <w:t xml:space="preserve">·</w:t>
      </w:r>
      <w:r>
        <w:rPr>
          <w:bCs/>
          <w:b/>
        </w:rPr>
        <w:t xml:space="preserve">X</w:t>
      </w:r>
      <w:r>
        <w:t xml:space="preserve">_it + δ_s + [</w:t>
      </w:r>
      <m:oMath>
        <m:r>
          <m:t>λ</m:t>
        </m:r>
      </m:oMath>
      <w:r>
        <w:t xml:space="preserve">_t] +</w:t>
      </w:r>
      <w:r>
        <w:t xml:space="preserve"> </w:t>
      </w:r>
      <m:oMath>
        <m:r>
          <m:t>ϵ</m:t>
        </m:r>
      </m:oMath>
      <w:r>
        <w:t xml:space="preserve">_it</w:t>
      </w:r>
    </w:p>
    <w:p>
      <w:pPr>
        <w:pStyle w:val="BodyText"/>
      </w:pPr>
      <w:r>
        <w:rPr>
          <w:bCs/>
          <w:b/>
        </w:rPr>
        <w:t xml:space="preserve">M2, Quadratic internationalisation (tests H1 inverted-U):</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r>
          <m:t>γ</m:t>
        </m:r>
      </m:oMath>
      <w:r>
        <w:t xml:space="preserve">·</w:t>
      </w:r>
      <w:r>
        <w:rPr>
          <w:bCs/>
          <w:b/>
        </w:rPr>
        <w:t xml:space="preserve">X</w:t>
      </w:r>
      <w:r>
        <w:t xml:space="preserve">_it + δ_s + [</w:t>
      </w:r>
      <m:oMath>
        <m:r>
          <m:t>λ</m:t>
        </m:r>
      </m:oMath>
      <w:r>
        <w:t xml:space="preserve">_t] +</w:t>
      </w:r>
      <w:r>
        <w:t xml:space="preserve"> </w:t>
      </w:r>
      <m:oMath>
        <m:r>
          <m:t>ϵ</m:t>
        </m:r>
      </m:oMath>
      <w:r>
        <w:t xml:space="preserve">_it</w:t>
      </w:r>
    </w:p>
    <w:p>
      <w:pPr>
        <w:pStyle w:val="BodyText"/>
      </w:pPr>
      <w:r>
        <w:t xml:space="preserve">H1 requires</w:t>
      </w:r>
      <w:r>
        <w:t xml:space="preserve"> </w:t>
      </w:r>
      <m:oMath>
        <m:sSub>
          <m:e>
            <m:r>
              <m:t>β</m:t>
            </m:r>
          </m:e>
          <m:sub>
            <m:r>
              <m:t>1</m:t>
            </m:r>
          </m:sub>
        </m:sSub>
      </m:oMath>
      <w:r>
        <w:t xml:space="preserve"> </w:t>
      </w:r>
      <w:r>
        <w:t xml:space="preserve">&gt; 0 and</w:t>
      </w:r>
      <w:r>
        <w:t xml:space="preserve"> </w:t>
      </w:r>
      <m:oMath>
        <m:sSub>
          <m:e>
            <m:r>
              <m:t>β</m:t>
            </m:r>
          </m:e>
          <m:sub>
            <m:r>
              <m:t>2</m:t>
            </m:r>
          </m:sub>
        </m:sSub>
      </m:oMath>
      <w:r>
        <w:t xml:space="preserve"> </w:t>
      </w:r>
      <w:r>
        <w:t xml:space="preserve">&lt; 0; the implied turning point is TP* = −</w:t>
      </w:r>
      <m:oMath>
        <m:sSub>
          <m:e>
            <m:r>
              <m:t>β</m:t>
            </m:r>
          </m:e>
          <m:sub>
            <m:r>
              <m:t>1</m:t>
            </m:r>
          </m:sub>
        </m:sSub>
      </m:oMath>
      <w:r>
        <w:t xml:space="preserve"> </w:t>
      </w:r>
      <w:r>
        <w:t xml:space="preserve">/ (2</w:t>
      </w:r>
      <m:oMath>
        <m:sSub>
          <m:e>
            <m:r>
              <m:t>β</m:t>
            </m:r>
          </m:e>
          <m:sub>
            <m:r>
              <m:t>2</m:t>
            </m:r>
          </m:sub>
        </m:sSub>
      </m:oMath>
      <w:r>
        <w:t xml:space="preserve">), confirmed by the Lind–Mehlum (2010) utest.</w:t>
      </w:r>
    </w:p>
    <w:p>
      <w:pPr>
        <w:pStyle w:val="BodyText"/>
      </w:pPr>
      <w:r>
        <w:rPr>
          <w:bCs/>
          <w:b/>
        </w:rPr>
        <w:t xml:space="preserve">M3, TCI moderation (tests H2):</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w:t>
      </w:r>
      <m:oMath>
        <m:sSub>
          <m:e>
            <m:r>
              <m:rPr>
                <m:nor/>
                <m:sty m:val="p"/>
              </m:rPr>
              <m:t>FSTS</m:t>
            </m:r>
          </m:e>
          <m:sub>
            <m:r>
              <m:t>c</m:t>
            </m:r>
          </m:sub>
        </m:sSub>
        <m:r>
          <m:rPr>
            <m:sty m:val="p"/>
          </m:rPr>
          <m:t>×</m:t>
        </m:r>
        <m:sSub>
          <m:e>
            <m:r>
              <m:rPr>
                <m:nor/>
                <m:sty m:val="p"/>
              </m:rPr>
              <m:t>TCI</m:t>
            </m:r>
          </m:e>
          <m:sub>
            <m:r>
              <m:t>z</m:t>
            </m:r>
          </m:sub>
        </m:sSub>
      </m:oMath>
      <w:r>
        <w:t xml:space="preserve">) +</w:t>
      </w:r>
      <w:r>
        <w:t xml:space="preserve"> </w:t>
      </w:r>
      <m:oMath>
        <m:sSub>
          <m:e>
            <m:r>
              <m:t>β</m:t>
            </m:r>
          </m:e>
          <m:sub>
            <m:r>
              <m:t>5</m:t>
            </m:r>
          </m:sub>
        </m:sSub>
      </m:oMath>
      <w:r>
        <w:t xml:space="preserve">(</w:t>
      </w:r>
      <m:oMath>
        <m:sSubSup>
          <m:e>
            <m:r>
              <m:rPr>
                <m:nor/>
                <m:sty m:val="p"/>
              </m:rPr>
              <m:t>FSTS</m:t>
            </m:r>
          </m:e>
          <m:sub>
            <m:r>
              <m:t>c</m:t>
            </m:r>
          </m:sub>
          <m:sup>
            <m:r>
              <m:t>2</m:t>
            </m:r>
          </m:sup>
        </m:sSubSup>
        <m:r>
          <m:rPr>
            <m:sty m:val="p"/>
          </m:rPr>
          <m:t>×</m:t>
        </m:r>
        <m:sSub>
          <m:e>
            <m:r>
              <m:rPr>
                <m:nor/>
                <m:sty m:val="p"/>
              </m:rPr>
              <m:t>TCI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M4, DAI moderation (exploratory H4):</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DAI</m:t>
            </m:r>
          </m:e>
          <m:sub>
            <m:r>
              <m:t>z</m:t>
            </m:r>
          </m:sub>
        </m:sSub>
      </m:oMath>
      <w:r>
        <w:t xml:space="preserve"> </w:t>
      </w:r>
      <w:r>
        <w:t xml:space="preserve">+</w:t>
      </w:r>
      <w:r>
        <w:t xml:space="preserve"> </w:t>
      </w:r>
      <m:oMath>
        <m:sSub>
          <m:e>
            <m:r>
              <m:t>β</m:t>
            </m:r>
          </m:e>
          <m:sub>
            <m:r>
              <m:t>4</m:t>
            </m:r>
          </m:sub>
        </m:sSub>
      </m:oMath>
      <w:r>
        <w:t xml:space="preserve">(</w:t>
      </w:r>
      <m:oMath>
        <m:sSub>
          <m:e>
            <m:r>
              <m:rPr>
                <m:nor/>
                <m:sty m:val="p"/>
              </m:rPr>
              <m:t>FSTS</m:t>
            </m:r>
          </m:e>
          <m:sub>
            <m:r>
              <m:t>c</m:t>
            </m:r>
          </m:sub>
        </m:sSub>
        <m:r>
          <m:rPr>
            <m:sty m:val="p"/>
          </m:rPr>
          <m:t>×</m:t>
        </m:r>
        <m:sSub>
          <m:e>
            <m:r>
              <m:rPr>
                <m:nor/>
                <m:sty m:val="p"/>
              </m:rPr>
              <m:t>DAI</m:t>
            </m:r>
          </m:e>
          <m:sub>
            <m:r>
              <m:t>z</m:t>
            </m:r>
          </m:sub>
        </m:sSub>
      </m:oMath>
      <w:r>
        <w:t xml:space="preserve">) +</w:t>
      </w:r>
      <w:r>
        <w:t xml:space="preserve"> </w:t>
      </w:r>
      <m:oMath>
        <m:sSub>
          <m:e>
            <m:r>
              <m:t>β</m:t>
            </m:r>
          </m:e>
          <m:sub>
            <m:r>
              <m:t>5</m:t>
            </m:r>
          </m:sub>
        </m:sSub>
      </m:oMath>
      <w:r>
        <w:t xml:space="preserve">(</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M5, TCI direct only:</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M6, DAI direct only:</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DAI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M7, Dual-direct, no interactions:</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 </w:t>
      </w:r>
      <m:oMath>
        <m:sSub>
          <m:e>
            <m:r>
              <m:rPr>
                <m:nor/>
                <m:sty m:val="p"/>
              </m:rPr>
              <m:t>DAI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M8, Full model (dual-direct + DAI moderation):</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 </w:t>
      </w:r>
      <m:oMath>
        <m:sSub>
          <m:e>
            <m:r>
              <m:rPr>
                <m:nor/>
                <m:sty m:val="p"/>
              </m:rPr>
              <m:t>DAI</m:t>
            </m:r>
          </m:e>
          <m:sub>
            <m:r>
              <m:t>z</m:t>
            </m:r>
          </m:sub>
        </m:sSub>
      </m:oMath>
      <w:r>
        <w:t xml:space="preserve"> </w:t>
      </w:r>
      <w:r>
        <w:t xml:space="preserve">+</w:t>
      </w:r>
      <w:r>
        <w:t xml:space="preserve"> </w:t>
      </w:r>
      <m:oMath>
        <m:sSub>
          <m:e>
            <m:r>
              <m:t>β</m:t>
            </m:r>
          </m:e>
          <m:sub>
            <m:r>
              <m:t>5</m:t>
            </m:r>
          </m:sub>
        </m:sSub>
      </m:oMath>
      <w:r>
        <w:t xml:space="preserve">(</w:t>
      </w:r>
      <m:oMath>
        <m:sSub>
          <m:e>
            <m:r>
              <m:rPr>
                <m:nor/>
                <m:sty m:val="p"/>
              </m:rPr>
              <m:t>FSTS</m:t>
            </m:r>
          </m:e>
          <m:sub>
            <m:r>
              <m:t>c</m:t>
            </m:r>
          </m:sub>
        </m:sSub>
        <m:r>
          <m:rPr>
            <m:sty m:val="p"/>
          </m:rPr>
          <m:t>×</m:t>
        </m:r>
        <m:sSub>
          <m:e>
            <m:r>
              <m:rPr>
                <m:nor/>
                <m:sty m:val="p"/>
              </m:rPr>
              <m:t>DAI</m:t>
            </m:r>
          </m:e>
          <m:sub>
            <m:r>
              <m:t>z</m:t>
            </m:r>
          </m:sub>
        </m:sSub>
      </m:oMath>
      <w:r>
        <w:t xml:space="preserve">) +</w:t>
      </w:r>
      <w:r>
        <w:t xml:space="preserve"> </w:t>
      </w:r>
      <m:oMath>
        <m:sSub>
          <m:e>
            <m:r>
              <m:t>β</m:t>
            </m:r>
          </m:e>
          <m:sub>
            <m:r>
              <m:t>6</m:t>
            </m:r>
          </m:sub>
        </m:sSub>
      </m:oMath>
      <w:r>
        <w:t xml:space="preserve">(</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t xml:space="preserve">All models are estimated by OLS with HC1 heteroscedasticity-consistent standard errors. Wave fixed effects (</w:t>
      </w:r>
      <m:oMath>
        <m:r>
          <m:t>λ</m:t>
        </m:r>
      </m:oMath>
      <w:r>
        <w:t xml:space="preserve">_t) are included in pooled specifications only. The M0–M8 sequence is estimated wave-by-wave and jointly on the pooled three-wave file, yielding four sets of estimates (2009, 2015, 2023, pooled).</w:t>
      </w:r>
    </w:p>
    <w:bookmarkEnd w:id="39"/>
    <w:bookmarkStart w:id="40" w:name="identification-and-endogeneity-strategy"/>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w:t>
      </w:r>
      <w:r>
        <w:t xml:space="preserve"> </w:t>
      </w:r>
      <m:oMath>
        <m:r>
          <m:rPr>
            <m:sty m:val="p"/>
          </m:rPr>
          <m:t>×</m:t>
        </m:r>
      </m:oMath>
      <w:r>
        <w:t xml:space="preserve"> </w:t>
      </w:r>
      <w:r>
        <w:t xml:space="preserve">region</w:t>
      </w:r>
      <w:r>
        <w:t xml:space="preserve"> </w:t>
      </w:r>
      <m:oMath>
        <m:r>
          <m:rPr>
            <m:sty m:val="p"/>
          </m:rPr>
          <m:t>×</m:t>
        </m:r>
      </m:oMath>
      <w:r>
        <w:t xml:space="preserve"> </w:t>
      </w:r>
      <w:r>
        <w:t xml:space="preserve">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Section 4.5.</w:t>
      </w:r>
    </w:p>
    <w:p>
      <w:pPr>
        <w:pStyle w:val="BodyText"/>
      </w:pPr>
      <w:r>
        <w:rPr>
          <w:iCs/>
          <w:i/>
        </w:rPr>
        <w:t xml:space="preserve">Instrumental-variable estimation.</w:t>
      </w:r>
      <w:r>
        <w:t xml:space="preserve"> </w:t>
      </w:r>
      <w:r>
        <w:t xml:space="preserve">Leave-one-out sector</w:t>
      </w:r>
      <w:r>
        <w:t xml:space="preserve"> </w:t>
      </w:r>
      <m:oMath>
        <m:r>
          <m:rPr>
            <m:sty m:val="p"/>
          </m:rPr>
          <m:t>×</m:t>
        </m:r>
      </m:oMath>
      <w:r>
        <w:t xml:space="preserve"> </w:t>
      </w:r>
      <w:r>
        <w:t xml:space="preserve">region</w:t>
      </w:r>
      <w:r>
        <w:t xml:space="preserve"> </w:t>
      </w:r>
      <m:oMath>
        <m:r>
          <m:rPr>
            <m:sty m:val="p"/>
          </m:rPr>
          <m:t>×</m:t>
        </m:r>
      </m:oMath>
      <w:r>
        <w:t xml:space="preserve"> </w:t>
      </w:r>
      <w:r>
        <w:t xml:space="preserve">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w:t>
      </w:r>
      <w:r>
        <w:t xml:space="preserve"> </w:t>
      </w:r>
      <m:oMath>
        <m:sSup>
          <m:e>
            <m:r>
              <m:t>R</m:t>
            </m:r>
          </m:e>
          <m:sup>
            <m:r>
              <m:t>2</m:t>
            </m:r>
          </m:sup>
        </m:sSup>
      </m:oMath>
      <w:r>
        <w:t xml:space="preserve">_max = 1.3</w:t>
      </w:r>
      <w:r>
        <w:t xml:space="preserve"> </w:t>
      </w:r>
      <m:oMath>
        <m:r>
          <m:rPr>
            <m:sty m:val="p"/>
          </m:rPr>
          <m:t>×</m:t>
        </m:r>
      </m:oMath>
      <w:r>
        <w:t xml:space="preserve"> </w:t>
      </w:r>
      <m:oMath>
        <m:sSup>
          <m:e>
            <m:r>
              <m:t>R</m:t>
            </m:r>
          </m:e>
          <m:sup>
            <m:r>
              <m:t>2</m:t>
            </m:r>
          </m:sup>
        </m:sSup>
      </m:oMath>
      <w:r>
        <w:t xml:space="preserve">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0"/>
    <w:bookmarkStart w:id="41" w:name="replication-and-reproducibility"/>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this study follows current bestpractice recommendations on data preparation, transparency, and the cumulative interpretation</w:t>
      </w:r>
      <w:r>
        <w:t xml:space="preserve"> </w:t>
      </w:r>
      <w:r>
        <w:t xml:space="preserve">of associational evidence (Aguinis et al., 2021; Shaver, 2020).</w:t>
      </w:r>
    </w:p>
    <w:bookmarkEnd w:id="41"/>
    <w:bookmarkEnd w:id="42"/>
    <w:bookmarkStart w:id="64" w:name="results"/>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3"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w:t>
      </w:r>
      <m:oMath>
        <m:r>
          <m:t>β</m:t>
        </m:r>
      </m:oMath>
      <w:r>
        <w:t xml:space="preserve"> </w:t>
      </w:r>
      <w:r>
        <w:t xml:space="preserve">= 1.045, p =.015) and a negative quadratic term (</w:t>
      </w:r>
      <m:oMath>
        <m:r>
          <m:t>β</m:t>
        </m:r>
      </m:oMath>
      <w:r>
        <w:t xml:space="preserve"> </w:t>
      </w:r>
      <w:r>
        <w:t xml:space="preserve">=</w:t>
      </w:r>
      <w:r>
        <w:t xml:space="preserve"> </w:t>
      </w:r>
      <w:r>
        <w:t xml:space="preserve">-1.774, p =.009); the Lind–Mehlum test rejects monotonicity at p =.006. In the dual-direct</w:t>
      </w:r>
      <w:r>
        <w:t xml:space="preserve"> </w:t>
      </w:r>
      <w:r>
        <w:t xml:space="preserve">specification (M7) both</w:t>
      </w:r>
      <w:r>
        <w:t xml:space="preserve"> </w:t>
      </w:r>
      <m:oMath>
        <m:sSub>
          <m:e>
            <m:r>
              <m:rPr>
                <m:nor/>
                <m:sty m:val="p"/>
              </m:rPr>
              <m:t>TCI</m:t>
            </m:r>
          </m:e>
          <m:sub>
            <m:r>
              <m:t>z</m:t>
            </m:r>
          </m:sub>
        </m:sSub>
      </m:oMath>
      <w:r>
        <w:t xml:space="preserve"> </w:t>
      </w:r>
      <w:r>
        <w:t xml:space="preserve">(</w:t>
      </w:r>
      <m:oMath>
        <m:r>
          <m:t>β</m:t>
        </m:r>
      </m:oMath>
      <w:r>
        <w:t xml:space="preserve"> </w:t>
      </w:r>
      <w:r>
        <w:t xml:space="preserve">= 0.215, p &lt;.001) and</w:t>
      </w:r>
      <w:r>
        <w:t xml:space="preserve"> </w:t>
      </w:r>
      <m:oMath>
        <m:sSub>
          <m:e>
            <m:r>
              <m:rPr>
                <m:nor/>
                <m:sty m:val="p"/>
              </m:rPr>
              <m:t>DAI</m:t>
            </m:r>
          </m:e>
          <m:sub>
            <m:r>
              <m:t>z</m:t>
            </m:r>
          </m:sub>
        </m:sSub>
      </m:oMath>
      <w:r>
        <w:t xml:space="preserve"> </w:t>
      </w:r>
      <w:r>
        <w:t xml:space="preserve">(</w:t>
      </w:r>
      <m:oMath>
        <m:r>
          <m:t>β</m:t>
        </m:r>
      </m:oMath>
      <w:r>
        <w:t xml:space="preserve"> </w:t>
      </w:r>
      <w:r>
        <w:t xml:space="preserve">= 0.175, p &lt;.001) are</w:t>
      </w:r>
      <w:r>
        <w:t xml:space="preserve"> </w:t>
      </w:r>
      <w:r>
        <w:t xml:space="preserve">positive. TCI moderation is statistically distinguishable from zero (M3 joint p =.040;</w:t>
      </w:r>
      <w:r>
        <w:t xml:space="preserve"> </w:t>
      </w:r>
      <m:oMath>
        <m:sSub>
          <m:e>
            <m:r>
              <m:rPr>
                <m:nor/>
                <m:sty m:val="p"/>
              </m:rPr>
              <m:t>FSTS</m:t>
            </m:r>
          </m:e>
          <m:sub>
            <m:r>
              <m:t>c</m:t>
            </m:r>
          </m:sub>
        </m:sSub>
        <m:r>
          <m:rPr>
            <m:sty m:val="p"/>
          </m:rPr>
          <m:t>×</m:t>
        </m:r>
        <m:sSub>
          <m:e>
            <m:r>
              <m:rPr>
                <m:nor/>
                <m:sty m:val="p"/>
              </m:rPr>
              <m:t>TCI</m:t>
            </m:r>
          </m:e>
          <m:sub>
            <m:r>
              <m:t>z</m:t>
            </m:r>
          </m:sub>
        </m:sSub>
      </m:oMath>
      <w:r>
        <w:t xml:space="preserve"> </w:t>
      </w:r>
      <w:r>
        <w:t xml:space="preserve">= -0.579, p =.087), but DAI moderation is not (M4 joint</w:t>
      </w:r>
    </w:p>
    <w:p>
      <w:pPr>
        <w:pStyle w:val="BodyText"/>
      </w:pPr>
      <w:r>
        <w:t xml:space="preserve">Table 2: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 www.enterprisesurveys.org; authors’ calculations.</w:t>
      </w:r>
    </w:p>
    <w:p>
      <w:pPr>
        <w:pStyle w:val="BodyText"/>
      </w:pPr>
      <w:r>
        <w:t xml:space="preserve">p =.825; full-model M8 joint p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r>
        <w:t xml:space="preserve"> </w:t>
      </w:r>
      <m:oMath>
        <m:sSub>
          <m:e>
            <m:r>
              <m:rPr>
                <m:nor/>
                <m:sty m:val="p"/>
              </m:rPr>
              <m:t>FSTS</m:t>
            </m:r>
          </m:e>
          <m:sub>
            <m:r>
              <m:t>c</m:t>
            </m:r>
          </m:sub>
        </m:sSub>
      </m:oMath>
      <w:r>
        <w:t xml:space="preserve"> </w:t>
      </w:r>
      <m:oMath>
        <m:r>
          <m:t>β</m:t>
        </m:r>
      </m:oMath>
      <w:r>
        <w:t xml:space="preserve"> </w:t>
      </w:r>
      <w:r>
        <w:t xml:space="preserve">= 1.159 (p =.029) and</w:t>
      </w:r>
      <w:r>
        <w:t xml:space="preserve"> </w:t>
      </w:r>
      <m:oMath>
        <m:sSubSup>
          <m:e>
            <m:r>
              <m:rPr>
                <m:nor/>
                <m:sty m:val="p"/>
              </m:rPr>
              <m:t>FSTS</m:t>
            </m:r>
          </m:e>
          <m:sub>
            <m:r>
              <m:t>c</m:t>
            </m:r>
          </m:sub>
          <m:sup>
            <m:r>
              <m:t>2</m:t>
            </m:r>
          </m:sup>
        </m:sSubSup>
      </m:oMath>
      <w:r>
        <w:t xml:space="preserve"> </w:t>
      </w:r>
      <m:oMath>
        <m:r>
          <m:t>β</m:t>
        </m:r>
      </m:oMath>
      <w:r>
        <w:t xml:space="preserve"> </w:t>
      </w:r>
      <w:r>
        <w:t xml:space="preserve">= -2.115 (p =.004), with Lind–Mehlum p =.009.</w:t>
      </w:r>
      <w:r>
        <w:t xml:space="preserve"> </w:t>
      </w:r>
      <m:oMath>
        <m:sSub>
          <m:e>
            <m:r>
              <m:rPr>
                <m:nor/>
                <m:sty m:val="p"/>
              </m:rPr>
              <m:t>TCI</m:t>
            </m:r>
          </m:e>
          <m:sub>
            <m:r>
              <m:t>z</m:t>
            </m:r>
          </m:sub>
        </m:sSub>
      </m:oMath>
      <w:r>
        <w:t xml:space="preserve"> </w:t>
      </w:r>
      <w:r>
        <w:t xml:space="preserve">retains a positive direct association (</w:t>
      </w:r>
      <m:oMath>
        <m:r>
          <m:t>β</m:t>
        </m:r>
      </m:oMath>
      <w:r>
        <w:t xml:space="preserve"> </w:t>
      </w:r>
      <w:r>
        <w:t xml:space="preserve">= 0.128, p =.010) but at roughly 60 per</w:t>
      </w:r>
      <w:r>
        <w:t xml:space="preserve"> </w:t>
      </w:r>
      <w:r>
        <w:t xml:space="preserve">cent of the 2009 magnitude.</w:t>
      </w:r>
      <w:r>
        <w:t xml:space="preserve"> </w:t>
      </w:r>
      <m:oMath>
        <m:sSub>
          <m:e>
            <m:r>
              <m:rPr>
                <m:nor/>
                <m:sty m:val="p"/>
              </m:rPr>
              <m:t>DAI</m:t>
            </m:r>
          </m:e>
          <m:sub>
            <m:r>
              <m:t>z</m:t>
            </m:r>
          </m:sub>
        </m:sSub>
      </m:oMath>
      <w:r>
        <w:t xml:space="preserve"> </w:t>
      </w:r>
      <w:r>
        <w:t xml:space="preserve">loses direct salience entirely (</w:t>
      </w:r>
      <m:oMath>
        <m:r>
          <m:t>β</m:t>
        </m:r>
      </m:oMath>
      <w:r>
        <w:t xml:space="preserve"> </w:t>
      </w:r>
      <w:r>
        <w:t xml:space="preserve">= -0.044, p =.377). TCI</w:t>
      </w:r>
      <w:r>
        <w:t xml:space="preserve"> </w:t>
      </w:r>
      <w:r>
        <w:t xml:space="preserve">moderation is null in this wave (M3 joint p =.713), and DAI moderation is at best marginal</w:t>
      </w:r>
      <w:r>
        <w:t xml:space="preserve"> </w:t>
      </w:r>
      <w:r>
        <w:t xml:space="preserve">(M4 joint p =.125; M8 joint p =.093). Read as a phase characterisation, 2015 looks like a wave</w:t>
      </w:r>
      <w:r>
        <w:t xml:space="preserve"> </w:t>
      </w:r>
      <w:r>
        <w:t xml:space="preserve">in which the I–P curvature is unusually sharp while the digital channel compresses entirely,</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w:t>
      </w:r>
      <m:oMath>
        <m:sSub>
          <m:e>
            <m:r>
              <m:rPr>
                <m:nor/>
                <m:sty m:val="p"/>
              </m:rPr>
              <m:t>FSTS</m:t>
            </m:r>
          </m:e>
          <m:sub>
            <m:r>
              <m:t>c</m:t>
            </m:r>
          </m:sub>
        </m:sSub>
      </m:oMath>
      <w:r>
        <w:t xml:space="preserve"> </w:t>
      </w:r>
      <m:oMath>
        <m:r>
          <m:t>β</m:t>
        </m:r>
      </m:oMath>
      <w:r>
        <w:t xml:space="preserve"> </w:t>
      </w:r>
      <w:r>
        <w:t xml:space="preserve">= 0.962, p =.039;</w:t>
      </w:r>
      <w:r>
        <w:t xml:space="preserve"> </w:t>
      </w:r>
      <m:oMath>
        <m:sSubSup>
          <m:e>
            <m:r>
              <m:rPr>
                <m:nor/>
                <m:sty m:val="p"/>
              </m:rPr>
              <m:t>FSTS</m:t>
            </m:r>
          </m:e>
          <m:sub>
            <m:r>
              <m:t>c</m:t>
            </m:r>
          </m:sub>
          <m:sup>
            <m:r>
              <m:t>2</m:t>
            </m:r>
          </m:sup>
        </m:sSubSup>
      </m:oMath>
      <w:r>
        <w:t xml:space="preserve"> </w:t>
      </w:r>
      <m:oMath>
        <m:r>
          <m:t>β</m:t>
        </m:r>
      </m:oMath>
      <w:r>
        <w:t xml:space="preserve"> </w:t>
      </w:r>
      <w:r>
        <w:t xml:space="preserve">= -1.686, p =.008; Lind–Mehlum p =.013). In the dual-direct M7, both capability dimensions are positive and significant (</w:t>
      </w:r>
      <m:oMath>
        <m:sSub>
          <m:e>
            <m:r>
              <m:rPr>
                <m:nor/>
                <m:sty m:val="p"/>
              </m:rPr>
              <m:t>TCI</m:t>
            </m:r>
          </m:e>
          <m:sub>
            <m:r>
              <m:t>z</m:t>
            </m:r>
          </m:sub>
        </m:sSub>
      </m:oMath>
      <w:r>
        <w:t xml:space="preserve"> </w:t>
      </w:r>
      <m:oMath>
        <m:r>
          <m:t>β</m:t>
        </m:r>
      </m:oMath>
      <w:r>
        <w:t xml:space="preserve"> </w:t>
      </w:r>
      <w:r>
        <w:t xml:space="preserve">= 0.123, p =.006;</w:t>
      </w:r>
      <w:r>
        <w:t xml:space="preserve"> </w:t>
      </w:r>
      <m:oMath>
        <m:sSub>
          <m:e>
            <m:r>
              <m:rPr>
                <m:nor/>
                <m:sty m:val="p"/>
              </m:rPr>
              <m:t>DAI</m:t>
            </m:r>
          </m:e>
          <m:sub>
            <m:r>
              <m:t>z</m:t>
            </m:r>
          </m:sub>
        </m:sSub>
      </m:oMath>
      <w:r>
        <w:t xml:space="preserve"> </w:t>
      </w:r>
      <m:oMath>
        <m:r>
          <m:t>β</m:t>
        </m:r>
      </m:oMath>
      <w:r>
        <w:t xml:space="preserve"> </w:t>
      </w:r>
      <w:r>
        <w:t xml:space="preserve">= 0.095, p =.038). When the DAI interaction terms are added in M8, the linear interaction is negative and individually significant (</w:t>
      </w:r>
      <m:oMath>
        <m:sSub>
          <m:e>
            <m:r>
              <m:rPr>
                <m:nor/>
                <m:sty m:val="p"/>
              </m:rPr>
              <m:t>FSTS</m:t>
            </m:r>
          </m:e>
          <m:sub>
            <m:r>
              <m:t>c</m:t>
            </m:r>
          </m:sub>
        </m:sSub>
        <m:r>
          <m:rPr>
            <m:sty m:val="p"/>
          </m:rPr>
          <m:t>×</m:t>
        </m:r>
        <m:sSub>
          <m:e>
            <m:r>
              <m:rPr>
                <m:nor/>
                <m:sty m:val="p"/>
              </m:rPr>
              <m:t>DAI</m:t>
            </m:r>
          </m:e>
          <m:sub>
            <m:r>
              <m:t>z</m:t>
            </m:r>
          </m:sub>
        </m:sSub>
      </m:oMath>
      <w:r>
        <w:t xml:space="preserve"> </w:t>
      </w:r>
      <w:r>
        <w:t xml:space="preserve">= -0.912, p =.043), the quadratic interaction is positive but does not reach conventional significance (</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1.043, p =.099), and the joint test is above the.05 threshold (M4 joint p =.102; M8 joint p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w:t>
      </w:r>
      <m:oMath>
        <m:r>
          <m:t>β</m:t>
        </m:r>
      </m:oMath>
      <w:r>
        <w:t xml:space="preserve">=0.018,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w:t>
      </w:r>
      <w:r>
        <w:t xml:space="preserve"> </w:t>
      </w:r>
      <m:oMath>
        <m:r>
          <m:rPr>
            <m:nor/>
            <m:sty m:val="p"/>
          </m:rPr>
          <m:t>DAI</m:t>
        </m:r>
        <m:r>
          <m:rPr>
            <m:sty m:val="p"/>
          </m:rPr>
          <m:t>×</m:t>
        </m:r>
        <m:r>
          <m:rPr>
            <m:nor/>
            <m:sty m:val="p"/>
          </m:rPr>
          <m:t>FSTS</m:t>
        </m:r>
      </m:oMath>
      <w:r>
        <w:t xml:space="preserve"> </w:t>
      </w:r>
      <w:r>
        <w:t xml:space="preserve">interaction without requiring that</w:t>
      </w:r>
      <w:r>
        <w:t xml:space="preserve"> </w:t>
      </w:r>
      <w:r>
        <w:t xml:space="preserve">“</w:t>
      </w:r>
      <w:r>
        <w:t xml:space="preserve">digital adoption is bad</w:t>
      </w:r>
      <w:r>
        <w:t xml:space="preserve">”</w:t>
      </w:r>
      <w:r>
        <w:t xml:space="preserve">, instead, the instrument has lost its discriminatory power as Tier 1 adoption has diffused to near-universal levels (49.8% in 2023 vs 42.5% in 2009). The</w:t>
      </w:r>
      <w:r>
        <w:t xml:space="preserve"> </w:t>
      </w:r>
      <m:oMath>
        <m:sSub>
          <m:e>
            <m:r>
              <m:rPr>
                <m:nor/>
                <m:sty m:val="p"/>
              </m:rPr>
              <m:t>DAI</m:t>
            </m:r>
          </m:e>
          <m:sub>
            <m:r>
              <m:t>r</m:t>
            </m:r>
          </m:sub>
        </m:sSub>
      </m:oMath>
      <w:r>
        <w:t xml:space="preserve">ich composite (Tier 1+2; Section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w:t>
      </w:r>
      <m:oMath>
        <m:sSub>
          <m:e>
            <m:r>
              <m:rPr>
                <m:nor/>
                <m:sty m:val="p"/>
              </m:rPr>
              <m:t>TCI</m:t>
            </m:r>
          </m:e>
          <m:sub>
            <m:r>
              <m:t>z</m:t>
            </m:r>
          </m:sub>
        </m:sSub>
      </m:oMath>
      <w:r>
        <w:t xml:space="preserve"> </w:t>
      </w:r>
      <w:r>
        <w:t xml:space="preserve">= 0.215 to 0.128 to 0.123) but with moderation</w:t>
      </w:r>
    </w:p>
    <w:p>
      <w:pPr>
        <w:pStyle w:val="BodyText"/>
      </w:pPr>
      <w:r>
        <w:t xml:space="preserve">that survives in the 2009, 2023 and pooled panels. Website-based digital presence follows a nonmonotonic trajectory, strong in 2009 (</w:t>
      </w:r>
      <m:oMath>
        <m:r>
          <m:t>β</m:t>
        </m:r>
      </m:oMath>
      <w:r>
        <w:t xml:space="preserve"> </w:t>
      </w:r>
      <w:r>
        <w:t xml:space="preserve">= 0.175 **</w:t>
      </w:r>
      <w:r>
        <w:rPr>
          <w:iCs/>
          <w:i/>
        </w:rPr>
        <w:t xml:space="preserve">), null in 2015 (</w:t>
      </w:r>
      <m:oMath>
        <m:r>
          <m:t>β</m:t>
        </m:r>
      </m:oMath>
      <w:r>
        <w:rPr>
          <w:iCs/>
          <w:i/>
        </w:rPr>
        <w:t xml:space="preserve"> </w:t>
      </w:r>
      <w:r>
        <w:rPr>
          <w:iCs/>
          <w:i/>
        </w:rPr>
        <w:t xml:space="preserve">= -0.044 n.s.), and</w:t>
      </w:r>
      <w:r>
        <w:rPr>
          <w:iCs/>
          <w:i/>
        </w:rPr>
        <w:t xml:space="preserve"> </w:t>
      </w:r>
      <w:r>
        <w:rPr>
          <w:iCs/>
          <w:i/>
        </w:rPr>
        <w:t xml:space="preserve">re-emerging in 2023 (</w:t>
      </w:r>
      <m:oMath>
        <m:r>
          <m:t>β</m:t>
        </m:r>
      </m:oMath>
      <w:r>
        <w:rPr>
          <w:iCs/>
          <w:i/>
        </w:rPr>
        <w:t xml:space="preserve"> </w:t>
      </w:r>
      <w:r>
        <w:rPr>
          <w:iCs/>
          <w:i/>
        </w:rPr>
        <w:t xml:space="preserve">= 0.095</w:t>
      </w:r>
      <w:r>
        <w:rPr>
          <w:iCs/>
          <w:i/>
        </w:rPr>
        <w:t xml:space="preserve"> </w:t>
      </w:r>
      <w:r>
        <w:t xml:space="preserve">), and its moderation channel materialises only in 2023.</w:t>
      </w:r>
      <w:r>
        <w:t xml:space="preserve"> </w:t>
      </w:r>
      <w:r>
        <w:t xml:space="preserve">The Paternoster cross-wave z-tests reported in Section 4.5 indicate that the 2009-to-2015 fall in DAI</w:t>
      </w:r>
      <w:r>
        <w:t xml:space="preserve"> </w:t>
      </w:r>
      <w:r>
        <w:t xml:space="preserve">(z = 3.353, p &lt;.001) and the 2015-to-2023 recovery (z = -2.051, p =.040) are statistically</w:t>
      </w:r>
      <w:r>
        <w:t xml:space="preserve"> </w:t>
      </w:r>
      <w:r>
        <w:t xml:space="preserve">distinguishable.</w:t>
      </w:r>
    </w:p>
    <w:p>
      <w:pPr>
        <w:pStyle w:val="BodyText"/>
      </w:pPr>
      <w:r>
        <w:t xml:space="preserve">A formal pooled wave</w:t>
      </w:r>
      <w:r>
        <w:t xml:space="preserve"> </w:t>
      </w:r>
      <m:oMath>
        <m:r>
          <m:rPr>
            <m:sty m:val="p"/>
          </m:rPr>
          <m:t>×</m:t>
        </m:r>
      </m:oMath>
      <w:r>
        <w:t xml:space="preserve"> </w:t>
      </w:r>
      <w:r>
        <w:t xml:space="preserve">focal interaction test (reported as Panel I in 4.5)</w:t>
      </w:r>
    </w:p>
    <w:p>
      <w:pPr>
        <w:pStyle w:val="BodyText"/>
      </w:pPr>
      <w:r>
        <w:t xml:space="preserve">suggests that only the DAI direct shifts are cross-wave-distinguishable; the FSTS curvature and</w:t>
      </w:r>
      <w:r>
        <w:t xml:space="preserve"> </w:t>
      </w:r>
      <w:r>
        <w:t xml:space="preserve">the</w:t>
      </w:r>
      <w:r>
        <w:t xml:space="preserve"> </w:t>
      </w:r>
      <m:oMath>
        <m:r>
          <m:rPr>
            <m:nor/>
            <m:sty m:val="p"/>
          </m:rPr>
          <m:t>FSTS</m:t>
        </m:r>
        <m:r>
          <m:rPr>
            <m:sty m:val="p"/>
          </m:rPr>
          <m:t>×</m:t>
        </m:r>
        <m:r>
          <m:rPr>
            <m:nor/>
            <m:sty m:val="p"/>
          </m:rPr>
          <m:t>DAI</m:t>
        </m:r>
      </m:oMath>
      <w:r>
        <w:t xml:space="preserve"> </w:t>
      </w:r>
      <w:r>
        <w:t xml:space="preserve">moderation differences across waves are not statistically separable in the pooled</w:t>
      </w:r>
      <w:r>
        <w:t xml:space="preserve"> </w:t>
      </w:r>
      <w:r>
        <w:t xml:space="preserve">saturated specification. This study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 I–P curvature is unusually sharp (</w:t>
      </w:r>
      <m:oMath>
        <m:sSubSup>
          <m:e>
            <m:r>
              <m:rPr>
                <m:nor/>
                <m:sty m:val="p"/>
              </m:rPr>
              <m:t>FSTS</m:t>
            </m:r>
          </m:e>
          <m:sub>
            <m:r>
              <m:t>c</m:t>
            </m:r>
          </m:sub>
          <m:sup>
            <m:r>
              <m:t>2</m:t>
            </m:r>
          </m:sup>
        </m:sSubSup>
      </m:oMath>
      <w:r>
        <w:t xml:space="preserve"> </w:t>
      </w:r>
      <w:r>
        <w:t xml:space="preserve">= -2.115, p =.004 in M2) but the digital channel compresses entirely:</w:t>
      </w:r>
      <w:r>
        <w:t xml:space="preserve"> </w:t>
      </w:r>
      <m:oMath>
        <m:sSub>
          <m:e>
            <m:r>
              <m:rPr>
                <m:nor/>
                <m:sty m:val="p"/>
              </m:rPr>
              <m:t>DAI</m:t>
            </m:r>
          </m:e>
          <m:sub>
            <m:r>
              <m:t>z</m:t>
            </m:r>
          </m:sub>
        </m:sSub>
      </m:oMath>
      <w:r>
        <w:t xml:space="preserve"> </w:t>
      </w:r>
      <w:r>
        <w:t xml:space="preserve">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interaction suggests that this conditional channel binds primarily at</w:t>
      </w:r>
      <w:r>
        <w:t xml:space="preserve"> </w:t>
      </w:r>
      <w:r>
        <w:t xml:space="preserve">higher export intensity rather than uniformly across the export-intensity range.</w:t>
      </w:r>
    </w:p>
    <w:bookmarkEnd w:id="43"/>
    <w:bookmarkStart w:id="56" w:name="pooled-findings"/>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w:t>
      </w:r>
      <w:r>
        <w:t xml:space="preserve"> </w:t>
      </w:r>
      <m:oMath>
        <m:sSub>
          <m:e>
            <m:r>
              <m:rPr>
                <m:nor/>
                <m:sty m:val="p"/>
              </m:rPr>
              <m:t>FSTS</m:t>
            </m:r>
          </m:e>
          <m:sub>
            <m:r>
              <m:t>c</m:t>
            </m:r>
          </m:sub>
        </m:sSub>
      </m:oMath>
      <w:r>
        <w:t xml:space="preserve"> </w:t>
      </w:r>
      <w:r>
        <w:t xml:space="preserve">term is positive (</w:t>
      </w:r>
      <m:oMath>
        <m:r>
          <m:t>β</m:t>
        </m:r>
      </m:oMath>
      <w:r>
        <w:t xml:space="preserve"> </w:t>
      </w:r>
      <w:r>
        <w:t xml:space="preserve">= 0.984, p &lt;.001) and the quadratic</w:t>
      </w:r>
      <w:r>
        <w:t xml:space="preserve"> </w:t>
      </w:r>
      <m:oMath>
        <m:sSubSup>
          <m:e>
            <m:r>
              <m:rPr>
                <m:nor/>
                <m:sty m:val="p"/>
              </m:rPr>
              <m:t>FSTS</m:t>
            </m:r>
          </m:e>
          <m:sub>
            <m:r>
              <m:t>c</m:t>
            </m:r>
          </m:sub>
          <m:sup>
            <m:r>
              <m:t>2</m:t>
            </m:r>
          </m:sup>
        </m:sSubSup>
      </m:oMath>
      <w:r>
        <w:t xml:space="preserve"> </w:t>
      </w:r>
      <w:r>
        <w:t xml:space="preserve">term is negative (</w:t>
      </w:r>
      <m:oMath>
        <m:r>
          <m:t>β</m:t>
        </m:r>
      </m:oMath>
      <w:r>
        <w:t xml:space="preserve"> </w:t>
      </w:r>
      <w:r>
        <w:t xml:space="preserve">= -1.909, p &lt;.001); the Lind–Mehlum test rejects monotonicity at p &lt;.001 with an estimated turning point at 39.7 per cent of direct-export intensity. Following Haans, Pieters, and He (2016), all four formal conditions for a genuine inverted-U are met: (C1)</w:t>
      </w:r>
      <w:r>
        <w:t xml:space="preserve"> </w:t>
      </w:r>
      <m:oMath>
        <m:sSub>
          <m:e>
            <m:r>
              <m:t>β</m:t>
            </m:r>
          </m:e>
          <m:sub>
            <m:r>
              <m:t>1</m:t>
            </m:r>
          </m:sub>
        </m:sSub>
      </m:oMath>
      <w:r>
        <w:t xml:space="preserve"> </w:t>
      </w:r>
      <w:r>
        <w:t xml:space="preserve">= +0.984 (p &lt;.001), confirming a positive ascending limb; (C2)</w:t>
      </w:r>
      <w:r>
        <w:t xml:space="preserve"> </w:t>
      </w:r>
      <m:oMath>
        <m:sSub>
          <m:e>
            <m:r>
              <m:t>β</m:t>
            </m:r>
          </m:e>
          <m:sub>
            <m:r>
              <m:t>2</m:t>
            </m:r>
          </m:sub>
        </m:sSub>
      </m:oMath>
      <w:r>
        <w:t xml:space="preserve"> </w:t>
      </w:r>
      <w:r>
        <w:t xml:space="preserve">= −1.909 (p &lt;.001), confirming concavity; (C3) TP* = −</w:t>
      </w:r>
      <m:oMath>
        <m:sSub>
          <m:e>
            <m:r>
              <m:t>β</m:t>
            </m:r>
          </m:e>
          <m:sub>
            <m:r>
              <m:t>1</m:t>
            </m:r>
          </m:sub>
        </m:sSub>
      </m:oMath>
      <w:r>
        <w:t xml:space="preserve">/(2</w:t>
      </w:r>
      <m:oMath>
        <m:sSub>
          <m:e>
            <m:r>
              <m:t>β</m:t>
            </m:r>
          </m:e>
          <m:sub>
            <m:r>
              <m:t>2</m:t>
            </m:r>
          </m:sub>
        </m:sSub>
      </m:oMath>
      <w:r>
        <w:t xml:space="preserve">) = 39.7% falls within the observed FSTS range [0%, 100%]; and (C4) the predicted marginal return of internationalisation is positive at the lower data bound (FSTS = 0%, slope</w:t>
      </w:r>
      <w:r>
        <w:t xml:space="preserve"> </w:t>
      </w:r>
      <m:oMath>
        <m:r>
          <m:rPr>
            <m:sty m:val="p"/>
          </m:rPr>
          <m:t>≈</m:t>
        </m:r>
      </m:oMath>
      <w:r>
        <w:t xml:space="preserve"> </w:t>
      </w:r>
      <w:r>
        <w:t xml:space="preserve">+1.52) and negative at the upper data bound (FSTS = 100%, slope</w:t>
      </w:r>
      <w:r>
        <w:t xml:space="preserve"> </w:t>
      </w:r>
      <m:oMath>
        <m:r>
          <m:rPr>
            <m:sty m:val="p"/>
          </m:rPr>
          <m:t>≈</m:t>
        </m:r>
      </m:oMath>
      <w:r>
        <w:t xml:space="preserve"> </w:t>
      </w:r>
      <w:r>
        <w:t xml:space="preserve">−2.30), with opposite signs confirmed by the Lind–Mehlum (2010) u-test (p &lt;.001 binding). The curvature persists in the full M8 specification (</w:t>
      </w:r>
      <m:oMath>
        <m:sSub>
          <m:e>
            <m:r>
              <m:rPr>
                <m:nor/>
                <m:sty m:val="p"/>
              </m:rPr>
              <m:t>FSTS</m:t>
            </m:r>
          </m:e>
          <m:sub>
            <m:r>
              <m:t>c</m:t>
            </m:r>
          </m:sub>
        </m:sSub>
      </m:oMath>
      <w:r>
        <w:t xml:space="preserve"> </w:t>
      </w:r>
      <m:oMath>
        <m:r>
          <m:t>β</m:t>
        </m:r>
      </m:oMath>
      <w:r>
        <w:t xml:space="preserve"> </w:t>
      </w:r>
      <w:r>
        <w:t xml:space="preserve">= 0.845, p =.006;</w:t>
      </w:r>
      <w:r>
        <w:t xml:space="preserve"> </w:t>
      </w:r>
      <m:oMath>
        <m:sSubSup>
          <m:e>
            <m:r>
              <m:rPr>
                <m:nor/>
                <m:sty m:val="p"/>
              </m:rPr>
              <m:t>FSTS</m:t>
            </m:r>
          </m:e>
          <m:sub>
            <m:r>
              <m:t>c</m:t>
            </m:r>
          </m:sub>
          <m:sup>
            <m:r>
              <m:t>2</m:t>
            </m:r>
          </m:sup>
        </m:sSubSup>
      </m:oMath>
      <w:r>
        <w:t xml:space="preserve"> </w:t>
      </w:r>
      <m:oMath>
        <m:r>
          <m:t>β</m:t>
        </m:r>
      </m:oMath>
      <w:r>
        <w:t xml:space="preserve"> </w:t>
      </w:r>
      <w:r>
        <w:t xml:space="preserve">= -1.650, p &lt;.001);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**Turning point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w:t>
      </w:r>
      <w:r>
        <w:t xml:space="preserve"> </w:t>
      </w:r>
      <m:oMath>
        <m:sSub>
          <m:e>
            <m:r>
              <m:t>β</m:t>
            </m:r>
          </m:e>
          <m:sub>
            <m:r>
              <m:t>1</m:t>
            </m:r>
          </m:sub>
        </m:sSub>
      </m:oMath>
      <w:r>
        <w:t xml:space="preserve"> </w:t>
      </w:r>
      <w:r>
        <w:t xml:space="preserve">+ 2</w:t>
      </w:r>
      <m:oMath>
        <m:sSub>
          <m:e>
            <m:r>
              <m:t>β</m:t>
            </m:r>
          </m:e>
          <m:sub>
            <m:r>
              <m:t>2</m:t>
            </m:r>
          </m:sub>
        </m:sSub>
      </m:oMath>
      <w:r>
        <w:t xml:space="preserve"> </w:t>
      </w:r>
      <m:oMath>
        <m:r>
          <m:rPr>
            <m:sty m:val="p"/>
          </m:rPr>
          <m:t>×</m:t>
        </m:r>
      </m:oMath>
      <w:r>
        <w:t xml:space="preserve"> </w:t>
      </w:r>
      <w:r>
        <w:t xml:space="preserve">(FSTS − mean_FSTS) where</w:t>
      </w:r>
      <w:r>
        <w:t xml:space="preserve"> </w:t>
      </w:r>
      <m:oMath>
        <m:sSub>
          <m:e>
            <m:r>
              <m:t>β</m:t>
            </m:r>
          </m:e>
          <m:sub>
            <m:r>
              <m:t>1</m:t>
            </m:r>
          </m:sub>
        </m:sSub>
      </m:oMath>
      <w:r>
        <w:t xml:space="preserve"> </w:t>
      </w:r>
      <w:r>
        <w:t xml:space="preserve">= 0.984,</w:t>
      </w:r>
      <w:r>
        <w:t xml:space="preserve"> </w:t>
      </w:r>
      <m:oMath>
        <m:sSub>
          <m:e>
            <m:r>
              <m:t>β</m:t>
            </m:r>
          </m:e>
          <m:sub>
            <m:r>
              <m:t>2</m:t>
            </m:r>
          </m:sub>
        </m:sSub>
      </m:oMath>
      <w:r>
        <w:t xml:space="preserve"> </w:t>
      </w:r>
      <w:r>
        <w:t xml:space="preserve">= −1.909, mean_FSTS</w:t>
      </w:r>
      <w:r>
        <w:t xml:space="preserve"> </w:t>
      </w:r>
      <m:oMath>
        <m:r>
          <m:rPr>
            <m:sty m:val="p"/>
          </m:rPr>
          <m:t>≈</m:t>
        </m:r>
      </m:oMath>
      <w:r>
        <w:t xml:space="preserve"> </w:t>
      </w:r>
      <w:r>
        <w:t xml:space="preserve">13.9%. SEs omitted pending full covariance matrix; the Lind–Mehlum u-test (p &lt;.001)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w:t>
      </w:r>
      <w:r>
        <w:t xml:space="preserve"> </w:t>
      </w:r>
      <m:oMath>
        <m:sSub>
          <m:e>
            <m:r>
              <m:rPr>
                <m:nor/>
                <m:sty m:val="p"/>
              </m:rPr>
              <m:t>TCI</m:t>
            </m:r>
          </m:e>
          <m:sub>
            <m:r>
              <m:t>z</m:t>
            </m:r>
          </m:sub>
        </m:sSub>
      </m:oMath>
      <w:r>
        <w:t xml:space="preserve"> </w:t>
      </w:r>
      <w:r>
        <w:t xml:space="preserve">is positive (</w:t>
      </w:r>
      <m:oMath>
        <m:r>
          <m:t>β</m:t>
        </m:r>
      </m:oMath>
      <w:r>
        <w:t xml:space="preserve"> </w:t>
      </w:r>
      <w:r>
        <w:t xml:space="preserve">= 0.179, p &lt;.001), and</w:t>
      </w:r>
      <w:r>
        <w:t xml:space="preserve"> </w:t>
      </w:r>
      <m:oMath>
        <m:sSub>
          <m:e>
            <m:r>
              <m:rPr>
                <m:nor/>
                <m:sty m:val="p"/>
              </m:rPr>
              <m:t>DAI</m:t>
            </m:r>
          </m:e>
          <m:sub>
            <m:r>
              <m:t>z</m:t>
            </m:r>
          </m:sub>
        </m:sSub>
      </m:oMath>
      <w:r>
        <w:t xml:space="preserve"> </w:t>
      </w:r>
      <w:r>
        <w:t xml:space="preserve">is positive and significant (</w:t>
      </w:r>
      <m:oMath>
        <m:r>
          <m:t>β</m:t>
        </m:r>
      </m:oMath>
      <w:r>
        <w:t xml:space="preserve"> </w:t>
      </w:r>
      <w:r>
        <w:t xml:space="preserve">= 0.078, p =.004). In the full M8 specification, the</w:t>
      </w:r>
      <w:r>
        <w:t xml:space="preserve"> </w:t>
      </w:r>
      <m:oMath>
        <m:sSub>
          <m:e>
            <m:r>
              <m:rPr>
                <m:nor/>
                <m:sty m:val="p"/>
              </m:rPr>
              <m:t>TCI</m:t>
            </m:r>
          </m:e>
          <m:sub>
            <m:r>
              <m:t>z</m:t>
            </m:r>
          </m:sub>
        </m:sSub>
      </m:oMath>
      <w:r>
        <w:t xml:space="preserve"> </w:t>
      </w:r>
      <w:r>
        <w:t xml:space="preserve">coefficient is essentially unchanged (</w:t>
      </w:r>
      <m:oMath>
        <m:r>
          <m:t>β</m:t>
        </m:r>
      </m:oMath>
      <w:r>
        <w:t xml:space="preserve"> </w:t>
      </w:r>
      <w:r>
        <w:t xml:space="preserve">= 0.184, p &lt;.001), while the</w:t>
      </w:r>
      <w:r>
        <w:t xml:space="preserve"> </w:t>
      </w:r>
      <m:oMath>
        <m:sSub>
          <m:e>
            <m:r>
              <m:rPr>
                <m:nor/>
                <m:sty m:val="p"/>
              </m:rPr>
              <m:t>DAI</m:t>
            </m:r>
          </m:e>
          <m:sub>
            <m:r>
              <m:t>z</m:t>
            </m:r>
          </m:sub>
        </m:sSub>
      </m:oMath>
      <w:r>
        <w:t xml:space="preserve"> </w:t>
      </w:r>
      <w:r>
        <w:t xml:space="preserve">direct coefficient becomes statistically indistinguishable from zero (</w:t>
      </w:r>
      <m:oMath>
        <m:r>
          <m:t>β</m:t>
        </m:r>
      </m:oMath>
      <w:r>
        <w:t xml:space="preserve"> </w:t>
      </w:r>
      <w:r>
        <w:t xml:space="preserve">= 0.032, p =.537) once the interaction terms are entered.</w:t>
      </w:r>
      <w:r>
        <w:t xml:space="preserve"> </w:t>
      </w:r>
      <w:r>
        <w:t xml:space="preserve">This sensitivity is consistent with the interpretation that</w:t>
      </w:r>
      <w:r>
        <w:t xml:space="preserve"> </w:t>
      </w:r>
      <m:oMath>
        <m:sSub>
          <m:e>
            <m:r>
              <m:rPr>
                <m:nor/>
                <m:sty m:val="p"/>
              </m:rPr>
              <m:t>DAI</m:t>
            </m:r>
          </m:e>
          <m:sub>
            <m:r>
              <m:t>z</m:t>
            </m:r>
          </m:sub>
        </m:sSub>
      </m:oMath>
      <w:r>
        <w:t xml:space="preserve"> </w:t>
      </w:r>
      <w:r>
        <w:t xml:space="preserve">combines a positive level effect</w:t>
      </w:r>
      <w:r>
        <w:t xml:space="preserve"> </w:t>
      </w:r>
      <w:r>
        <w:t xml:space="preserve">with a negative interaction with</w:t>
      </w:r>
      <w:r>
        <w:t xml:space="preserve"> </w:t>
      </w:r>
      <m:oMath>
        <m:sSub>
          <m:e>
            <m:r>
              <m:rPr>
                <m:nor/>
                <m:sty m:val="p"/>
              </m:rPr>
              <m:t>FSTS</m:t>
            </m:r>
          </m:e>
          <m:sub>
            <m:r>
              <m:t>c</m:t>
            </m:r>
          </m:sub>
        </m:sSub>
      </m:oMath>
      <w:r>
        <w:t xml:space="preserve"> </w:t>
      </w:r>
      <w:r>
        <w:t xml:space="preserve">at higher export intensities, precisely the pattern</w:t>
      </w:r>
    </w:p>
    <w:p>
      <w:pPr>
        <w:pStyle w:val="BodyText"/>
      </w:pPr>
      <w:r>
        <w:t xml:space="preserve">documented in 4.1 for the 2023 wave.</w:t>
      </w:r>
      <w:r>
        <w:t xml:space="preserve"> </w:t>
      </w:r>
      <w:r>
        <w:t xml:space="preserve">The pooled interaction terms involving</w:t>
      </w:r>
      <w:r>
        <w:t xml:space="preserve"> </w:t>
      </w:r>
      <m:oMath>
        <m:sSub>
          <m:e>
            <m:r>
              <m:rPr>
                <m:nor/>
                <m:sty m:val="p"/>
              </m:rPr>
              <m:t>DAI</m:t>
            </m:r>
          </m:e>
          <m:sub>
            <m:r>
              <m:t>z</m:t>
            </m:r>
          </m:sub>
        </m:sSub>
      </m:oMath>
      <w:r>
        <w:t xml:space="preserve"> </w:t>
      </w:r>
      <w:r>
        <w:t xml:space="preserve">carry a marginal joint signal. The linear interaction is negative but not individually significant (</w:t>
      </w:r>
      <m:oMath>
        <m:sSub>
          <m:e>
            <m:r>
              <m:rPr>
                <m:nor/>
                <m:sty m:val="p"/>
              </m:rPr>
              <m:t>FSTS</m:t>
            </m:r>
          </m:e>
          <m:sub>
            <m:r>
              <m:t>c</m:t>
            </m:r>
          </m:sub>
        </m:sSub>
        <m:r>
          <m:rPr>
            <m:sty m:val="p"/>
          </m:rPr>
          <m:t>×</m:t>
        </m:r>
        <m:sSub>
          <m:e>
            <m:r>
              <m:rPr>
                <m:nor/>
                <m:sty m:val="p"/>
              </m:rPr>
              <m:t>DAI</m:t>
            </m:r>
          </m:e>
          <m:sub>
            <m:r>
              <m:t>z</m:t>
            </m:r>
          </m:sub>
        </m:sSub>
      </m:oMath>
      <w:r>
        <w:t xml:space="preserve"> </w:t>
      </w:r>
      <w:r>
        <w:t xml:space="preserve">= -0.448, p =.116), and the quadratic interaction is positive but not significant (</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0.460, p =.276). The joint Wald test does not reach conventional significance (M8 joint p =.083). This pooled signal</w:t>
      </w:r>
      <w:r>
        <w:t xml:space="preserve"> </w:t>
      </w:r>
      <w:r>
        <w:t xml:space="preserve">is driven primarily by the 2023 wave: the M4 joint moderation test on DAI is null in 2009 (p =</w:t>
      </w:r>
      <w:r>
        <w:t xml:space="preserve"> </w:t>
      </w:r>
      <w:r>
        <w:t xml:space="preserve">.825) and 2015 (p =.125), and remains above the.05 threshold in 2023 (M4 joint p =.102;</w:t>
      </w:r>
      <w:r>
        <w:t xml:space="preserve"> </w:t>
      </w:r>
      <w:r>
        <w:t xml:space="preserve">M8 joint p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w:t>
      </w:r>
      <w:r>
        <w:t xml:space="preserve"> </w:t>
      </w:r>
      <m:oMath>
        <m:sSub>
          <m:e>
            <m:r>
              <m:rPr>
                <m:nor/>
                <m:sty m:val="p"/>
              </m:rPr>
              <m:t>FSTS</m:t>
            </m:r>
          </m:e>
          <m:sub>
            <m:r>
              <m:t>c</m:t>
            </m:r>
          </m:sub>
        </m:sSub>
        <m:r>
          <m:rPr>
            <m:sty m:val="p"/>
          </m:rPr>
          <m:t>×</m:t>
        </m:r>
        <m:sSub>
          <m:e>
            <m:r>
              <m:rPr>
                <m:nor/>
                <m:sty m:val="p"/>
              </m:rPr>
              <m:t>TCI</m:t>
            </m:r>
          </m:e>
          <m:sub>
            <m:r>
              <m:t>z</m:t>
            </m:r>
          </m:sub>
        </m:sSub>
      </m:oMath>
      <w:r>
        <w:t xml:space="preserve"> </w:t>
      </w:r>
      <w:r>
        <w:t xml:space="preserve">and</w:t>
      </w:r>
      <w:r>
        <w:t xml:space="preserve"> </w:t>
      </w:r>
      <m:oMath>
        <m:sSubSup>
          <m:e>
            <m:r>
              <m:rPr>
                <m:nor/>
                <m:sty m:val="p"/>
              </m:rPr>
              <m:t>FSTS</m:t>
            </m:r>
          </m:e>
          <m:sub>
            <m:r>
              <m:t>c</m:t>
            </m:r>
          </m:sub>
          <m:sup>
            <m:r>
              <m:t>2</m:t>
            </m:r>
          </m:sup>
        </m:sSubSup>
        <m:r>
          <m:rPr>
            <m:sty m:val="p"/>
          </m:rPr>
          <m:t>×</m:t>
        </m:r>
        <m:sSub>
          <m:e>
            <m:r>
              <m:rPr>
                <m:nor/>
                <m:sty m:val="p"/>
              </m:rPr>
              <m:t>TCI</m:t>
            </m:r>
          </m:e>
          <m:sub>
            <m:r>
              <m:t>z</m:t>
            </m:r>
          </m:sub>
        </m:sSub>
      </m:oMath>
      <w:r>
        <w:t xml:space="preserve"> </w:t>
      </w:r>
      <w:r>
        <w:t xml:space="preserve">is statistically distinguishable from zero in three of four panels (2009 p =.040, 2023 p =.027, pooled p =.004) and null only in 2015 (p =.713). Pooled, the linear interaction is negative (</w:t>
      </w:r>
      <m:oMath>
        <m:sSub>
          <m:e>
            <m:r>
              <m:rPr>
                <m:nor/>
                <m:sty m:val="p"/>
              </m:rPr>
              <m:t>FSTS</m:t>
            </m:r>
          </m:e>
          <m:sub>
            <m:r>
              <m:t>c</m:t>
            </m:r>
          </m:sub>
        </m:sSub>
        <m:r>
          <m:rPr>
            <m:sty m:val="p"/>
          </m:rPr>
          <m:t>×</m:t>
        </m:r>
        <m:sSub>
          <m:e>
            <m:r>
              <m:rPr>
                <m:nor/>
                <m:sty m:val="p"/>
              </m:rPr>
              <m:t>TCI</m:t>
            </m:r>
          </m:e>
          <m:sub>
            <m:r>
              <m:t>z</m:t>
            </m:r>
          </m:sub>
        </m:sSub>
      </m:oMath>
      <w:r>
        <w:t xml:space="preserve"> </w:t>
      </w:r>
      <w:r>
        <w:t xml:space="preserve">= -0.587, p =.004) and the quadratic is positive (</w:t>
      </w:r>
      <m:oMath>
        <m:sSubSup>
          <m:e>
            <m:r>
              <m:rPr>
                <m:nor/>
                <m:sty m:val="p"/>
              </m:rPr>
              <m:t>FSTS</m:t>
            </m:r>
          </m:e>
          <m:sub>
            <m:r>
              <m:t>c</m:t>
            </m:r>
          </m:sub>
          <m:sup>
            <m:r>
              <m:t>2</m:t>
            </m:r>
          </m:sup>
        </m:sSubSup>
        <m:r>
          <m:rPr>
            <m:sty m:val="p"/>
          </m:rPr>
          <m:t>×</m:t>
        </m:r>
        <m:sSub>
          <m:e>
            <m:r>
              <m:rPr>
                <m:nor/>
                <m:sty m:val="p"/>
              </m:rPr>
              <m:t>TCI</m:t>
            </m:r>
          </m:e>
          <m:sub>
            <m:r>
              <m:t>z</m:t>
            </m:r>
          </m:sub>
        </m:sSub>
      </m:oMath>
      <w:r>
        <w:t xml:space="preserve"> </w:t>
      </w:r>
      <w:r>
        <w:t xml:space="preserve">= 0.640, p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CaptionedFigure"/>
      </w:pPr>
      <w:r>
        <w:drawing>
          <wp:inline>
            <wp:extent cx="5334000" cy="3555999"/>
            <wp:effectExtent b="0" l="0" r="0" t="0"/>
            <wp:docPr descr="Figure 2a: Wave 2009, predicted ln(labour productivity) vs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Figure 2a: Wave 2009,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w:t>
      </w:r>
      <w:r>
        <w:t xml:space="preserve"> </w:t>
      </w:r>
      <m:oMath>
        <m:r>
          <m:rPr>
            <m:sty m:val="p"/>
          </m:rPr>
          <m:t>≈</m:t>
        </m:r>
      </m:oMath>
      <w:r>
        <w:t xml:space="preserve"> </w:t>
      </w:r>
      <w:r>
        <w:t xml:space="preserve">46% FSTS (Lind-Mehlum p =.006).</w:t>
      </w:r>
    </w:p>
    <w:p>
      <w:pPr>
        <w:pStyle w:val="CaptionedFigure"/>
      </w:pPr>
      <w:r>
        <w:drawing>
          <wp:inline>
            <wp:extent cx="5334000" cy="3555999"/>
            <wp:effectExtent b="0" l="0" r="0" t="0"/>
            <wp:docPr descr="Figure 2b: Wave 2015, predicted ln(labour productivity) vs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Figure 2b: Wave 2015, predicted ln(labour productivity) vs FSTS</w:t>
      </w:r>
    </w:p>
    <w:p>
      <w:pPr>
        <w:pStyle w:val="BodyText"/>
      </w:pPr>
      <w:r>
        <w:rPr>
          <w:iCs/>
          <w:i/>
        </w:rPr>
        <w:t xml:space="preserve">Figure 2b.</w:t>
      </w:r>
      <w:r>
        <w:t xml:space="preserve"> </w:t>
      </w:r>
      <w:r>
        <w:t xml:space="preserve">Predicted ln(labour productivity) as a function of FSTS for the 2015 wave (M2). Turning point</w:t>
      </w:r>
      <w:r>
        <w:t xml:space="preserve"> </w:t>
      </w:r>
      <m:oMath>
        <m:r>
          <m:rPr>
            <m:sty m:val="p"/>
          </m:rPr>
          <m:t>≈</m:t>
        </m:r>
      </m:oMath>
      <w:r>
        <w:t xml:space="preserve"> </w:t>
      </w:r>
      <w:r>
        <w:t xml:space="preserve">39% FSTS (Lind-Mehlum p =.009).</w:t>
      </w:r>
    </w:p>
    <w:p>
      <w:pPr>
        <w:pStyle w:val="CaptionedFigure"/>
      </w:pPr>
      <w:r>
        <w:drawing>
          <wp:inline>
            <wp:extent cx="5334000" cy="3555999"/>
            <wp:effectExtent b="0" l="0" r="0" t="0"/>
            <wp:docPr descr="Figure 2c: Wave 2023, predicted ln(labour productivity) vs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Figure 2c: Wave 2023, predicted ln(labour productivity) vs FSTS</w:t>
      </w:r>
    </w:p>
    <w:p>
      <w:pPr>
        <w:pStyle w:val="BodyText"/>
      </w:pPr>
      <w:r>
        <w:rPr>
          <w:iCs/>
          <w:i/>
        </w:rPr>
        <w:t xml:space="preserve">Figure 2c.</w:t>
      </w:r>
      <w:r>
        <w:t xml:space="preserve"> </w:t>
      </w:r>
      <w:r>
        <w:t xml:space="preserve">Predicted ln(labour productivity) as a function of FSTS for the 2023 wave (M2). Turning point</w:t>
      </w:r>
      <w:r>
        <w:t xml:space="preserve"> </w:t>
      </w:r>
      <m:oMath>
        <m:r>
          <m:rPr>
            <m:sty m:val="p"/>
          </m:rPr>
          <m:t>≈</m:t>
        </m:r>
      </m:oMath>
      <w:r>
        <w:t xml:space="preserve"> </w:t>
      </w:r>
      <w:r>
        <w:t xml:space="preserve">42% FSTS (Lind-Mehlum p =.013).</w:t>
      </w:r>
    </w:p>
    <w:p>
      <w:pPr>
        <w:pStyle w:val="CaptionedFigure"/>
      </w:pPr>
      <w:r>
        <w:drawing>
          <wp:inline>
            <wp:extent cx="5334000" cy="3555999"/>
            <wp:effectExtent b="0" l="0" r="0" t="0"/>
            <wp:docPr descr="Figure 2d: Pooled (2009+2015+2023), predicted ln(labour productivity) vs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Figure 2d: Pooled (2009+2015+2023),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w:t>
      </w:r>
      <w:r>
        <w:t xml:space="preserve"> </w:t>
      </w:r>
      <m:oMath>
        <m:r>
          <m:rPr>
            <m:sty m:val="p"/>
          </m:rPr>
          <m:t>≈</m:t>
        </m:r>
      </m:oMath>
      <w:r>
        <w:t xml:space="preserve"> </w:t>
      </w:r>
      <w:r>
        <w:t xml:space="preserve">40% FSTS (Lind-Mehlum p &lt;.001).</w:t>
      </w:r>
    </w:p>
    <w:bookmarkEnd w:id="56"/>
    <w:bookmarkStart w:id="60"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=.006, 2015 p =.009, 2023 p =.013) and in the pooled</w:t>
      </w:r>
      <w:r>
        <w:t xml:space="preserve"> </w:t>
      </w:r>
      <w:r>
        <w:t xml:space="preserve">sample (p &lt;.001),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coordination capacity, contract enforcement, and trade-finance access, that change more slowly than the wider operating environment. This within-WBES cross-wave evidence complements the institutional-context channel identified in meta-analyses of the I–P relationship (Wu, Fan, &amp; Chen, 2022, MIR; Marano et al., 2016).</w:t>
      </w:r>
    </w:p>
    <w:p>
      <w:pPr>
        <w:pStyle w:val="BodyText"/>
      </w:pPr>
      <w:r>
        <w:t xml:space="preserve">H2 is supported: the positive</w:t>
      </w:r>
      <w:r>
        <w:t xml:space="preserve"> </w:t>
      </w:r>
      <m:oMath>
        <m:sSub>
          <m:e>
            <m:r>
              <m:rPr>
                <m:nor/>
                <m:sty m:val="p"/>
              </m:rPr>
              <m:t>TCI</m:t>
            </m:r>
          </m:e>
          <m:sub>
            <m:r>
              <m:t>z</m:t>
            </m:r>
          </m:sub>
        </m:sSub>
      </m:oMath>
      <w:r>
        <w:t xml:space="preserve"> </w:t>
      </w:r>
      <w:r>
        <w:t xml:space="preserve">direct coefficient (pooled</w:t>
      </w:r>
      <w:r>
        <w:t xml:space="preserve"> </w:t>
      </w:r>
      <m:oMath>
        <m:r>
          <m:t>β</m:t>
        </m:r>
      </m:oMath>
      <w:r>
        <w:t xml:space="preserve"> </w:t>
      </w:r>
      <w:r>
        <w:t xml:space="preserve">= 0.179, p &lt;.001) is statistically significant in all three wave-specific periods (2009 p &lt;.001; 2015 p =.010; 2023 p =.006), and statistically distinguishable TCI moderation appears in three of four panels (M3 joint p =.040,.713,.027 and.003). The baseline</w:t>
      </w:r>
      <w:r>
        <w:t xml:space="preserve"> </w:t>
      </w:r>
      <m:oMath>
        <m:sSub>
          <m:e>
            <m:r>
              <m:rPr>
                <m:nor/>
                <m:sty m:val="p"/>
              </m:rPr>
              <m:t>DAI</m:t>
            </m:r>
          </m:e>
          <m:sub>
            <m:r>
              <m:t>z</m:t>
            </m:r>
          </m:sub>
        </m:sSub>
      </m:oMath>
      <w:r>
        <w:t xml:space="preserve"> </w:t>
      </w:r>
      <w:r>
        <w:t xml:space="preserve">control reports a positive pooled level association (</w:t>
      </w:r>
      <m:oMath>
        <m:r>
          <m:t>β</m:t>
        </m:r>
      </m:oMath>
      <w:r>
        <w:t xml:space="preserve"> </w:t>
      </w:r>
      <w:r>
        <w:t xml:space="preserve">= 0.078, p =.004) but with substantial wave-to-wave variability, strong in 2009 (</w:t>
      </w:r>
      <m:oMath>
        <m:r>
          <m:t>β</m:t>
        </m:r>
      </m:oMath>
      <w:r>
        <w:t xml:space="preserve"> </w:t>
      </w:r>
      <w:r>
        <w:t xml:space="preserve">= 0.175, p &lt;.001), null in 2015 (</w:t>
      </w:r>
      <m:oMath>
        <m:r>
          <m:t>β</m:t>
        </m:r>
      </m:oMath>
      <w:r>
        <w:t xml:space="preserve"> </w:t>
      </w:r>
      <w:r>
        <w:t xml:space="preserve">= -0.044, p =.377), and re-emerging in 2023 (</w:t>
      </w:r>
      <m:oMath>
        <m:r>
          <m:t>β</m:t>
        </m:r>
      </m:oMath>
      <w:r>
        <w:t xml:space="preserve"> </w:t>
      </w:r>
      <w:r>
        <w:t xml:space="preserve">= 0.095, p =.038). Because</w:t>
      </w:r>
      <w:r>
        <w:t xml:space="preserve"> </w:t>
      </w:r>
      <m:oMath>
        <m:sSub>
          <m:e>
            <m:r>
              <m:rPr>
                <m:nor/>
                <m:sty m:val="p"/>
              </m:rPr>
              <m:t>DAI</m:t>
            </m:r>
          </m:e>
          <m:sub>
            <m:r>
              <m:t>z</m:t>
            </m:r>
          </m:sub>
        </m:sSub>
      </m:oMath>
      <w:r>
        <w:t xml:space="preserve"> </w:t>
      </w:r>
      <w:r>
        <w:t xml:space="preserve">indexes only Tier-1 website presence and is not formalised as a primary hypothesis in this paper, this wave variation is reported descriptively rather than as a hypothesis test. The Paternoster cross-wave z-tests (Section 4.5, Panel F) indicate that the 2009-to-2015 fall (z = 3.353, p &lt;.001) and the 2015-to-2023 recovery (z = -2.051, p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=.825), null in 2015 (M4 p =.125) and reaches the edge of significance</w:t>
      </w:r>
      <w:r>
        <w:t xml:space="preserve"> </w:t>
      </w:r>
      <w:r>
        <w:t xml:space="preserve">in 2023 with the individual interaction</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 -0.912 (p =.043) and</w:t>
      </w:r>
      <w:r>
        <w:t xml:space="preserve"> </w:t>
      </w:r>
      <w:r>
        <w:t xml:space="preserve">the joint test at M4 p =.102, M8 p =.062. The pooled M8 joint test (p =.083)</w:t>
      </w:r>
      <w:r>
        <w:t xml:space="preserve"> </w:t>
      </w:r>
      <w:r>
        <w:t xml:space="preserve">is also above the.05 threshold (p =.083), driven by the 2023 wave rather than by a stable</w:t>
      </w:r>
      <w:r>
        <w:t xml:space="preserve"> </w:t>
      </w:r>
      <w:r>
        <w:t xml:space="preserve">cross-period moderation. The formal pooled wave</w:t>
      </w:r>
      <w:r>
        <w:t xml:space="preserve"> </w:t>
      </w:r>
      <m:oMath>
        <m:r>
          <m:rPr>
            <m:sty m:val="p"/>
          </m:rPr>
          <m:t>×</m:t>
        </m:r>
      </m:oMath>
      <w:r>
        <w:t xml:space="preserve"> </w:t>
      </w:r>
      <w:r>
        <w:t xml:space="preserve">focal interaction test (Panel I)</w:t>
      </w:r>
      <w:r>
        <w:t xml:space="preserve"> </w:t>
      </w:r>
      <w:r>
        <w:t xml:space="preserve">does not detect cross-wave differences in the</w:t>
      </w:r>
      <w:r>
        <w:t xml:space="preserve"> </w:t>
      </w:r>
      <m:oMath>
        <m:r>
          <m:rPr>
            <m:nor/>
            <m:sty m:val="p"/>
          </m:rPr>
          <m:t>FSTS</m:t>
        </m:r>
        <m:r>
          <m:rPr>
            <m:sty m:val="p"/>
          </m:rPr>
          <m:t>×</m:t>
        </m:r>
        <m:r>
          <m:rPr>
            <m:nor/>
            <m:sty m:val="p"/>
          </m:rPr>
          <m:t>DAI</m:t>
        </m:r>
      </m:oMath>
      <w:r>
        <w:t xml:space="preserve"> </w:t>
      </w:r>
      <w:r>
        <w:t xml:space="preserve">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this study distinguishes two types of moderation for curvilinear I–P relationships. Type I moderation flattens or steepens one slope of the inverted-U (i.e., the linear</w:t>
      </w:r>
      <w:r>
        <w:t xml:space="preserve"> </w:t>
      </w:r>
      <m:oMath>
        <m:r>
          <m:rPr>
            <m:nor/>
            <m:sty m:val="p"/>
          </m:rPr>
          <m:t>FSTS</m:t>
        </m:r>
        <m:r>
          <m:rPr>
            <m:sty m:val="p"/>
          </m:rPr>
          <m:t>×</m:t>
        </m:r>
        <m:r>
          <m:rPr>
            <m:nor/>
            <m:sty m:val="p"/>
          </m:rPr>
          <m:t>DAI</m:t>
        </m:r>
      </m:oMath>
      <w:r>
        <w:t xml:space="preserve"> </w:t>
      </w:r>
      <w:r>
        <w:t xml:space="preserve">interaction is significant while</w:t>
      </w:r>
      <w:r>
        <w:t xml:space="preserve"> </w:t>
      </w:r>
      <m:oMath>
        <m:sSup>
          <m:e>
            <m:r>
              <m:rPr>
                <m:nor/>
                <m:sty m:val="p"/>
              </m:rPr>
              <m:t>FSTS</m:t>
            </m:r>
          </m:e>
          <m:sup>
            <m:r>
              <m:t>2</m:t>
            </m:r>
          </m:sup>
        </m:sSup>
        <m:r>
          <m:rPr>
            <m:sty m:val="p"/>
          </m:rPr>
          <m:t>×</m:t>
        </m:r>
        <m:r>
          <m:rPr>
            <m:nor/>
            <m:sty m:val="p"/>
          </m:rPr>
          <m:t>DAI</m:t>
        </m:r>
      </m:oMath>
      <w:r>
        <w:t xml:space="preserve"> </w:t>
      </w:r>
      <w:r>
        <w:t xml:space="preserve">is not): the moderator shifts the position of the turning point but preserves the inverted-U shape. Type II moderation flips the shape of the curve (i.e.,</w:t>
      </w:r>
      <w:r>
        <w:t xml:space="preserve"> </w:t>
      </w:r>
      <m:oMath>
        <m:sSup>
          <m:e>
            <m:r>
              <m:rPr>
                <m:nor/>
                <m:sty m:val="p"/>
              </m:rPr>
              <m:t>FSTS</m:t>
            </m:r>
          </m:e>
          <m:sup>
            <m:r>
              <m:t>2</m:t>
            </m:r>
          </m:sup>
        </m:sSup>
        <m:r>
          <m:rPr>
            <m:sty m:val="p"/>
          </m:rPr>
          <m:t>×</m:t>
        </m:r>
        <m:r>
          <m:rPr>
            <m:nor/>
            <m:sty m:val="p"/>
          </m:rPr>
          <m:t>DAI</m:t>
        </m:r>
      </m:oMath>
      <w:r>
        <w:t xml:space="preserve"> </w:t>
      </w:r>
      <w:r>
        <w:t xml:space="preserve">is significant): high versus low moderator values produce qualitatively different functional forms. The 2023 DAI evidence fits Type I: the significant linear interaction</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 −0.912 (p =.043) indicates that digital adoption attenuates the positive slope at low export intensity, pulling the turning point inward, while the</w:t>
      </w:r>
      <w:r>
        <w:t xml:space="preserve"> </w:t>
      </w:r>
      <m:oMath>
        <m:sSup>
          <m:e>
            <m:r>
              <m:rPr>
                <m:nor/>
                <m:sty m:val="p"/>
              </m:rPr>
              <m:t>FSTS</m:t>
            </m:r>
          </m:e>
          <m:sup>
            <m:r>
              <m:t>2</m:t>
            </m:r>
          </m:sup>
        </m:sSup>
        <m:r>
          <m:rPr>
            <m:sty m:val="p"/>
          </m:rPr>
          <m:t>×</m:t>
        </m:r>
        <m:r>
          <m:rPr>
            <m:nor/>
            <m:sty m:val="p"/>
          </m:rPr>
          <m:t>DAI</m:t>
        </m:r>
      </m:oMath>
      <w:r>
        <w:t xml:space="preserve"> </w:t>
      </w:r>
      <w:r>
        <w:t xml:space="preserve">interaction remains insignificant, confirming that the inverted-U shape is preserved. Type II moderation, digital capability reversing the curvature for high-adopter firms, is not supported in the Vietnam sample.</w:t>
      </w:r>
    </w:p>
    <w:p>
      <w:pPr>
        <w:pStyle w:val="CaptionedFigure"/>
      </w:pPr>
      <w:r>
        <w:drawing>
          <wp:inline>
            <wp:extent cx="5334000" cy="2226365"/>
            <wp:effectExtent b="0" l="0" r="0" t="0"/>
            <wp:docPr descr="Figure 3: Moderator marginal effects, TCI and DAI interactions with FSTS (Viet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334000" cy="2226365"/>
                    </a:xfrm>
                    <a:prstGeom prst="rect">
                      <a:avLst/>
                    </a:prstGeom>
                    <a:noFill/>
                    <a:ln w="9525">
                      <a:noFill/>
                      <a:headEnd/>
                      <a:tailEnd/>
                    </a:ln>
                  </pic:spPr>
                </pic:pic>
              </a:graphicData>
            </a:graphic>
          </wp:inline>
        </w:drawing>
      </w:r>
    </w:p>
    <w:p>
      <w:pPr>
        <w:pStyle w:val="ImageCaption"/>
      </w:pPr>
      <w:r>
        <w:t xml:space="preserve">Figure 3: Moderator marginal effects, TCI and DAI interactions with FSTS (Vietnam)</w:t>
      </w:r>
    </w:p>
    <w:p>
      <w:pPr>
        <w:pStyle w:val="BodyText"/>
      </w:pPr>
      <w:r>
        <w:rPr>
          <w:iCs/>
          <w:i/>
        </w:rPr>
        <w:t xml:space="preserve">Figure 3.</w:t>
      </w:r>
      <w:r>
        <w:t xml:space="preserve"> </w:t>
      </w:r>
      <w:r>
        <w:t xml:space="preserve">Marginal effects of</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on ln(labour productivity) across FSTS levels (M7/M8). TCI shows a stable positive level-shift across waves; DAI moderation is wave-specific, with the 2023 interaction showing attenuation at high FSTS (Type I moderation: slope-flattening, shape preserved).</w:t>
      </w:r>
    </w:p>
    <w:bookmarkEnd w:id="60"/>
    <w:bookmarkStart w:id="61" w:name="Xb291580f68ecbaffbae7f118c1126c458395149"/>
    <w:p>
      <w:pPr>
        <w:pStyle w:val="Heading3"/>
      </w:pPr>
      <w:r>
        <w:t xml:space="preserve">4.4 Main empirical pattern: participation</w:t>
      </w:r>
      <w:r>
        <w:t xml:space="preserve"> </w:t>
      </w:r>
      <m:oMath>
        <m:r>
          <m:rPr>
            <m:sty m:val="p"/>
          </m:rPr>
          <m:t>×</m:t>
        </m:r>
      </m:oMath>
      <w:r>
        <w:t xml:space="preserve"> </w:t>
      </w:r>
      <w:r>
        <w:t xml:space="preserve">intensity</w:t>
      </w:r>
    </w:p>
    <w:p>
      <w:pPr>
        <w:pStyle w:val="FirstParagraph"/>
      </w:pPr>
      <w:r>
        <w:t xml:space="preserve">Before reading the table that follows, this study anchors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w:t>
      </w:r>
      <w:r>
        <w:t xml:space="preserve">$5 percentage-points of the wave-specific turning points (see</w:t>
      </w:r>
      <w:r>
        <w:t xml:space="preserve"> </w:t>
      </w:r>
      <w:r>
        <w:t xml:space="preserve">4.5 density check), and the bulk of mass lies at FSTS = 0. When the analysis re-fits M2 / M7 / M8 on</w:t>
      </w:r>
      <w:r>
        <w:t xml:space="preserve"> </w:t>
      </w:r>
      <w:r>
        <w:t xml:space="preserve">the exporter-only sub-sample (FSTS &gt; 0; pooled N = 669, 4.5 Panel H), the linear</w:t>
      </w:r>
      <w:r>
        <w:t xml:space="preserve"> </w:t>
      </w:r>
      <m:oMath>
        <m:sSub>
          <m:e>
            <m:r>
              <m:rPr>
                <m:nor/>
                <m:sty m:val="p"/>
              </m:rPr>
              <m:t>FSTS</m:t>
            </m:r>
          </m:e>
          <m:sub>
            <m:r>
              <m:t>c</m:t>
            </m:r>
          </m:sub>
        </m:sSub>
      </m:oMath>
      <w:r>
        <w:t xml:space="preserve"> </w:t>
      </w:r>
      <w:r>
        <w:t xml:space="preserve">term is negative (</w:t>
      </w:r>
      <m:oMath>
        <m:r>
          <m:t>β</m:t>
        </m:r>
      </m:oMath>
      <w:r>
        <w:t xml:space="preserve"> </w:t>
      </w:r>
      <w:r>
        <w:t xml:space="preserve">= -0.861, p &lt;.001) but the quadratic term is not significant (</w:t>
      </w:r>
      <m:oMath>
        <m:sSubSup>
          <m:e>
            <m:r>
              <m:rPr>
                <m:nor/>
                <m:sty m:val="p"/>
              </m:rPr>
              <m:t>FSTS</m:t>
            </m:r>
          </m:e>
          <m:sub>
            <m:r>
              <m:t>c</m:t>
            </m:r>
          </m:sub>
          <m:sup>
            <m:r>
              <m:t>2</m:t>
            </m:r>
          </m:sup>
        </m:sSubSup>
      </m:oMath>
      <w:r>
        <w:t xml:space="preserve"> </w:t>
      </w:r>
      <m:oMath>
        <m:r>
          <m:t>β</m:t>
        </m:r>
      </m:oMath>
      <w:r>
        <w:t xml:space="preserve"> </w:t>
      </w:r>
      <w:r>
        <w:t xml:space="preserve">= -0.200, p =.660, M8 joint p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This study retains the full-sample inverted-U as the primary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w:t>
      </w:r>
      <w:r>
        <w:t xml:space="preserve"> </w:t>
      </w:r>
      <m:oMath>
        <m:r>
          <m:rPr>
            <m:sty m:val="p"/>
          </m:rPr>
          <m:t>×</m:t>
        </m:r>
      </m:oMath>
      <w:r>
        <w:t xml:space="preserve"> </w:t>
      </w:r>
      <w:r>
        <w:t xml:space="preserve">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1"/>
    <w:bookmarkStart w:id="63"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w:t>
      </w:r>
      <m:oMath>
        <m:sSub>
          <m:e>
            <m:r>
              <m:rPr>
                <m:nor/>
                <m:sty m:val="p"/>
              </m:rPr>
              <m:t>FSTS</m:t>
            </m:r>
          </m:e>
          <m:sub>
            <m:r>
              <m:t>c</m:t>
            </m:r>
          </m:sub>
        </m:sSub>
      </m:oMath>
      <w:r>
        <w:t xml:space="preserve"> </w:t>
      </w:r>
      <m:oMath>
        <m:r>
          <m:t>β</m:t>
        </m:r>
      </m:oMath>
      <w:r>
        <w:t xml:space="preserve"> </w:t>
      </w:r>
      <w:r>
        <w:t xml:space="preserve">= 0.971, p =.001;</w:t>
      </w:r>
      <w:r>
        <w:t xml:space="preserve"> </w:t>
      </w:r>
      <m:oMath>
        <m:sSubSup>
          <m:e>
            <m:r>
              <m:rPr>
                <m:nor/>
                <m:sty m:val="p"/>
              </m:rPr>
              <m:t>FSTS</m:t>
            </m:r>
          </m:e>
          <m:sub>
            <m:r>
              <m:t>c</m:t>
            </m:r>
          </m:sub>
          <m:sup>
            <m:r>
              <m:t>2</m:t>
            </m:r>
          </m:sup>
        </m:sSubSup>
      </m:oMath>
      <w:r>
        <w:t xml:space="preserve"> </w:t>
      </w:r>
      <m:oMath>
        <m:r>
          <m:t>β</m:t>
        </m:r>
      </m:oMath>
      <w:r>
        <w:t xml:space="preserve"> </w:t>
      </w:r>
      <w:r>
        <w:t xml:space="preserve">= -1.883, p &lt;.001) than in non-manufacturing (</w:t>
      </w:r>
      <m:oMath>
        <m:sSub>
          <m:e>
            <m:r>
              <m:rPr>
                <m:nor/>
                <m:sty m:val="p"/>
              </m:rPr>
              <m:t>FSTS</m:t>
            </m:r>
          </m:e>
          <m:sub>
            <m:r>
              <m:t>c</m:t>
            </m:r>
          </m:sub>
        </m:sSub>
      </m:oMath>
      <w:r>
        <w:t xml:space="preserve"> </w:t>
      </w:r>
      <m:oMath>
        <m:r>
          <m:t>β</m:t>
        </m:r>
      </m:oMath>
      <w:r>
        <w:t xml:space="preserve"> </w:t>
      </w:r>
      <w:r>
        <w:t xml:space="preserve">= 1.615, p =.064, marginal;</w:t>
      </w:r>
      <w:r>
        <w:t xml:space="preserve"> </w:t>
      </w:r>
      <m:oMath>
        <m:sSubSup>
          <m:e>
            <m:r>
              <m:rPr>
                <m:nor/>
                <m:sty m:val="p"/>
              </m:rPr>
              <m:t>FSTS</m:t>
            </m:r>
          </m:e>
          <m:sub>
            <m:r>
              <m:t>c</m:t>
            </m:r>
          </m:sub>
          <m:sup>
            <m:r>
              <m:t>2</m:t>
            </m:r>
          </m:sup>
        </m:sSubSup>
      </m:oMath>
      <w:r>
        <w:t xml:space="preserve"> </w:t>
      </w:r>
      <m:oMath>
        <m:r>
          <m:t>β</m:t>
        </m:r>
      </m:oMath>
      <w:r>
        <w:t xml:space="preserve"> </w:t>
      </w:r>
      <w:r>
        <w:t xml:space="preserve">= -2.479, p =.046). More substantively, the capability and digital-adoption channels operate primarily in manufacturing. In the M7 dual-direct specification, manufacturing firms display a strong</w:t>
      </w:r>
      <w:r>
        <w:t xml:space="preserve"> </w:t>
      </w:r>
      <m:oMath>
        <m:sSub>
          <m:e>
            <m:r>
              <m:rPr>
                <m:nor/>
                <m:sty m:val="p"/>
              </m:rPr>
              <m:t>TCI</m:t>
            </m:r>
          </m:e>
          <m:sub>
            <m:r>
              <m:t>z</m:t>
            </m:r>
          </m:sub>
        </m:sSub>
      </m:oMath>
      <w:r>
        <w:t xml:space="preserve"> </w:t>
      </w:r>
      <w:r>
        <w:t xml:space="preserve">direct association (</w:t>
      </w:r>
      <m:oMath>
        <m:r>
          <m:t>β</m:t>
        </m:r>
      </m:oMath>
      <w:r>
        <w:t xml:space="preserve"> </w:t>
      </w:r>
      <w:r>
        <w:t xml:space="preserve">= 0.223, p &lt;.001) and a positive</w:t>
      </w:r>
      <w:r>
        <w:t xml:space="preserve"> </w:t>
      </w:r>
      <m:oMath>
        <m:sSub>
          <m:e>
            <m:r>
              <m:rPr>
                <m:nor/>
                <m:sty m:val="p"/>
              </m:rPr>
              <m:t>DAI</m:t>
            </m:r>
          </m:e>
          <m:sub>
            <m:r>
              <m:t>z</m:t>
            </m:r>
          </m:sub>
        </m:sSub>
      </m:oMath>
      <w:r>
        <w:t xml:space="preserve"> </w:t>
      </w:r>
      <w:r>
        <w:t xml:space="preserve">direct association (</w:t>
      </w:r>
      <m:oMath>
        <m:r>
          <m:t>β</m:t>
        </m:r>
      </m:oMath>
      <w:r>
        <w:t xml:space="preserve"> </w:t>
      </w:r>
      <w:r>
        <w:t xml:space="preserve">= 0.087,</w:t>
      </w:r>
      <w:r>
        <w:t xml:space="preserve"> </w:t>
      </w:r>
      <w:r>
        <w:t xml:space="preserve">p =.009), while non-manufacturing firms show only a marginal</w:t>
      </w:r>
      <w:r>
        <w:t xml:space="preserve"> </w:t>
      </w:r>
      <m:oMath>
        <m:sSub>
          <m:e>
            <m:r>
              <m:rPr>
                <m:nor/>
                <m:sty m:val="p"/>
              </m:rPr>
              <m:t>TCI</m:t>
            </m:r>
          </m:e>
          <m:sub>
            <m:r>
              <m:t>z</m:t>
            </m:r>
          </m:sub>
        </m:sSub>
      </m:oMath>
      <w:r>
        <w:t xml:space="preserve"> </w:t>
      </w:r>
      <w:r>
        <w:t xml:space="preserve">effect (</w:t>
      </w:r>
      <m:oMath>
        <m:r>
          <m:t>β</m:t>
        </m:r>
      </m:oMath>
      <w:r>
        <w:t xml:space="preserve"> </w:t>
      </w:r>
      <w:r>
        <w:t xml:space="preserve">= 0.090, p =</w:t>
      </w:r>
      <w:r>
        <w:t xml:space="preserve"> </w:t>
      </w:r>
      <w:r>
        <w:t xml:space="preserve">.096) and a null</w:t>
      </w:r>
      <w:r>
        <w:t xml:space="preserve"> </w:t>
      </w:r>
      <m:oMath>
        <m:sSub>
          <m:e>
            <m:r>
              <m:rPr>
                <m:nor/>
                <m:sty m:val="p"/>
              </m:rPr>
              <m:t>DAI</m:t>
            </m:r>
          </m:e>
          <m:sub>
            <m:r>
              <m:t>z</m:t>
            </m:r>
          </m:sub>
        </m:sSub>
      </m:oMath>
      <w:r>
        <w:t xml:space="preserve"> </w:t>
      </w:r>
      <w:r>
        <w:t xml:space="preserve">effect (</w:t>
      </w:r>
      <m:oMath>
        <m:r>
          <m:t>β</m:t>
        </m:r>
      </m:oMath>
      <w:r>
        <w:t xml:space="preserve"> </w:t>
      </w:r>
      <w:r>
        <w:t xml:space="preserve">= 0.068, p =.133). The DAI moderation channel is concentrated in manufacturing (M8 joint p =.103, marginal;</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 -0.543, p =.079)</w:t>
      </w:r>
      <w:r>
        <w:t xml:space="preserve"> </w:t>
      </w:r>
      <w:r>
        <w:t xml:space="preserve">and is uniformly null in non-manufacturing (M8 joint p =.280). TCI moderation, by contrast,</w:t>
      </w:r>
      <w:r>
        <w:t xml:space="preserve"> </w:t>
      </w:r>
      <w:r>
        <w:t xml:space="preserve">is statistically distinguishable from zero in both subsets (M3 joint p =.011 in manufacturing</w:t>
      </w:r>
      <w:r>
        <w:t xml:space="preserve"> </w:t>
      </w:r>
      <w:r>
        <w:t xml:space="preserve">and p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The analysis re-fits M2 / M7 / M8 on the</w:t>
      </w:r>
      <w:r>
        <w:t xml:space="preserve"> </w:t>
      </w:r>
      <w:r>
        <w:t xml:space="preserve">exporter-only sub-sample (N</w:t>
      </w:r>
      <w:r>
        <w:t xml:space="preserve"> </w:t>
      </w:r>
      <m:oMath>
        <m:r>
          <m:rPr>
            <m:sty m:val="p"/>
          </m:rPr>
          <m:t>≈</m:t>
        </m:r>
      </m:oMath>
      <w:r>
        <w:t xml:space="preserve"> </w:t>
      </w:r>
      <w:r>
        <w:t xml:space="preserve">281 in 2009, 198 in 2015, 190 in 2023, and 669 pooled). The</w:t>
      </w:r>
      <w:r>
        <w:t xml:space="preserve"> </w:t>
      </w:r>
      <w:r>
        <w:t xml:space="preserve">pooled exporter-only specification yields a negative linear</w:t>
      </w:r>
      <w:r>
        <w:t xml:space="preserve"> </w:t>
      </w:r>
      <m:oMath>
        <m:sSub>
          <m:e>
            <m:r>
              <m:rPr>
                <m:nor/>
                <m:sty m:val="p"/>
              </m:rPr>
              <m:t>FSTS</m:t>
            </m:r>
          </m:e>
          <m:sub>
            <m:r>
              <m:t>c</m:t>
            </m:r>
          </m:sub>
        </m:sSub>
      </m:oMath>
      <w:r>
        <w:t xml:space="preserve"> </w:t>
      </w:r>
      <w:r>
        <w:t xml:space="preserve">term (</w:t>
      </w:r>
      <m:oMath>
        <m:r>
          <m:t>β</m:t>
        </m:r>
      </m:oMath>
      <w:r>
        <w:t xml:space="preserve"> </w:t>
      </w:r>
      <w:r>
        <w:t xml:space="preserve">= -0.861, p &lt;.001)</w:t>
      </w:r>
      <w:r>
        <w:t xml:space="preserve"> </w:t>
      </w:r>
      <w:r>
        <w:t xml:space="preserve">but a non-significant quadratic term (</w:t>
      </w:r>
      <m:oMath>
        <m:sSubSup>
          <m:e>
            <m:r>
              <m:rPr>
                <m:nor/>
                <m:sty m:val="p"/>
              </m:rPr>
              <m:t>FSTS</m:t>
            </m:r>
          </m:e>
          <m:sub>
            <m:r>
              <m:t>c</m:t>
            </m:r>
          </m:sub>
          <m:sup>
            <m:r>
              <m:t>2</m:t>
            </m:r>
          </m:sup>
        </m:sSubSup>
      </m:oMath>
      <w:r>
        <w:t xml:space="preserve"> </w:t>
      </w:r>
      <m:oMath>
        <m:r>
          <m:t>β</m:t>
        </m:r>
      </m:oMath>
      <w:r>
        <w:t xml:space="preserve"> </w:t>
      </w:r>
      <w:r>
        <w:t xml:space="preserve">= -0.200, p =.660), and the joint M8 test of the curvature plus moderation block is not significant (joint F p =.462). The wave-specific exporteronly estimates are similarly noisier and individually weaker than the full-sample counterparts.</w:t>
      </w:r>
      <w:r>
        <w:t xml:space="preserve"> </w:t>
      </w:r>
      <w:r>
        <w:t xml:space="preserve">This study reads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Pooled wave</w:t>
      </w:r>
      <w:r>
        <w:t xml:space="preserve"> </w:t>
      </w:r>
      <m:oMath>
        <m:r>
          <m:rPr>
            <m:sty m:val="p"/>
          </m:rPr>
          <m:t>×</m:t>
        </m:r>
      </m:oMath>
      <w:r>
        <w:t xml:space="preserve"> </w:t>
      </w:r>
      <w:r>
        <w:t xml:space="preserve">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w:t>
      </w:r>
      <m:oMath>
        <m:sSub>
          <m:e>
            <m:r>
              <m:rPr>
                <m:nor/>
                <m:sty m:val="p"/>
              </m:rPr>
              <m:t>FSTS</m:t>
            </m:r>
          </m:e>
          <m:sub>
            <m:r>
              <m:t>c</m:t>
            </m:r>
          </m:sub>
        </m:sSub>
      </m:oMath>
      <w:r>
        <w:t xml:space="preserve"> </w:t>
      </w:r>
      <m:oMath>
        <m:r>
          <m:rPr>
            <m:sty m:val="p"/>
          </m:rPr>
          <m:t>×</m:t>
        </m:r>
      </m:oMath>
      <w:r>
        <w:t xml:space="preserve"> </w:t>
      </w:r>
      <w:r>
        <w:t xml:space="preserve">wave,</w:t>
      </w:r>
      <w:r>
        <w:t xml:space="preserve"> </w:t>
      </w:r>
      <m:oMath>
        <m:sSubSup>
          <m:e>
            <m:r>
              <m:rPr>
                <m:nor/>
                <m:sty m:val="p"/>
              </m:rPr>
              <m:t>FSTS</m:t>
            </m:r>
          </m:e>
          <m:sub>
            <m:r>
              <m:t>c</m:t>
            </m:r>
          </m:sub>
          <m:sup>
            <m:r>
              <m:t>2</m:t>
            </m:r>
          </m:sup>
        </m:sSubSup>
      </m:oMath>
      <w:r>
        <w:t xml:space="preserve"> </w:t>
      </w:r>
      <m:oMath>
        <m:r>
          <m:rPr>
            <m:sty m:val="p"/>
          </m:rPr>
          <m:t>×</m:t>
        </m:r>
      </m:oMath>
      <w:r>
        <w:t xml:space="preserve"> </w:t>
      </w:r>
      <w:r>
        <w:t xml:space="preserve">wave,</w:t>
      </w:r>
      <w:r>
        <w:t xml:space="preserve"> </w:t>
      </w:r>
      <m:oMath>
        <m:sSub>
          <m:e>
            <m:r>
              <m:rPr>
                <m:nor/>
                <m:sty m:val="p"/>
              </m:rPr>
              <m:t>DAI</m:t>
            </m:r>
          </m:e>
          <m:sub>
            <m:r>
              <m:t>z</m:t>
            </m:r>
          </m:sub>
        </m:sSub>
      </m:oMath>
      <w:r>
        <w:t xml:space="preserve"> </w:t>
      </w:r>
      <m:oMath>
        <m:r>
          <m:rPr>
            <m:sty m:val="p"/>
          </m:rPr>
          <m:t>×</m:t>
        </m:r>
      </m:oMath>
      <w:r>
        <w:t xml:space="preserve"> </w:t>
      </w:r>
      <w:r>
        <w:t xml:space="preserve">wave,</w:t>
      </w:r>
      <w:r>
        <w:t xml:space="preserve"> </w:t>
      </w:r>
      <m:oMath>
        <m:sSub>
          <m:e>
            <m:r>
              <m:rPr>
                <m:nor/>
                <m:sty m:val="p"/>
              </m:rPr>
              <m:t>TCI</m:t>
            </m:r>
          </m:e>
          <m:sub>
            <m:r>
              <m:t>z</m:t>
            </m:r>
          </m:sub>
        </m:sSub>
      </m:oMath>
      <w:r>
        <w:t xml:space="preserve"> </w:t>
      </w:r>
      <m:oMath>
        <m:r>
          <m:rPr>
            <m:sty m:val="p"/>
          </m:rPr>
          <m:t>×</m:t>
        </m:r>
      </m:oMath>
      <w:r>
        <w:t xml:space="preserve"> </w:t>
      </w:r>
      <w:r>
        <w:t xml:space="preserve">wave). The joint Wald tests indicate that only</w:t>
      </w:r>
      <w:r>
        <w:t xml:space="preserve"> </w:t>
      </w:r>
      <m:oMath>
        <m:sSub>
          <m:e>
            <m:r>
              <m:rPr>
                <m:nor/>
                <m:sty m:val="p"/>
              </m:rPr>
              <m:t>DAI</m:t>
            </m:r>
          </m:e>
          <m:sub>
            <m:r>
              <m:t>z</m:t>
            </m:r>
          </m:sub>
        </m:sSub>
      </m:oMath>
      <w:r>
        <w:t xml:space="preserve"> </w:t>
      </w:r>
      <m:oMath>
        <m:r>
          <m:rPr>
            <m:sty m:val="p"/>
          </m:rPr>
          <m:t>×</m:t>
        </m:r>
      </m:oMath>
      <w:r>
        <w:t xml:space="preserve"> </w:t>
      </w:r>
      <w:r>
        <w:t xml:space="preserve">wave is statistically distinguishable from the pooled average (joint p =.016); the</w:t>
      </w:r>
      <w:r>
        <w:t xml:space="preserve"> </w:t>
      </w:r>
      <m:oMath>
        <m:sSub>
          <m:e>
            <m:r>
              <m:rPr>
                <m:nor/>
                <m:sty m:val="p"/>
              </m:rPr>
              <m:t>FSTS</m:t>
            </m:r>
          </m:e>
          <m:sub>
            <m:r>
              <m:t>c</m:t>
            </m:r>
          </m:sub>
        </m:sSub>
      </m:oMath>
      <w:r>
        <w:t xml:space="preserve">,</w:t>
      </w:r>
      <w:r>
        <w:t xml:space="preserve"> </w:t>
      </w:r>
      <m:oMath>
        <m:sSubSup>
          <m:e>
            <m:r>
              <m:rPr>
                <m:nor/>
                <m:sty m:val="p"/>
              </m:rPr>
              <m:t>FSTS</m:t>
            </m:r>
          </m:e>
          <m:sub>
            <m:r>
              <m:t>c</m:t>
            </m:r>
          </m:sub>
          <m:sup>
            <m:r>
              <m:t>2</m:t>
            </m:r>
          </m:sup>
        </m:sSubSup>
      </m:oMath>
      <w:r>
        <w:t xml:space="preserve"> </w:t>
      </w:r>
      <w:r>
        <w:t xml:space="preserve">and</w:t>
      </w:r>
      <w:r>
        <w:t xml:space="preserve"> </w:t>
      </w:r>
      <m:oMath>
        <m:sSub>
          <m:e>
            <m:r>
              <m:rPr>
                <m:nor/>
                <m:sty m:val="p"/>
              </m:rPr>
              <m:t>TCI</m:t>
            </m:r>
          </m:e>
          <m:sub>
            <m:r>
              <m:t>z</m:t>
            </m:r>
          </m:sub>
        </m:sSub>
      </m:oMath>
      <w:r>
        <w:t xml:space="preserve"> </w:t>
      </w:r>
      <w:r>
        <w:t xml:space="preserve">direct-effect cross-wave differences are not statistically separable (all joint p &gt;.25), and the</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and</w:t>
      </w:r>
      <w:r>
        <w:t xml:space="preserve"> </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cross-wave differences are not separable either (joint p &gt;.55).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w:t>
      </w:r>
      <w:r>
        <w:t xml:space="preserve"> </w:t>
      </w:r>
      <m:oMath>
        <m:r>
          <m:rPr>
            <m:nor/>
            <m:sty m:val="p"/>
          </m:rPr>
          <m:t>FSTS</m:t>
        </m:r>
        <m:r>
          <m:rPr>
            <m:sty m:val="p"/>
          </m:rPr>
          <m:t>×</m:t>
        </m:r>
        <m:r>
          <m:rPr>
            <m:nor/>
            <m:sty m:val="p"/>
          </m:rPr>
          <m:t>DAI</m:t>
        </m:r>
      </m:oMath>
      <w:r>
        <w:t xml:space="preserve"> </w:t>
      </w:r>
      <w:r>
        <w:t xml:space="preserve">moderation terms share a common pooled magnitude across waves.</w:t>
      </w:r>
      <w:r>
        <w:t xml:space="preserve"> </w:t>
      </w:r>
      <w:r>
        <w:t xml:space="preserve">Functional form check, cubic extension. To test whether an S-curve (cubic) specification better captures the I–P pattern, this study augments the pooled M2 with a cubic term</w:t>
      </w:r>
      <w:r>
        <w:t xml:space="preserve"> </w:t>
      </w:r>
      <m:oMath>
        <m:sSubSup>
          <m:e>
            <m:r>
              <m:rPr>
                <m:nor/>
                <m:sty m:val="p"/>
              </m:rPr>
              <m:t>FSTS</m:t>
            </m:r>
          </m:e>
          <m:sub>
            <m:r>
              <m:t>c</m:t>
            </m:r>
          </m:sub>
          <m:sup>
            <m:r>
              <m:t>3</m:t>
            </m:r>
          </m:sup>
        </m:sSubSup>
      </m:oMath>
      <w:r>
        <w:t xml:space="preserve">. The cubic coefficient is not statistically significant (</w:t>
      </w:r>
      <m:oMath>
        <m:r>
          <m:t>β</m:t>
        </m:r>
      </m:oMath>
      <w:r>
        <w:t xml:space="preserve"> </w:t>
      </w:r>
      <w:r>
        <w:t xml:space="preserve">= −1.763, p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This study also report the within-sample mass of firms in the curvature zone. Defining a $</w:t>
      </w:r>
      <w:r>
        <w:t xml:space="preserve">$5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2"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consistent with servicification of the economy and the gradual exit of marginal exporters, which itself attenuates the threat of a constant positive-selection story across waves. A Heckman two-stage check confirms this reading: Heckman two-step corrections (Panel E) yield insignificant inverse-Mills ratios across all waves (all |</w:t>
      </w:r>
      <m:oMath>
        <m:r>
          <m:t>λ</m:t>
        </m:r>
      </m:oMath>
      <w:r>
        <w:t xml:space="preserve">| &lt; 0.84, p &gt;.25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Section 4.4 reflects a genuine performance discontinuity rather than an artefact of positive selection into exporting. Propensity-score matching (Panel J) corroborates the average H2 TCI association and the baseline</w:t>
      </w:r>
      <w:r>
        <w:t xml:space="preserve"> </w:t>
      </w:r>
      <m:oMath>
        <m:sSub>
          <m:e>
            <m:r>
              <m:rPr>
                <m:nor/>
                <m:sty m:val="p"/>
              </m:rPr>
              <m:t>DAI</m:t>
            </m:r>
          </m:e>
          <m:sub>
            <m:r>
              <m:t>z</m:t>
            </m:r>
          </m:sub>
        </m:sSub>
      </m:oMath>
      <w:r>
        <w:t xml:space="preserve"> </w:t>
      </w:r>
      <w:r>
        <w:t xml:space="preserve">level association without imposing linearity: ATT estimates for foreign-technology / certification status (0.609–0.637, p &lt;.001) and for website ownership (0.298–0.321, p &lt;.001)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w:t>
      </w:r>
      <w:r>
        <w:t xml:space="preserve"> </w:t>
      </w:r>
      <m:oMath>
        <m:r>
          <m:rPr>
            <m:sty m:val="p"/>
          </m:rPr>
          <m:t>×</m:t>
        </m:r>
      </m:oMath>
      <w:r>
        <w:t xml:space="preserve"> </w:t>
      </w:r>
      <w:r>
        <w:t xml:space="preserve">region</w:t>
      </w:r>
      <w:r>
        <w:t xml:space="preserve"> </w:t>
      </w:r>
      <m:oMath>
        <m:r>
          <m:rPr>
            <m:sty m:val="p"/>
          </m:rPr>
          <m:t>×</m:t>
        </m:r>
      </m:oMath>
      <w:r>
        <w:t xml:space="preserve"> </w:t>
      </w:r>
      <w:r>
        <w:t xml:space="preserve">wave peer-adoption rates as instruments (Panel K; first-stage F-statistics 22–35, well above the Staiger–Stock threshold) returns an instrumented DAI estimate of 0.018 (p =.942) and an instrumented TCI estimate of 1.639 (p &lt;.001). The null 2SLS DAI coefficient is a key robustness result: it indicates that website presence does not plausibly cause productivity improvements in 2023 Vietnam, reinforcing the Tier 1 proxy obsolescence interpretation of the negative</w:t>
      </w:r>
      <w:r>
        <w:t xml:space="preserve"> </w:t>
      </w:r>
      <m:oMath>
        <m:r>
          <m:rPr>
            <m:nor/>
            <m:sty m:val="p"/>
          </m:rPr>
          <m:t>DAI</m:t>
        </m:r>
        <m:r>
          <m:rPr>
            <m:sty m:val="p"/>
          </m:rPr>
          <m:t>×</m:t>
        </m:r>
        <m:r>
          <m:rPr>
            <m:nor/>
            <m:sty m:val="p"/>
          </m:rPr>
          <m:t>FSTS</m:t>
        </m:r>
      </m:oMath>
      <w:r>
        <w:t xml:space="preserve"> </w:t>
      </w:r>
      <w:r>
        <w:t xml:space="preserve">interaction. The strongly positive instrumented TCI coefficient (</w:t>
      </w:r>
      <m:oMath>
        <m:r>
          <m:t>β</m:t>
        </m:r>
      </m:oMath>
      <w:r>
        <w:t xml:space="preserve">=1.639, p&lt;.001, substantially larger than the OLS estimate, consistent with attenuation-bias correction) further indicates that foreign-technology and standards capability is the robust productivity-relevant mechanism in this institutional setting. The instrument set (peer-adoption rates within sector</w:t>
      </w:r>
      <w:r>
        <w:t xml:space="preserve"> </w:t>
      </w:r>
      <m:oMath>
        <m:r>
          <m:rPr>
            <m:sty m:val="p"/>
          </m:rPr>
          <m:t>×</m:t>
        </m:r>
      </m:oMath>
      <w:r>
        <w:t xml:space="preserve"> </w:t>
      </w:r>
      <w:r>
        <w:t xml:space="preserve">region</w:t>
      </w:r>
      <w:r>
        <w:t xml:space="preserve"> </w:t>
      </w:r>
      <m:oMath>
        <m:r>
          <m:rPr>
            <m:sty m:val="p"/>
          </m:rPr>
          <m:t>×</m:t>
        </m:r>
      </m:oMath>
      <w:r>
        <w:t xml:space="preserve"> </w:t>
      </w:r>
      <w:r>
        <w:t xml:space="preserve">wave cells) satisfies relevance (strong first stage) and approximate exclusion (peer-adoption rates are unlikely to affect individual firm productivity through channels other than DAI adoption, conditional on sector-wave cells). Oster (2019) δ-stability bounds (assuming R_max = 1.3</w:t>
      </w:r>
      <w:r>
        <w:t xml:space="preserve"> </w:t>
      </w:r>
      <m:oMath>
        <m:r>
          <m:rPr>
            <m:sty m:val="p"/>
          </m:rPr>
          <m:t>×</m:t>
        </m:r>
      </m:oMath>
      <w:r>
        <w:t xml:space="preserve"> </w:t>
      </w:r>
      <w:r>
        <w:t xml:space="preserve">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w:t>
      </w:r>
      <w:r>
        <w:t xml:space="preserve"> </w:t>
      </w:r>
      <m:oMath>
        <m:sSub>
          <m:e>
            <m:r>
              <m:rPr>
                <m:nor/>
                <m:sty m:val="p"/>
              </m:rPr>
              <m:t>DAI</m:t>
            </m:r>
          </m:e>
          <m:sub>
            <m:r>
              <m:t>r</m:t>
            </m:r>
          </m:sub>
        </m:sSub>
      </m:oMath>
      <w:r>
        <w:t xml:space="preserve">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This study does not apply a formal multiple-testing correction because the panels probe different identification concerns rather than testing the same hypothesis repeatedly, but readers should weight any single marginal panel result accordingly. The substantive inferences in Section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w:t>
      </w:r>
      <w:r>
        <w:t xml:space="preserve"> </w:t>
      </w:r>
      <m:oMath>
        <m:sSub>
          <m:e>
            <m:r>
              <m:rPr>
                <m:nor/>
                <m:sty m:val="p"/>
              </m:rPr>
              <m:t>TCI</m:t>
            </m:r>
          </m:e>
          <m:sub>
            <m:r>
              <m:t>f</m:t>
            </m:r>
          </m:sub>
        </m:sSub>
      </m:oMath>
      <w:r>
        <w:t xml:space="preserve">ull = broader TCI composite;</w:t>
      </w:r>
      <w:r>
        <w:t xml:space="preserve"> </w:t>
      </w:r>
      <m:oMath>
        <m:sSub>
          <m:e>
            <m:r>
              <m:rPr>
                <m:nor/>
                <m:sty m:val="p"/>
              </m:rPr>
              <m:t>DAI</m:t>
            </m:r>
          </m:e>
          <m:sub>
            <m:r>
              <m:t>r</m:t>
            </m:r>
          </m:sub>
        </m:sSub>
      </m:oMath>
      <w:r>
        <w:t xml:space="preserve">ich = richer DAI composite (2023 only). HC1 robust standard errors. † p &lt;.10; * p &lt;.05; ** p &lt;.01; *** p &lt;.001.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w:t>
      </w:r>
      <w:r>
        <w:t xml:space="preserve"> </w:t>
      </w:r>
      <m:oMath>
        <m:sSub>
          <m:e>
            <m:r>
              <m:rPr>
                <m:nor/>
                <m:sty m:val="p"/>
              </m:rPr>
              <m:t>TCI</m:t>
            </m:r>
          </m:e>
          <m:sub>
            <m:r>
              <m:t>f</m:t>
            </m:r>
          </m:sub>
        </m:sSub>
      </m:oMath>
      <w:r>
        <w:t xml:space="preserve">ull direct (2015)</w:t>
      </w:r>
      <w:r>
        <w:t xml:space="preserve"> </w:t>
      </w:r>
      <w:r>
        <w:t xml:space="preserve">956</w:t>
      </w:r>
      <w:r>
        <w:t xml:space="preserve"> </w:t>
      </w:r>
      <m:oMath>
        <m:sSub>
          <m:e>
            <m:r>
              <m:rPr>
                <m:nor/>
                <m:sty m:val="p"/>
              </m:rPr>
              <m:t>TCI</m:t>
            </m:r>
          </m:e>
          <m:sub>
            <m:r>
              <m:t>f</m:t>
            </m:r>
          </m:sub>
        </m:sSub>
      </m:oMath>
      <w:r>
        <w:t xml:space="preserve">ull_z = 0.056 (p =.253) n.s.;</w:t>
      </w:r>
      <w:r>
        <w:t xml:space="preserve"> </w:t>
      </w:r>
      <m:oMath>
        <m:sSub>
          <m:e>
            <m:r>
              <m:rPr>
                <m:nor/>
                <m:sty m:val="p"/>
              </m:rPr>
              <m:t>DAI</m:t>
            </m:r>
          </m:e>
          <m:sub>
            <m:r>
              <m:t>z</m:t>
            </m:r>
          </m:sub>
        </m:sSub>
      </m:oMath>
      <w:r>
        <w:t xml:space="preserve"> </w:t>
      </w:r>
      <w:r>
        <w:t xml:space="preserve">= M3 joint p =.492 n.s.</w:t>
      </w:r>
      <w:r>
        <w:t xml:space="preserve"> </w:t>
      </w:r>
      <w:r>
        <w:t xml:space="preserve">−0.033 n.s.</w:t>
      </w:r>
      <w:r>
        <w:t xml:space="preserve"> </w:t>
      </w:r>
      <w:r>
        <w:t xml:space="preserve">A.</w:t>
      </w:r>
      <w:r>
        <w:t xml:space="preserve"> </w:t>
      </w:r>
      <m:oMath>
        <m:sSub>
          <m:e>
            <m:r>
              <m:rPr>
                <m:nor/>
                <m:sty m:val="p"/>
              </m:rPr>
              <m:t>TCI</m:t>
            </m:r>
          </m:e>
          <m:sub>
            <m:r>
              <m:t>f</m:t>
            </m:r>
          </m:sub>
        </m:sSub>
      </m:oMath>
      <w:r>
        <w:t xml:space="preserve">ull direct (2023)</w:t>
      </w:r>
      <w:r>
        <w:t xml:space="preserve"> </w:t>
      </w:r>
      <w:r>
        <w:t xml:space="preserve">1,013</w:t>
      </w:r>
      <w:r>
        <w:t xml:space="preserve"> </w:t>
      </w:r>
      <m:oMath>
        <m:sSub>
          <m:e>
            <m:r>
              <m:rPr>
                <m:nor/>
                <m:sty m:val="p"/>
              </m:rPr>
              <m:t>TCI</m:t>
            </m:r>
          </m:e>
          <m:sub>
            <m:r>
              <m:t>f</m:t>
            </m:r>
          </m:sub>
        </m:sSub>
      </m:oMath>
      <w:r>
        <w:t xml:space="preserve">ull_z = 0.096 (p =.024);</w:t>
      </w:r>
      <w:r>
        <w:t xml:space="preserve"> </w:t>
      </w:r>
      <m:oMath>
        <m:sSub>
          <m:e>
            <m:r>
              <m:rPr>
                <m:nor/>
                <m:sty m:val="p"/>
              </m:rPr>
              <m:t>DAI</m:t>
            </m:r>
          </m:e>
          <m:sub>
            <m:r>
              <m:t>z</m:t>
            </m:r>
          </m:sub>
        </m:sSub>
      </m:oMath>
      <w:r>
        <w:t xml:space="preserve"> </w:t>
      </w:r>
      <w:r>
        <w:t xml:space="preserve">= M3 joint p =.152 n.s.</w:t>
      </w:r>
      <w:r>
        <w:t xml:space="preserve"> </w:t>
      </w:r>
      <w:r>
        <w:t xml:space="preserve">0.097 (p =.037)</w:t>
      </w:r>
      <w:r>
        <w:t xml:space="preserve"> </w:t>
      </w:r>
      <w:r>
        <w:t xml:space="preserve">B.</w:t>
      </w:r>
      <w:r>
        <w:t xml:space="preserve"> </w:t>
      </w:r>
      <m:oMath>
        <m:sSub>
          <m:e>
            <m:r>
              <m:rPr>
                <m:nor/>
                <m:sty m:val="p"/>
              </m:rPr>
              <m:t>DAI</m:t>
            </m:r>
          </m:e>
          <m:sub>
            <m:r>
              <m:t>r</m:t>
            </m:r>
          </m:sub>
        </m:sSub>
      </m:oMath>
      <w:r>
        <w:t xml:space="preserve">ich continuous (2023)</w:t>
      </w:r>
      <w:r>
        <w:t xml:space="preserve"> </w:t>
      </w:r>
      <w:r>
        <w:t xml:space="preserve">1,013</w:t>
      </w:r>
      <w:r>
        <w:t xml:space="preserve"> </w:t>
      </w:r>
      <m:oMath>
        <m:sSub>
          <m:e>
            <m:r>
              <m:rPr>
                <m:nor/>
                <m:sty m:val="p"/>
              </m:rPr>
              <m:t>FSTS</m:t>
            </m:r>
          </m:e>
          <m:sub>
            <m:r>
              <m:t>c</m:t>
            </m:r>
          </m:sub>
        </m:sSub>
        <m:r>
          <m:rPr>
            <m:sty m:val="p"/>
          </m:rPr>
          <m:t>×</m:t>
        </m:r>
        <m:sSub>
          <m:e>
            <m:r>
              <m:rPr>
                <m:nor/>
                <m:sty m:val="p"/>
              </m:rPr>
              <m:t>DAI</m:t>
            </m:r>
          </m:e>
          <m:sub>
            <m:r>
              <m:t>r</m:t>
            </m:r>
          </m:sub>
        </m:sSub>
      </m:oMath>
      <w:r>
        <w:t xml:space="preserve">ich_cont_z = −0.933 † (p M8 joint p =.099 †</w:t>
      </w:r>
      <w:r>
        <w:t xml:space="preserve"> </w:t>
      </w:r>
      <w:r>
        <w:t xml:space="preserve">=.076)</w:t>
      </w:r>
      <w:r>
        <w:t xml:space="preserve"> </w:t>
      </w:r>
      <w:r>
        <w:t xml:space="preserve">B.</w:t>
      </w:r>
      <w:r>
        <w:t xml:space="preserve"> </w:t>
      </w:r>
      <m:oMath>
        <m:sSub>
          <m:e>
            <m:r>
              <m:rPr>
                <m:nor/>
                <m:sty m:val="p"/>
              </m:rPr>
              <m:t>DAI</m:t>
            </m:r>
          </m:e>
          <m:sub>
            <m:r>
              <m:t>r</m:t>
            </m:r>
          </m:sub>
        </m:sSub>
      </m:oMath>
      <w:r>
        <w:t xml:space="preserve">ich binary (2023)</w:t>
      </w:r>
      <w:r>
        <w:t xml:space="preserve"> </w:t>
      </w:r>
      <w:r>
        <w:t xml:space="preserve">1,013</w:t>
      </w:r>
      <w:r>
        <w:t xml:space="preserve"> </w:t>
      </w:r>
      <m:oMath>
        <m:sSub>
          <m:e>
            <m:r>
              <m:rPr>
                <m:nor/>
                <m:sty m:val="p"/>
              </m:rPr>
              <m:t>FSTS</m:t>
            </m:r>
          </m:e>
          <m:sub>
            <m:r>
              <m:t>c</m:t>
            </m:r>
          </m:sub>
        </m:sSub>
        <m:r>
          <m:rPr>
            <m:sty m:val="p"/>
          </m:rPr>
          <m:t>×</m:t>
        </m:r>
        <m:sSub>
          <m:e>
            <m:r>
              <m:rPr>
                <m:nor/>
                <m:sty m:val="p"/>
              </m:rPr>
              <m:t>DAI</m:t>
            </m:r>
          </m:e>
          <m:sub>
            <m:r>
              <m:t>r</m:t>
            </m:r>
          </m:sub>
        </m:sSub>
      </m:oMath>
      <w:r>
        <w:t xml:space="preserve">ich_bin_z = −0.893 (p = M8 joint p =.243 n.s.</w:t>
      </w:r>
      <w:r>
        <w:t xml:space="preserve"> </w:t>
      </w:r>
      <w:r>
        <w:t xml:space="preserve">.169) n.s.</w:t>
      </w:r>
      <w:r>
        <w:t xml:space="preserve"> </w:t>
      </w:r>
      <w:r>
        <w:t xml:space="preserve">C. Common-N reconciled (2023) 1,013</w:t>
      </w:r>
      <w:r>
        <w:t xml:space="preserve"> </w:t>
      </w:r>
      <m:oMath>
        <m:sSub>
          <m:e>
            <m:r>
              <m:rPr>
                <m:nor/>
                <m:sty m:val="p"/>
              </m:rPr>
              <m:t>DAI</m:t>
            </m:r>
          </m:e>
          <m:sub>
            <m:r>
              <m:t>z</m:t>
            </m:r>
          </m:sub>
        </m:sSub>
      </m:oMath>
      <w:r>
        <w:t xml:space="preserve"> </w:t>
      </w:r>
      <w:r>
        <w:t xml:space="preserve">moderation re-estimated on identical M8 joint p =.062 †</w:t>
      </w:r>
      <w:r>
        <w:t xml:space="preserve"> </w:t>
      </w:r>
      <w:r>
        <w:t xml:space="preserve">2023 sample</w:t>
      </w:r>
      <w:r>
        <w:t xml:space="preserve"> </w:t>
      </w:r>
      <w:r>
        <w:t xml:space="preserve">D. Micro-firm exclusion (l1</w:t>
      </w:r>
      <w:r>
        <w:t xml:space="preserve"> </w:t>
      </w:r>
      <m:oMath>
        <m:r>
          <m:rPr>
            <m:sty m:val="p"/>
          </m:rPr>
          <m:t>≥</m:t>
        </m:r>
      </m:oMath>
      <w:r>
        <w:t xml:space="preserve"> </w:t>
      </w:r>
      <w:r>
        <w:t xml:space="preserve">10) 2,473</w:t>
      </w:r>
      <w:r>
        <w:t xml:space="preserve"> </w:t>
      </w:r>
      <m:oMath>
        <m:sSub>
          <m:e>
            <m:r>
              <m:rPr>
                <m:nor/>
                <m:sty m:val="p"/>
              </m:rPr>
              <m:t>TCI</m:t>
            </m:r>
          </m:e>
          <m:sub>
            <m:r>
              <m:t>z</m:t>
            </m:r>
          </m:sub>
        </m:sSub>
      </m:oMath>
      <w:r>
        <w:t xml:space="preserve"> </w:t>
      </w:r>
      <w:r>
        <w:t xml:space="preserve">= 0.188 ;</w:t>
      </w:r>
      <w:r>
        <w:t xml:space="preserve"> </w:t>
      </w:r>
      <m:oMath>
        <m:sSub>
          <m:e>
            <m:r>
              <m:rPr>
                <m:nor/>
                <m:sty m:val="p"/>
              </m:rPr>
              <m:t>DAI</m:t>
            </m:r>
          </m:e>
          <m:sub>
            <m:r>
              <m:t>z</m:t>
            </m:r>
          </m:sub>
        </m:sSub>
      </m:oMath>
      <w:r>
        <w:t xml:space="preserve"> </w:t>
      </w:r>
      <w:r>
        <w:t xml:space="preserve">= 0.054 n.s.</w:t>
      </w:r>
      <w:r>
        <w:t xml:space="preserve"> </w:t>
      </w:r>
      <w:r>
        <w:t xml:space="preserve">M8 joint p =.167 n.s.</w:t>
      </w:r>
      <w:r>
        <w:t xml:space="preserve"> </w:t>
      </w:r>
      <w:r>
        <w:t xml:space="preserve">G. Manufacturing (sector1 1,854</w:t>
      </w:r>
      <w:r>
        <w:t xml:space="preserve"> </w:t>
      </w:r>
      <m:oMath>
        <m:sSub>
          <m:e>
            <m:r>
              <m:rPr>
                <m:nor/>
                <m:sty m:val="p"/>
              </m:rPr>
              <m:t>TCI</m:t>
            </m:r>
          </m:e>
          <m:sub>
            <m:r>
              <m:t>z</m:t>
            </m:r>
          </m:sub>
        </m:sSub>
      </m:oMath>
      <w:r>
        <w:t xml:space="preserve"> </w:t>
      </w:r>
      <w:r>
        <w:t xml:space="preserve">= 0.223 ;</w:t>
      </w:r>
      <w:r>
        <w:t xml:space="preserve"> </w:t>
      </w:r>
      <m:oMath>
        <m:sSub>
          <m:e>
            <m:r>
              <m:rPr>
                <m:nor/>
                <m:sty m:val="p"/>
              </m:rPr>
              <m:t>DAI</m:t>
            </m:r>
          </m:e>
          <m:sub>
            <m:r>
              <m:t>z</m:t>
            </m:r>
          </m:sub>
        </m:sSub>
      </m:oMath>
      <w:r>
        <w:t xml:space="preserve"> </w:t>
      </w:r>
      <w:r>
        <w:t xml:space="preserve">= 0.087 ; M8 joint p =.103 †</w:t>
      </w:r>
      <w:r>
        <w:t xml:space="preserve"> </w:t>
      </w:r>
      <w:r>
        <w:t xml:space="preserve">∈ {1, 2, 3})</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 −0.543 †</w:t>
      </w:r>
      <w:r>
        <w:t xml:space="preserve"> </w:t>
      </w:r>
      <w:r>
        <w:t xml:space="preserve">H. Exporter-only (FSTS &gt; 0, 669</w:t>
      </w:r>
      <w:r>
        <w:t xml:space="preserve"> </w:t>
      </w:r>
      <m:oMath>
        <m:sSub>
          <m:e>
            <m:r>
              <m:rPr>
                <m:nor/>
                <m:sty m:val="p"/>
              </m:rPr>
              <m:t>FSTS</m:t>
            </m:r>
          </m:e>
          <m:sub>
            <m:r>
              <m:t>c</m:t>
            </m:r>
          </m:sub>
        </m:sSub>
      </m:oMath>
      <w:r>
        <w:t xml:space="preserve"> </w:t>
      </w:r>
      <w:r>
        <w:t xml:space="preserve">= −0.861 ;</w:t>
      </w:r>
      <w:r>
        <w:t xml:space="preserve"> </w:t>
      </w:r>
      <m:oMath>
        <m:sSubSup>
          <m:e>
            <m:r>
              <m:rPr>
                <m:nor/>
                <m:sty m:val="p"/>
              </m:rPr>
              <m:t>FSTS</m:t>
            </m:r>
          </m:e>
          <m:sub>
            <m:r>
              <m:t>c</m:t>
            </m:r>
          </m:sub>
          <m:sup>
            <m:r>
              <m:t>2</m:t>
            </m:r>
          </m:sup>
        </m:sSubSup>
      </m:oMath>
      <w:r>
        <w:t xml:space="preserve"> </w:t>
      </w:r>
      <w:r>
        <w:t xml:space="preserve">= −0.200 M8 joint p =.462 n.s.</w:t>
      </w:r>
      <w:r>
        <w:t xml:space="preserve"> </w:t>
      </w:r>
      <w:r>
        <w:t xml:space="preserve">pooled)</w:t>
      </w:r>
      <w:r>
        <w:t xml:space="preserve"> </w:t>
      </w:r>
      <w:r>
        <w:t xml:space="preserve">n.s.</w:t>
      </w:r>
      <w:r>
        <w:t xml:space="preserve"> </w:t>
      </w:r>
      <w:r>
        <w:t xml:space="preserve">I. Wave</w:t>
      </w:r>
      <w:r>
        <w:t xml:space="preserve"> </w:t>
      </w:r>
      <m:oMath>
        <m:r>
          <m:rPr>
            <m:sty m:val="p"/>
          </m:rPr>
          <m:t>×</m:t>
        </m:r>
      </m:oMath>
      <w:r>
        <w:t xml:space="preserve"> </w:t>
      </w:r>
      <w:r>
        <w:t xml:space="preserve">focal interaction 2,958</w:t>
      </w:r>
      <w:r>
        <w:t xml:space="preserve"> </w:t>
      </w:r>
      <m:oMath>
        <m:sSub>
          <m:e>
            <m:r>
              <m:rPr>
                <m:nor/>
                <m:sty m:val="p"/>
              </m:rPr>
              <m:t>DAI</m:t>
            </m:r>
          </m:e>
          <m:sub>
            <m:r>
              <m:t>z</m:t>
            </m:r>
          </m:sub>
        </m:sSub>
      </m:oMath>
      <w:r>
        <w:t xml:space="preserve"> </w:t>
      </w:r>
      <m:oMath>
        <m:r>
          <m:rPr>
            <m:sty m:val="p"/>
          </m:rPr>
          <m:t>×</m:t>
        </m:r>
      </m:oMath>
      <w:r>
        <w:t xml:space="preserve"> </w:t>
      </w:r>
      <w:r>
        <w:t xml:space="preserve">wave detectable (p =.016); other Only DAI direct shifts</w:t>
      </w:r>
      <w:r>
        <w:t xml:space="preserve"> </w:t>
      </w:r>
      <w:r>
        <w:t xml:space="preserve">(pooled)</w:t>
      </w:r>
      <w:r>
        <w:t xml:space="preserve"> </w:t>
      </w:r>
      <w:r>
        <w:t xml:space="preserve">focal</w:t>
      </w:r>
      <w:r>
        <w:t xml:space="preserve"> </w:t>
      </w:r>
      <m:oMath>
        <m:r>
          <m:rPr>
            <m:sty m:val="p"/>
          </m:rPr>
          <m:t>×</m:t>
        </m:r>
      </m:oMath>
      <w:r>
        <w:t xml:space="preserve"> </w:t>
      </w:r>
      <w:r>
        <w:t xml:space="preserve">wave n.s.</w:t>
      </w:r>
      <w:r>
        <w:t xml:space="preserve"> </w:t>
      </w:r>
      <w:r>
        <w:t xml:space="preserve">cross-wave-separable</w:t>
      </w:r>
      <w:r>
        <w:t xml:space="preserve"> </w:t>
      </w:r>
      <w:r>
        <w:t xml:space="preserve">Density around TP ($</w:t>
      </w:r>
      <w:r>
        <w:t xml:space="preserve">$5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w:t>
      </w:r>
      <w:r>
        <w:t xml:space="preserve"> </w:t>
      </w:r>
      <m:oMath>
        <m:sSub>
          <m:e>
            <m:r>
              <m:rPr>
                <m:nor/>
                <m:sty m:val="p"/>
              </m:rPr>
              <m:t>DAI</m:t>
            </m:r>
          </m:e>
          <m:sub>
            <m:r>
              <m:t>z</m:t>
            </m:r>
          </m:sub>
        </m:sSub>
      </m:oMath>
      <w:r>
        <w:t xml:space="preserve"> </w:t>
      </w:r>
      <w:r>
        <w:t xml:space="preserve">2,298</w:t>
      </w:r>
      <w:r>
        <w:t xml:space="preserve"> </w:t>
      </w:r>
      <m:oMath>
        <m:sSub>
          <m:e>
            <m:r>
              <m:rPr>
                <m:nor/>
                <m:sty m:val="p"/>
              </m:rPr>
              <m:t>DAI</m:t>
            </m:r>
          </m:e>
          <m:sub>
            <m:r>
              <m:t>z</m:t>
            </m:r>
          </m:sub>
        </m:sSub>
      </m:oMath>
      <w:r>
        <w:t xml:space="preserve"> </w:t>
      </w:r>
      <w:r>
        <w:t xml:space="preserve">= 0.018 (p =.942) n.s.</w:t>
      </w:r>
      <w:r>
        <w:t xml:space="preserve"> </w:t>
      </w:r>
      <w:r>
        <w:t xml:space="preserve">First-stage F = 34.6</w:t>
      </w:r>
      <w:r>
        <w:t xml:space="preserve"> </w:t>
      </w:r>
      <w:r>
        <w:t xml:space="preserve">(strong)</w:t>
      </w:r>
      <w:r>
        <w:t xml:space="preserve"> </w:t>
      </w:r>
      <w:r>
        <w:t xml:space="preserve">K. IV / 2SLS,</w:t>
      </w:r>
      <w:r>
        <w:t xml:space="preserve"> </w:t>
      </w:r>
      <m:oMath>
        <m:sSub>
          <m:e>
            <m:r>
              <m:rPr>
                <m:nor/>
                <m:sty m:val="p"/>
              </m:rPr>
              <m:t>TCI</m:t>
            </m:r>
          </m:e>
          <m:sub>
            <m:r>
              <m:t>z</m:t>
            </m:r>
          </m:sub>
        </m:sSub>
      </m:oMath>
      <w:r>
        <w:t xml:space="preserve"> </w:t>
      </w:r>
      <w:r>
        <w:t xml:space="preserve">2,298</w:t>
      </w:r>
      <w:r>
        <w:t xml:space="preserve"> </w:t>
      </w:r>
      <m:oMath>
        <m:sSub>
          <m:e>
            <m:r>
              <m:rPr>
                <m:nor/>
                <m:sty m:val="p"/>
              </m:rPr>
              <m:t>TCI</m:t>
            </m:r>
          </m:e>
          <m:sub>
            <m:r>
              <m:t>z</m:t>
            </m:r>
          </m:sub>
        </m:sSub>
      </m:oMath>
      <w:r>
        <w:t xml:space="preserve"> </w:t>
      </w:r>
      <w:r>
        <w:t xml:space="preserve">=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w:t>
      </w:r>
      <w:r>
        <w:t xml:space="preserve"> </w:t>
      </w:r>
      <m:oMath>
        <m:sSub>
          <m:e>
            <m:r>
              <m:rPr>
                <m:nor/>
                <m:sty m:val="p"/>
              </m:rPr>
              <m:t>FSTS</m:t>
            </m:r>
          </m:e>
          <m:sub>
            <m:r>
              <m:t>c</m:t>
            </m:r>
          </m:sub>
        </m:sSub>
      </m:oMath>
      <w:r>
        <w:t xml:space="preserve"> </w:t>
      </w:r>
      <w:r>
        <w:t xml:space="preserve">0.92 to 0.61; $</w:t>
      </w:r>
      <w:r>
        <w:t xml:space="preserve">_c$2 −2.21 to −1.17; No sign change; focal findTCI 0.14 to 0.19; DAI 0.07 to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&lt;.001, ∗∗ p &lt;.01,</w:t>
      </w:r>
      <w:r>
        <w:t xml:space="preserve"> </w:t>
      </w:r>
      <w:r>
        <w:t xml:space="preserve">∗</w:t>
      </w:r>
      <w:r>
        <w:t xml:space="preserve"> </w:t>
      </w:r>
      <w:r>
        <w:t xml:space="preserve">p &lt;.05, † p &lt;.10,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 www.enterprisesurveys.org; 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w:t>
      </w:r>
      <w:r>
        <w:t xml:space="preserve">comparisons support wave-specific heterogeneity in TCI and DAI direct effects but not in the I–P curvature parameters. Turning points (already reported in Table 5 above) are derived from M2 (lnLP =</w:t>
      </w:r>
      <w:r>
        <w:t xml:space="preserve"> </w:t>
      </w:r>
      <m:oMath>
        <m:sSub>
          <m:e>
            <m:r>
              <m:t>β</m:t>
            </m:r>
          </m:e>
          <m:sub>
            <m:r>
              <m:t>0</m:t>
            </m:r>
          </m:sub>
        </m:sSub>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 controls + sector FE [+ wave FE in pooled]) back-transformed to the raw FSTS scale; 95% CI uses the delta method; Lind–Mehlum p-values follow the Sasabuchi-style endpoint test (Lind &amp; Mehlum, 2010). Source: WBES Vietnam 2009, 2015, 2023; authors’ calculations.</w:t>
      </w:r>
    </w:p>
    <w:bookmarkEnd w:id="62"/>
    <w:bookmarkEnd w:id="63"/>
    <w:bookmarkEnd w:id="64"/>
    <w:bookmarkStart w:id="70" w:name="discussion"/>
    <w:p>
      <w:pPr>
        <w:pStyle w:val="Heading2"/>
      </w:pPr>
      <w:r>
        <w:t xml:space="preserve">5. Discussion</w:t>
      </w:r>
    </w:p>
    <w:p>
      <w:pPr>
        <w:pStyle w:val="FirstParagraph"/>
      </w:pPr>
      <w:r>
        <w:t xml:space="preserve">The results are best located first against the meta-analytic baseline. Wu, Fan, and Chen (2022) establish a positive average I–P relationship for emerging-market multinationals, a useful macro-level anchor, though one that aggregates across institutional contexts in which the functional form may vary substantially. That meta-analysis leaves country-level heterogeneity in the I–P curve shape under-specified. Vietnam, a single-party transitional economy with rapid but uneven digital infrastructure uptake, offers a critical test of whether the pooled meta-level estimate masks functional-form nonlinearity at the within-country level. The present evidence speaks to that concern: the inverted-U is robust within Vietnam, yet a participation-margin step drives it rather than within-exporter saturation, a structure that pooling exporters and non-exporters in cross-country meta-analyses tends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The present finding of a reproducible inverted-U at FSTS</w:t>
      </w:r>
      <w:r>
        <w:t xml:space="preserve"> </w:t>
      </w:r>
      <m:oMath>
        <m:r>
          <m:rPr>
            <m:sty m:val="p"/>
          </m:rPr>
          <m:t>≈</m:t>
        </m:r>
      </m:oMath>
      <w:r>
        <w:t xml:space="preserve"> </w:t>
      </w:r>
      <w:r>
        <w:t xml:space="preserve">39–46% in Vietnam, despite the cross-national skepticism articulated by Pisani, Garcia-Bernardo, and Heemskerk (2020),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not merely a compositional artefact of positive selection into exporting.</w:t>
      </w:r>
    </w:p>
    <w:bookmarkStart w:id="65" w:name="X45b04fa3b40d11388c7a41a1d622c5668243784"/>
    <w:p>
      <w:pPr>
        <w:pStyle w:val="Heading3"/>
      </w:pPr>
      <w:r>
        <w:t xml:space="preserve">5.1 Reinterpreting the baseline website-presence indicator in Vietnam</w:t>
      </w:r>
    </w:p>
    <w:p>
      <w:pPr>
        <w:pStyle w:val="FirstParagraph"/>
      </w:pPr>
      <w:r>
        <w:t xml:space="preserve">The descriptive</w:t>
      </w:r>
      <w:r>
        <w:t xml:space="preserve"> </w:t>
      </w:r>
      <m:oMath>
        <m:sSub>
          <m:e>
            <m:r>
              <m:rPr>
                <m:nor/>
                <m:sty m:val="p"/>
              </m:rPr>
              <m:t>DAI</m:t>
            </m:r>
          </m:e>
          <m:sub>
            <m:r>
              <m:t>z</m:t>
            </m:r>
          </m:sub>
        </m:sSub>
      </m:oMath>
      <w:r>
        <w:t xml:space="preserve"> </w:t>
      </w:r>
      <w:r>
        <w:t xml:space="preserve">findings carry one central implication: baseline website presence in Vietnam should</w:t>
      </w:r>
      <w:r>
        <w:t xml:space="preserve"> </w:t>
      </w:r>
      <w:r>
        <w:t xml:space="preserve">not be read as a universal, temporally stable productivity premium, nor as evidence on dynamic digital capability.</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both positive on average in the pooled specifications, yet their empirical roles diverge</w:t>
      </w:r>
      <w:r>
        <w:t xml:space="preserve"> </w:t>
      </w:r>
      <w:r>
        <w:t xml:space="preserve">materially across waves and across identification strategies (Vahlne, 2020; Stallkamp and Schotter, 2021). Within the limits of a Tier-1 binary website indicator, what emerges is that</w:t>
      </w:r>
      <w:r>
        <w:t xml:space="preserve"> </w:t>
      </w:r>
      <w:r>
        <w:t xml:space="preserve">website ownership is no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 Framed in capability terms, a Tier-1 website in transitional Vietnam operates as a saturated hygiene factor rather than a differentiating resource: with ownership approaching universality (42.5% in 2009 to 49.8% in 2023), it retains too little cross-firm variance to bend the export–performance curve, so the null is a substantive finding about a saturated threshold rather than a measurement shortfall. The contrast with a companion paper by the present author group on Singapore, where the deeper Tier-1+2 DAI construct amplifies the productivity return at high export intensity, indicates that foundational digital adoption is a context-dependent resource gated by a depth threshold. This study discloses this companion-paper link to flag, rather than conceal, that the Singapore comparator is drawn from the present study’s own research programme and should be interpreted accordingly. The substantive reading is that only past the shift from digitising information to integrating digital into processes does foundational digital adoption acquire curve-reshaping potency, and only then can it act as a partial substitute for the institutional functions that remain underdeveloped in a transitional economy.</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trajectory of internationalisation and transition, as seen in repeated cross-sectional snapshots rather than within-firm longitudinal records.</w:t>
      </w:r>
    </w:p>
    <w:bookmarkEnd w:id="65"/>
    <w:bookmarkStart w:id="66" w:name="Xf38ea3bc596d70f844bdf59a29c37f26a529ee1"/>
    <w:p>
      <w:pPr>
        <w:pStyle w:val="Heading3"/>
      </w:pPr>
      <w:r>
        <w:t xml:space="preserve">5.2 Why the distinction between TCI and baseline DAI matters</w:t>
      </w:r>
    </w:p>
    <w:p>
      <w:pPr>
        <w:pStyle w:val="FirstParagraph"/>
      </w:pPr>
      <w:r>
        <w:t xml:space="preserve">The results strengthen the methodological case for keeping foreign-technology / standards capability apart from a baseline website-presence indicator, rather than folding the two into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sSub>
          <m:e>
            <m:r>
              <m:rPr>
                <m:nor/>
                <m:sty m:val="p"/>
              </m:rPr>
              <m:t>TCI</m:t>
            </m:r>
          </m:e>
          <m:sub>
            <m:r>
              <m:t>z</m:t>
            </m:r>
          </m:sub>
        </m:sSub>
      </m:oMath>
      <w:r>
        <w:t xml:space="preserve"> </w:t>
      </w:r>
      <w:r>
        <w:t xml:space="preserve">is 1.64 (p &lt;.001) under a strong instrument</w:t>
      </w:r>
      <w:r>
        <w:t xml:space="preserve"> </w:t>
      </w:r>
      <w:r>
        <w:t xml:space="preserve">(first-stage F = 22.1), and the matching ATT for the cert / foreign-tech treatment is 0.61–0.64</w:t>
      </w:r>
      <w:r>
        <w:t xml:space="preserve"> </w:t>
      </w:r>
      <w:r>
        <w:t xml:space="preserve">(p &lt;.001) on a matched sample of approximately 640 firms.</w:t>
      </w:r>
    </w:p>
    <w:p>
      <w:pPr>
        <w:pStyle w:val="BodyText"/>
      </w:pPr>
      <w:r>
        <w:t xml:space="preserve">By contrast, the OLS-detected</w:t>
      </w:r>
    </w:p>
    <w:p>
      <w:pPr>
        <w:pStyle w:val="BodyText"/>
      </w:pPr>
      <w:r>
        <w:t xml:space="preserve">DAI direct association is reproduced under PSM (matching ATT = 0.30–0.32, p &lt;.001) but</w:t>
      </w:r>
      <w:r>
        <w:t xml:space="preserve"> </w:t>
      </w:r>
      <w:r>
        <w:t xml:space="preserve">attenuates to a null under 2SLS (</w:t>
      </w:r>
      <m:oMath>
        <m:r>
          <m:t>β</m:t>
        </m:r>
      </m:oMath>
      <w:r>
        <w:t xml:space="preserve"> </w:t>
      </w:r>
      <w:r>
        <w:t xml:space="preserve">= 0.02, p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nor/>
                <m:sty m:val="p"/>
              </m:rPr>
              <m:t>DAI</m:t>
            </m:r>
          </m:e>
          <m:sub>
            <m:r>
              <m:t>r</m:t>
            </m:r>
          </m:sub>
        </m:sSub>
      </m:oMath>
      <w:r>
        <w:t xml:space="preserve">ich extension reported in 4.5 Panel B reinforces the construct interpretation</w:t>
      </w:r>
      <w:r>
        <w:t xml:space="preserve"> </w:t>
      </w:r>
      <w:r>
        <w:t xml:space="preserve">rather than weakening it. Although the primary</w:t>
      </w:r>
      <w:r>
        <w:t xml:space="preserve"> </w:t>
      </w:r>
      <m:oMath>
        <m:sSub>
          <m:e>
            <m:r>
              <m:rPr>
                <m:nor/>
                <m:sty m:val="p"/>
              </m:rPr>
              <m:t>DAI</m:t>
            </m:r>
          </m:e>
          <m:sub>
            <m:r>
              <m:t>z</m:t>
            </m:r>
          </m:sub>
        </m:sSub>
      </m:oMath>
      <w:r>
        <w:t xml:space="preserve"> </w:t>
      </w:r>
      <w:r>
        <w:t xml:space="preserve">anchored on c22b (website presence) is</w:t>
      </w:r>
      <w:r>
        <w:t xml:space="preserve"> </w:t>
      </w:r>
      <w:r>
        <w:t xml:space="preserve">by 2023 close to a Tier-1 baseline indicator, the</w:t>
      </w:r>
      <w:r>
        <w:t xml:space="preserve"> </w:t>
      </w:r>
      <m:oMath>
        <m:sSub>
          <m:e>
            <m:r>
              <m:rPr>
                <m:nor/>
                <m:sty m:val="p"/>
              </m:rPr>
              <m:t>DAI</m:t>
            </m:r>
          </m:e>
          <m:sub>
            <m:r>
              <m:t>r</m:t>
            </m:r>
          </m:sub>
        </m:sSub>
      </m:oMath>
      <w:r>
        <w:t xml:space="preserve">ich extension available only in 2023,</w:t>
      </w:r>
      <w:r>
        <w:t xml:space="preserve"> </w:t>
      </w:r>
      <w:r>
        <w:t xml:space="preserve">combining c22b with electronic-payment shares (k33, k38), produces a similarly directioned</w:t>
      </w:r>
      <w:r>
        <w:t xml:space="preserve"> </w:t>
      </w:r>
      <w:r>
        <w:t xml:space="preserve">and a moderation pattern in the same direction (</w:t>
      </w:r>
      <m:oMath>
        <m:sSub>
          <m:e>
            <m:r>
              <m:rPr>
                <m:nor/>
                <m:sty m:val="p"/>
              </m:rPr>
              <m:t>FSTS</m:t>
            </m:r>
          </m:e>
          <m:sub>
            <m:r>
              <m:t>c</m:t>
            </m:r>
          </m:sub>
        </m:sSub>
        <m:r>
          <m:rPr>
            <m:sty m:val="p"/>
          </m:rPr>
          <m:t>×</m:t>
        </m:r>
        <m:sSub>
          <m:e>
            <m:r>
              <m:rPr>
                <m:nor/>
                <m:sty m:val="p"/>
              </m:rPr>
              <m:t>DAI</m:t>
            </m:r>
          </m:e>
          <m:sub>
            <m:r>
              <m:t>r</m:t>
            </m:r>
          </m:sub>
        </m:sSub>
      </m:oMath>
      <w:r>
        <w:t xml:space="preserve">ich_cont_z = -0.93, M8 joint</w:t>
      </w:r>
      <w:r>
        <w:t xml:space="preserve"> </w:t>
      </w:r>
      <w:r>
        <w:t xml:space="preserve">p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primary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sSub>
          <m:e>
            <m:r>
              <m:rPr>
                <m:nor/>
                <m:sty m:val="p"/>
              </m:rPr>
              <m:t>TCI</m:t>
            </m:r>
          </m:e>
          <m:sub>
            <m:r>
              <m:t>z</m:t>
            </m:r>
          </m:sub>
        </m:sSub>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sSub>
          <m:e>
            <m:r>
              <m:rPr>
                <m:nor/>
                <m:sty m:val="p"/>
              </m:rPr>
              <m:t>DAI</m:t>
            </m:r>
          </m:e>
          <m:sub>
            <m:r>
              <m:t>z</m:t>
            </m:r>
          </m:sub>
        </m:sSub>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66"/>
    <w:bookmarkStart w:id="67" w:name="the-significance-of-the-2015-dip"/>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This study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This study does not</w:t>
      </w:r>
      <w:r>
        <w:t xml:space="preserve"> </w:t>
      </w:r>
      <w:r>
        <w:t xml:space="preserve">view proxy obsolescence and stage contingency as mutually exclusive: both can be operating</w:t>
      </w:r>
      <w:r>
        <w:t xml:space="preserve"> </w:t>
      </w:r>
      <w:r>
        <w:t xml:space="preserve">jointly. This study flags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read not as an anomaly, but as a wave-specific compression of</w:t>
      </w:r>
      <w:r>
        <w:t xml:space="preserve"> </w:t>
      </w:r>
      <w:r>
        <w:t xml:space="preserve">the foundational digital-adoption channel under transitional infrastructure conditions. Even where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This study treats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w:t>
      </w:r>
      <w:r>
        <w:t xml:space="preserve"> </w:t>
      </w:r>
      <m:oMath>
        <m:r>
          <m:rPr>
            <m:sty m:val="p"/>
          </m:rPr>
          <m:t>×</m:t>
        </m:r>
      </m:oMath>
      <w:r>
        <w:t xml:space="preserve"> </w:t>
      </w:r>
      <w:r>
        <w:t xml:space="preserve">focal interaction test detects only the DAI direct shifts as cross-wavedistinguishable; the FSTS curvature and the</w:t>
      </w:r>
      <w:r>
        <w:t xml:space="preserve"> </w:t>
      </w:r>
      <m:oMath>
        <m:r>
          <m:rPr>
            <m:nor/>
            <m:sty m:val="p"/>
          </m:rPr>
          <m:t>FSTS</m:t>
        </m:r>
        <m:r>
          <m:rPr>
            <m:sty m:val="p"/>
          </m:rPr>
          <m:t>×</m:t>
        </m:r>
        <m:r>
          <m:rPr>
            <m:nor/>
            <m:sty m:val="p"/>
          </m:rPr>
          <m:t>DAI</m:t>
        </m:r>
      </m:oMath>
      <w:r>
        <w:t xml:space="preserve"> </w:t>
      </w:r>
      <w:r>
        <w:t xml:space="preserve">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This study does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7"/>
    <w:bookmarkStart w:id="68" w:name="managerial-implications"/>
    <w:p>
      <w:pPr>
        <w:pStyle w:val="Heading3"/>
      </w:pPr>
      <w:r>
        <w:t xml:space="preserve">5.4 Managerial implications</w:t>
      </w:r>
    </w:p>
    <w:p>
      <w:pPr>
        <w:pStyle w:val="FirstParagraph"/>
      </w:pPr>
      <w:r>
        <w:t xml:space="preserve">The managerial implications below should be read as</w:t>
      </w:r>
      <w:r>
        <w:t xml:space="preserve"> </w:t>
      </w:r>
      <w:r>
        <w:rPr>
          <w:iCs/>
          <w:i/>
        </w:rPr>
        <w:t xml:space="preserve">associational stage characterizations</w:t>
      </w:r>
      <w:r>
        <w:t xml:space="preserve"> </w:t>
      </w:r>
      <w:r>
        <w:t xml:space="preserve">given the cross-sectional WBES design, not as causal cost-of-capital optimisation. The stage thresholds (FSTS = 0, FSTS = 30%, FSTS = 39–46%) are anchored at point estimates that carry meaningful uncertainty (the turning-point 95% CIs span roughly 30–50% FSTS in pooled M2), so the qualitative stage logic, composition of capability investment shifts with relative position on the I-P curve, is more robust than any specific FSTS boundary. With this caveat, the managerial implication is not that firms should invest less in digitalisation, but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to FSTS &gt; 0) and the inverted-U turning-point band at approximately 39–46% FSTS. Read together, the step-function structure at the participation margin and the Tier-1 saturation of website-based digital presence imply a threshold-conditioned capital-allocation map for Vietnamese SME managers, one that translates the wave-specific coefficient patterns into stage-appropriate priorities.</w:t>
      </w:r>
    </w:p>
    <w:p>
      <w:pPr>
        <w:pStyle w:val="BodyText"/>
      </w:pPr>
      <w:r>
        <w:rPr>
          <w:iCs/>
          <w:i/>
        </w:rPr>
        <w:t xml:space="preserve">Stage 1,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Approaching the turning-point band (FSTS</w:t>
      </w:r>
      <w:r>
        <w:rPr>
          <w:iCs/>
          <w:i/>
        </w:rPr>
        <w:t xml:space="preserve"> </w:t>
      </w:r>
      <m:oMath>
        <m:r>
          <m:rPr>
            <m:sty m:val="p"/>
          </m:rPr>
          <m:t>≈</m:t>
        </m:r>
      </m:oMath>
      <w:r>
        <w:rPr>
          <w:iCs/>
          <w:i/>
        </w:rPr>
        <w:t xml:space="preserve"> </w:t>
      </w:r>
      <w:r>
        <w:rPr>
          <w:iCs/>
          <w:i/>
        </w:rPr>
        <w:t xml:space="preserve">30–46 %).</w:t>
      </w:r>
      <w:r>
        <w:t xml:space="preserve"> </w:t>
      </w:r>
      <w:r>
        <w:t xml:space="preserve">The TCI direct association (pooled</w:t>
      </w:r>
      <w:r>
        <w:t xml:space="preserve"> </w:t>
      </w:r>
      <m:oMath>
        <m:r>
          <m:t>β</m:t>
        </m:r>
      </m:oMath>
      <w:r>
        <w:t xml:space="preserve"> </w:t>
      </w:r>
      <w:r>
        <w:t xml:space="preserve">= 0.179, p &lt;.001; instrumented</w:t>
      </w:r>
      <w:r>
        <w:t xml:space="preserve"> </w:t>
      </w:r>
      <m:oMath>
        <m:r>
          <m:t>β</m:t>
        </m:r>
      </m:oMath>
      <w:r>
        <w:t xml:space="preserve"> </w:t>
      </w:r>
      <w:r>
        <w:t xml:space="preserve">= 1.639) and the curvature-flattening role of TCI moderation (M3 joint p =.003 pooled) imply that the binding productivity friction in this band is the coordination ceiling that foreign-technology and standards capability is most effective at relaxing. Capital expenditure should therefore tilt toward TCI-deepening investments, foreign-licensed technology, formal quality-certification systems, process integration with foreign principals,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Beyond the turning point (FSTS &gt; ~46 %).</w:t>
      </w:r>
      <w:r>
        <w:t xml:space="preserve"> </w:t>
      </w:r>
      <w:r>
        <w:t xml:space="preserve">The negative</w:t>
      </w:r>
      <w:r>
        <w:t xml:space="preserve"> </w:t>
      </w:r>
      <m:oMath>
        <m:r>
          <m:rPr>
            <m:nor/>
            <m:sty m:val="p"/>
          </m:rPr>
          <m:t>FSTS</m:t>
        </m:r>
        <m:r>
          <m:rPr>
            <m:sty m:val="p"/>
          </m:rPr>
          <m:t>×</m:t>
        </m:r>
        <m:sSub>
          <m:e>
            <m:r>
              <m:rPr>
                <m:nor/>
                <m:sty m:val="p"/>
              </m:rPr>
              <m:t>DAI</m:t>
            </m:r>
          </m:e>
          <m:sub>
            <m:r>
              <m:t>z</m:t>
            </m:r>
          </m:sub>
        </m:sSub>
      </m:oMath>
      <w:r>
        <w:t xml:space="preserve"> </w:t>
      </w:r>
      <w:r>
        <w:t xml:space="preserve">interaction observed in 2023 (</w:t>
      </w:r>
      <m:oMath>
        <m:r>
          <m:t>β</m:t>
        </m:r>
      </m:oMath>
      <w:r>
        <w:t xml:space="preserve"> </w:t>
      </w:r>
      <w:r>
        <w:t xml:space="preserve">= -0.912, p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w:t>
      </w:r>
      <w:r>
        <w:t xml:space="preserve"> </w:t>
      </w:r>
      <m:oMath>
        <m:sSub>
          <m:e>
            <m:r>
              <m:rPr>
                <m:nor/>
                <m:sty m:val="p"/>
              </m:rPr>
              <m:t>DAI</m:t>
            </m:r>
          </m:e>
          <m:sub>
            <m:r>
              <m:t>r</m:t>
            </m:r>
          </m:sub>
        </m:sSub>
      </m:oMath>
      <w:r>
        <w:t xml:space="preserve">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8"/>
    <w:bookmarkStart w:id="69" w:name="policy-implications"/>
    <w:p>
      <w:pPr>
        <w:pStyle w:val="Heading3"/>
      </w:pPr>
      <w:r>
        <w:t xml:space="preserve">5.5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69"/>
    <w:bookmarkEnd w:id="70"/>
    <w:bookmarkStart w:id="71" w:name="limitations-and-future-research"/>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This design cannot identify within-firm trajectories over time, nor net out time-invariant unobserved heterogeneity at the firm level, so causal attribution for any estimated coefficient remains out of reach.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w:t>
      </w:r>
      <w:r>
        <w:t xml:space="preserve"> </w:t>
      </w:r>
      <m:oMath>
        <m:sSub>
          <m:e>
            <m:r>
              <m:rPr>
                <m:nor/>
                <m:sty m:val="p"/>
              </m:rPr>
              <m:t>DAI</m:t>
            </m:r>
          </m:e>
          <m:sub>
            <m:r>
              <m:t>z</m:t>
            </m:r>
          </m:sub>
        </m:sSub>
      </m:oMath>
      <w:r>
        <w:t xml:space="preserve"> </w:t>
      </w:r>
      <w:r>
        <w:t xml:space="preserve">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 The Paternoster et al. (1998) z-tests indicate that the drop in</w:t>
      </w:r>
      <w:r>
        <w:t xml:space="preserve"> </w:t>
      </w:r>
      <m:oMath>
        <m:sSub>
          <m:e>
            <m:r>
              <m:rPr>
                <m:nor/>
                <m:sty m:val="p"/>
              </m:rPr>
              <m:t>DAI</m:t>
            </m:r>
          </m:e>
          <m:sub>
            <m:r>
              <m:t>z</m:t>
            </m:r>
          </m:sub>
        </m:sSub>
      </m:oMath>
      <w:r>
        <w:t xml:space="preserve"> </w:t>
      </w:r>
      <w:r>
        <w:t xml:space="preserve">between 2009 and 2015 (z = 3.353, p &lt;.001)</w:t>
      </w:r>
      <w:r>
        <w:t xml:space="preserve"> </w:t>
      </w:r>
      <w:r>
        <w:t xml:space="preserve">and its recovery between 2015 and 2023 (z = -2.051, p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71"/>
    <w:bookmarkStart w:id="72" w:name="conclusion"/>
    <w:p>
      <w:pPr>
        <w:pStyle w:val="Heading2"/>
      </w:pPr>
      <w:r>
        <w:t xml:space="preserve">7. Conclusion</w:t>
      </w:r>
    </w:p>
    <w:p>
      <w:pPr>
        <w:pStyle w:val="FirstParagraph"/>
      </w:pPr>
      <w:r>
        <w:t xml:space="preserve">This study revisits the internationalisation–performance relationship in Vietnam, treating foreign-technology / standards capability as the primary capability construct and retaining a single-item website-presence indicator only as a baseline digital-presence control. Comparing pooled with wave-specific evidence across the 2009 / 2015 / 2023 WBES waves lets it weigh the structural durability of the I–P threshold against the wave-level identification robustness of each capability dimension.</w:t>
      </w:r>
    </w:p>
    <w:p>
      <w:pPr>
        <w:pStyle w:val="BodyText"/>
      </w:pPr>
      <w:r>
        <w:t xml:space="preserve">The findings indicate that the internationalisation–performance relationship is non-monotonic in the full sample, that a participation-and-intensity structure drives the pattern rather than strong within-exporter curvature alone, and, critically, that the inverted-U turning point is structurally durable. The threshold range clusters within a narrow ~7-percentage-point band (39.3–46.2 %) across 14 years of major institutional change: WTO accession, the Global Financial Crisis, the COVID-19 supply-chain disruption, and the diffusion of digital-payment infrastructure. Such durability points to deep firm-level constraints, coordination capacity, contract enforcement, and trade-finance access, that move more slowly than the wider operating environment.</w:t>
      </w:r>
    </w:p>
    <w:p>
      <w:pPr>
        <w:pStyle w:val="BodyText"/>
      </w:pPr>
      <w:r>
        <w:t xml:space="preserve">The results also suggest that technological capability and the baseline website-presence indicator are not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w:t>
      </w:r>
      <w:r>
        <w:t xml:space="preserve"> </w:t>
      </w:r>
      <m:oMath>
        <m:sSub>
          <m:e>
            <m:r>
              <m:rPr>
                <m:nor/>
                <m:sty m:val="p"/>
              </m:rPr>
              <m:t>DAI</m:t>
            </m:r>
          </m:e>
          <m:sub>
            <m:r>
              <m:t>z</m:t>
            </m:r>
          </m:sub>
        </m:sSub>
      </m:oMath>
      <w:r>
        <w:t xml:space="preserve"> </w:t>
      </w:r>
      <w:r>
        <w:t xml:space="preserve">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that are not currently available cross-wave in the WBES Vietnam instrument.</w:t>
      </w:r>
    </w:p>
    <w:bookmarkEnd w:id="72"/>
    <w:bookmarkStart w:id="73" w:name="conflict-of-interest"/>
    <w:p>
      <w:pPr>
        <w:pStyle w:val="Heading2"/>
      </w:pPr>
      <w:r>
        <w:t xml:space="preserve">Conflict of interest</w:t>
      </w:r>
    </w:p>
    <w:p>
      <w:pPr>
        <w:pStyle w:val="FirstParagraph"/>
      </w:pPr>
      <w:r>
        <w:t xml:space="preserve">The authors declare no conflict of interest.</w:t>
      </w:r>
    </w:p>
    <w:bookmarkEnd w:id="73"/>
    <w:bookmarkStart w:id="74"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4"/>
    <w:bookmarkStart w:id="75"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5"/>
    <w:bookmarkStart w:id="7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6"/>
    <w:bookmarkStart w:id="7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7"/>
    <w:bookmarkStart w:id="7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8"/>
    <w:bookmarkStart w:id="79"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forthcoming). The World Bank.</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forthcoming). The World Bank.</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2026-06-02T19:37:54Z</dcterms:created>
  <dcterms:modified xsi:type="dcterms:W3CDTF">2026-06-02T19:37:54Z</dcterms:modified>
</cp:coreProperties>
</file>

<file path=docProps/custom.xml><?xml version="1.0" encoding="utf-8"?>
<Properties xmlns="http://schemas.openxmlformats.org/officeDocument/2006/custom-properties" xmlns:vt="http://schemas.openxmlformats.org/officeDocument/2006/docPropsVTypes"/>
</file>