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1"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t xml:space="preserve"> </w:t>
      </w:r>
      <w:r>
        <w:rPr>
          <w:bCs/>
          <w:b/>
        </w:rPr>
        <w:t xml:space="preserve">Target journal:</w:t>
      </w:r>
      <w:r>
        <w:t xml:space="preserve"> </w:t>
      </w:r>
      <w:r>
        <w:t xml:space="preserve">Journal of International Business Studies (JIBS)</w:t>
      </w:r>
      <w:r>
        <w:t xml:space="preserve"> </w:t>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Research on the internationalization–performance (I–P) relationship has largely settled whether it is non-linear; the unresolved question is what determines where its optimum falls. This study develops and test a multi-level account in which the inverted-U is universal in form but jointly conditioned by institutional regime and digital capability: regime governs amplitude; digital capability reshapes the curve as a partial substitute for institutional strength. Using harmonised World Bank Enterprise Survey microdata (N = 82,302; 45 economies; 98 country-year waves, 2003–2025) spanning all six Institutional Context Regime Variation (ICRV) groups, the analysis estimates hierarchical OLS models. The I–P relationship is robustly inverted-U with a turning point near 37% export intensity (Lind–Mehlum p &lt;.001). Concavity deepens as institutional quality declines, the over-internationalisation penalty is sharpest in frontier and vulnerable regimes. Digital adoption both raises performance and reshapes the curve; its reshaping potency is significantly stronger in weaker-institution regimes (</w:t>
      </w:r>
      <m:oMath>
        <m:r>
          <m:rPr>
            <m:nor/>
            <m:sty m:val="p"/>
          </m:rPr>
          <m:t>DAI</m:t>
        </m:r>
        <m:r>
          <m:rPr>
            <m:sty m:val="p"/>
          </m:rPr>
          <m:t>×</m:t>
        </m:r>
        <m:r>
          <m:rPr>
            <m:nor/>
            <m:sty m:val="p"/>
          </m:rPr>
          <m:t>ICRV</m:t>
        </m:r>
      </m:oMath>
      <w:r>
        <w:t xml:space="preserve"> </w:t>
      </w:r>
      <w:r>
        <w:t xml:space="preserve">p =.049), consistent with digital-for-institutional substitution. The account resolves the fragmented Asian I–P literature: divergent country findings locate firms at different positions on a single optimum.</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pPr>
        <w:pStyle w:val="BodyText"/>
      </w:pPr>
      <w:r>
        <w:rPr>
          <w:bCs/>
          <w:b/>
        </w:rPr>
        <w:t xml:space="preserve">JEL classification:</w:t>
      </w:r>
      <w:r>
        <w:t xml:space="preserve"> </w:t>
      </w:r>
      <w:r>
        <w:t xml:space="preserve">F23 (multinational firms; international business); O33 (technological change: choices and consequences); O17 (formal and informal sectors; institutional arrangements); D22 (firm behaviour: empirical analysis); L25 (firm performance); O53 (economywide country studies: Asia including Middle East).</w:t>
      </w:r>
    </w:p>
    <w:p>
      <w:pPr>
        <w:pStyle w:val="BodyText"/>
      </w:pPr>
      <w:r>
        <w:rPr>
          <w:bCs/>
          <w:b/>
        </w:rPr>
        <w:t xml:space="preserve">Paper type:</w:t>
      </w:r>
      <w:r>
        <w:t xml:space="preserve"> </w:t>
      </w:r>
      <w:r>
        <w:t xml:space="preserve">Research article (multi-country empirical)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This study pools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The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The contributions of this study are theoretical, not merely empirical. First, this study advancess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this study theorises and tests</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=.049), positioning foundational digital capability as a partial substitute for institutional infrastructure in converting exports into performance, a multi-economy extension of the institutional-voids logic (Khanna &amp; Palepu, 1997) into the digital domain. Third, this study formalises the Institutional Context Regime Variation (ICRV) framework as a firm-relevant contingency construct that orders economies jointly by institutional capability and exposure to resource vulnerability, and shows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This study draws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This study integrates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The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=.545). For Singapore (companion study), the relationship is predominantly positive with a very late turning point (~82%), consistent with near-monotonic returns in a high-institutional, digitally saturated economy. Pooled across a much larger and institutionally heterogeneous sample, this study expects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this study expects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beyond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This study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this study expects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this study flags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this study returns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This study expects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This study operationalises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this study states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This study expects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rPr>
          <w:bCs/>
          <w:b/>
        </w:rPr>
        <w:t xml:space="preserve">Companion-paper disclosure.</w:t>
      </w:r>
      <w:r>
        <w:t xml:space="preserve"> </w:t>
      </w:r>
      <w:r>
        <w:t xml:space="preserve">Throughout the paper this study makes repeated reference to</w:t>
      </w:r>
      <w:r>
        <w:t xml:space="preserve"> </w:t>
      </w:r>
      <w:r>
        <w:t xml:space="preserve">“</w:t>
      </w:r>
      <w:r>
        <w:t xml:space="preserve">the companion Vietnam study,</w:t>
      </w:r>
      <w:r>
        <w:t xml:space="preserve">”</w:t>
      </w:r>
      <w:r>
        <w:t xml:space="preserve"> </w:t>
      </w:r>
      <w:r>
        <w:t xml:space="preserve">“</w:t>
      </w:r>
      <w:r>
        <w:t xml:space="preserve">the companion China study,</w:t>
      </w:r>
      <w:r>
        <w:t xml:space="preserve">”</w:t>
      </w:r>
      <w:r>
        <w:t xml:space="preserve"> </w:t>
      </w:r>
      <w:r>
        <w:t xml:space="preserve">and</w:t>
      </w:r>
      <w:r>
        <w:t xml:space="preserve"> </w:t>
      </w:r>
      <w:r>
        <w:t xml:space="preserve">“</w:t>
      </w:r>
      <w:r>
        <w:t xml:space="preserve">the companion Singapore study.</w:t>
      </w:r>
      <w:r>
        <w:t xml:space="preserve">”</w:t>
      </w:r>
      <w:r>
        <w:t xml:space="preserve"> </w:t>
      </w:r>
      <w:r>
        <w:t xml:space="preserve">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This study flags the relationship rather than conceal it so that readers may interpret the cross-paper consistency claims with appropriate caution: the country comparators are drawn from the present study’s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This study uses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This study adopts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this study excludes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The analysis estimates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The analysis reports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this study includes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the analysis reports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this study adopts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this study records as a boundary on causal interpretation.</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&lt;.001) and</w:t>
      </w:r>
      <w:r>
        <w:t xml:space="preserve"> </w:t>
      </w:r>
      <m:oMath>
        <m:sSub>
          <m:e>
            <m:r>
              <m:t>β</m:t>
            </m:r>
          </m:e>
          <m:sub>
            <m:r>
              <m:t>2</m:t>
            </m:r>
          </m:sub>
        </m:sSub>
      </m:oMath>
      <w:r>
        <w:t xml:space="preserve"> </w:t>
      </w:r>
      <w:r>
        <w:t xml:space="preserve">= −1.630 (p &lt;.001),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&lt;.001), confirming a positive ascending limb; (C2)</w:t>
      </w:r>
      <w:r>
        <w:t xml:space="preserve"> </w:t>
      </w:r>
      <m:oMath>
        <m:sSub>
          <m:e>
            <m:r>
              <m:t>β</m:t>
            </m:r>
          </m:e>
          <m:sub>
            <m:r>
              <m:t>2</m:t>
            </m:r>
          </m:sub>
        </m:sSub>
      </m:oMath>
      <w:r>
        <w:t xml:space="preserve"> </w:t>
      </w:r>
      <w:r>
        <w:t xml:space="preserve">= −1.630 (p &lt;.001),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&lt;.001). The inverted-U remains significant when controls are added (M3: TP = 34.1%, LM p &lt;.001) and when country-year fixed effects absorb all unobserved time-varying country heterogeneity (M5: TP = 39.5%, LM p &lt;.001, adj</w:t>
      </w:r>
      <m:oMath>
        <m:sSup>
          <m:e>
            <m:r>
              <m:t>R</m:t>
            </m:r>
          </m:e>
          <m:sup>
            <m:r>
              <m:t>2</m:t>
            </m:r>
          </m:sup>
        </m:sSup>
      </m:oMath>
      <w:r>
        <w:t xml:space="preserve"> </w:t>
      </w:r>
      <w:r>
        <w:t xml:space="preserve">=.671). The consistency of the turning point across M2, M3, and M5, ranging from 34.1% to 39.5%, provides strong evidence that the inverted-U is not an artefact of omitted country-level confounders. The inverted-U is also confirmed in the full three-way moderation model M11 (TP = 25.7%, LM p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&lt;.001) raises adj</w:t>
      </w:r>
      <m:oMath>
        <m:sSup>
          <m:e>
            <m:r>
              <m:t>R</m:t>
            </m:r>
          </m:e>
          <m:sup>
            <m:r>
              <m:t>2</m:t>
            </m:r>
          </m:sup>
        </m:sSup>
      </m:oMath>
      <w:r>
        <w:t xml:space="preserve"> </w:t>
      </w:r>
      <w:r>
        <w:t xml:space="preserve">from.017 to.027.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=.077)</w:t>
      </w:r>
    </w:p>
    <w:p>
      <w:pPr>
        <w:pStyle w:val="FirstParagraph"/>
      </w:pPr>
      <w:r>
        <w:t xml:space="preserve">The joint F-test for the two TCI interaction terms is not significant across M7–M9. The inverted-U remains confirmed in M7 (TP = 34.2%, LM p &lt;.001).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&lt;.001,</w:t>
      </w:r>
      <w:r>
        <w:t xml:space="preserve"> </w:t>
      </w:r>
      <w:r>
        <w:rPr>
          <w:bCs/>
          <w:b/>
          <w:iCs/>
          <w:i/>
        </w:rPr>
        <w:t xml:space="preserve">) and</w:t>
      </w:r>
      <w:r>
        <w:rPr>
          <w:bCs/>
          <w:b/>
          <w:iCs/>
          <w:i/>
        </w:rPr>
        <w:t xml:space="preserve"> </w:t>
      </w:r>
      <m:oMath>
        <m:sSup>
          <m:e>
            <m:r>
              <m:rPr>
                <m:nor/>
                <m:sty m:val="p"/>
              </m:rPr>
              <m:t>FSTS</m:t>
            </m:r>
          </m:e>
          <m:sup>
            <m:r>
              <m:t>2</m:t>
            </m:r>
          </m:sup>
        </m:sSup>
        <m:r>
          <m:rPr>
            <m:sty m:val="p"/>
          </m:rPr>
          <m:t>×</m:t>
        </m:r>
        <m:r>
          <m:rPr>
            <m:nor/>
            <m:sty m:val="p"/>
          </m:rPr>
          <m:t>DAI</m:t>
        </m:r>
      </m:oMath>
      <w:r>
        <w:rPr>
          <w:bCs/>
          <w:b/>
          <w:iCs/>
          <w:i/>
        </w:rPr>
        <w:t xml:space="preserve"> </w:t>
      </w:r>
      <w:r>
        <w:rPr>
          <w:bCs/>
          <w:b/>
          <w:iCs/>
          <w:i/>
        </w:rPr>
        <w:t xml:space="preserve">= +0.726 (p =.002,</w:t>
      </w:r>
      <w:r>
        <w:rPr>
          <w:bCs/>
          <w:b/>
          <w:iCs/>
          <w:i/>
        </w:rPr>
        <w:t xml:space="preserve"> </w:t>
      </w:r>
      <w:r>
        <w:rPr>
          <w:iCs/>
          <w:i/>
        </w:rPr>
        <w:t xml:space="preserve">). The interaction pattern, negative</w:t>
      </w:r>
      <w:r>
        <w:rPr>
          <w:iCs/>
          <w:i/>
        </w:rPr>
        <w:t xml:space="preserve"> </w:t>
      </w:r>
      <m:oMath>
        <m:r>
          <m:rPr>
            <m:nor/>
            <m:sty m:val="p"/>
          </m:rPr>
          <m:t>FSTS</m:t>
        </m:r>
        <m:r>
          <m:rPr>
            <m:sty m:val="p"/>
          </m:rPr>
          <m:t>×</m:t>
        </m:r>
        <m:r>
          <m:rPr>
            <m:nor/>
            <m:sty m:val="p"/>
          </m:rPr>
          <m:t>DAI</m:t>
        </m:r>
      </m:oMath>
      <w:r>
        <w:rPr>
          <w:iCs/>
          <w:i/>
        </w:rPr>
        <w:t xml:space="preserve"> </w:t>
      </w:r>
      <w:r>
        <w:rPr>
          <w:iCs/>
          <w:i/>
        </w:rPr>
        <w:t xml:space="preserve">and positive</w:t>
      </w:r>
      <w:r>
        <w:rPr>
          <w:iCs/>
          <w:i/>
        </w:rPr>
        <w:t xml:space="preserve"> </w:t>
      </w:r>
      <m:oMath>
        <m:sSup>
          <m:e>
            <m:r>
              <m:rPr>
                <m:nor/>
                <m:sty m:val="p"/>
              </m:rPr>
              <m:t>FSTS</m:t>
            </m:r>
          </m:e>
          <m:sup>
            <m:r>
              <m:t>2</m:t>
            </m:r>
          </m:sup>
        </m:sSup>
        <m:r>
          <m:rPr>
            <m:sty m:val="p"/>
          </m:rPr>
          <m:t>×</m:t>
        </m:r>
        <m:r>
          <m:rPr>
            <m:nor/>
            <m:sty m:val="p"/>
          </m:rPr>
          <m:t>DAI</m:t>
        </m:r>
      </m:oMath>
      <w:r>
        <w:rPr>
          <w:iCs/>
          <w:i/>
        </w:rP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rPr>
          <w:iCs/>
          <w:i/>
        </w:rPr>
        <w:t xml:space="preserve"> </w:t>
      </w:r>
      <m:oMath>
        <m:r>
          <m:rPr>
            <m:nor/>
            <m:sty m:val="p"/>
          </m:rPr>
          <m:t>FSTS</m:t>
        </m:r>
        <m:r>
          <m:rPr>
            <m:sty m:val="p"/>
          </m:rPr>
          <m:t>×</m:t>
        </m:r>
        <m:r>
          <m:rPr>
            <m:nor/>
            <m:sty m:val="p"/>
          </m:rPr>
          <m:t>DAI</m:t>
        </m:r>
      </m:oMath>
      <w:r>
        <w:rPr>
          <w:iCs/>
          <w:i/>
        </w:rPr>
        <w:t xml:space="preserve"> </w:t>
      </w:r>
      <w:r>
        <w:rPr>
          <w:iCs/>
          <w:i/>
        </w:rPr>
        <w:t xml:space="preserve">= −0.786 (p &lt;.001,</w:t>
      </w:r>
      <w:r>
        <w:rPr>
          <w:iCs/>
          <w:i/>
        </w:rPr>
        <w:t xml:space="preserve"> </w:t>
      </w:r>
      <w:r>
        <w:rPr>
          <w:bCs/>
          <w:b/>
        </w:rPr>
        <w:t xml:space="preserve">) and</w:t>
      </w:r>
      <w:r>
        <w:rPr>
          <w:bCs/>
          <w:b/>
        </w:rPr>
        <w:t xml:space="preserve"> </w:t>
      </w:r>
      <m:oMath>
        <m:sSup>
          <m:e>
            <m:r>
              <m:rPr>
                <m:nor/>
                <m:sty m:val="p"/>
              </m:rPr>
              <m:t>FSTS</m:t>
            </m:r>
          </m:e>
          <m:sup>
            <m:r>
              <m:t>2</m:t>
            </m:r>
          </m:sup>
        </m:sSup>
        <m:r>
          <m:rPr>
            <m:sty m:val="p"/>
          </m:rPr>
          <m:t>×</m:t>
        </m:r>
        <m:r>
          <m:rPr>
            <m:nor/>
            <m:sty m:val="p"/>
          </m:rPr>
          <m:t>DAI</m:t>
        </m:r>
      </m:oMath>
      <w:r>
        <w:rPr>
          <w:bCs/>
          <w:b/>
        </w:rPr>
        <w:t xml:space="preserve"> </w:t>
      </w:r>
      <w:r>
        <w:rPr>
          <w:bCs/>
          <w:b/>
        </w:rPr>
        <w:t xml:space="preserve">= +0.982 (p &lt;.001,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&lt;.001) and female top manager (</w:t>
      </w:r>
      <m:oMath>
        <m:r>
          <m:t>β</m:t>
        </m:r>
      </m:oMath>
      <w:r>
        <w:t xml:space="preserve"> </w:t>
      </w:r>
      <w:r>
        <w:t xml:space="preserve">= +0.202, p &lt;.001)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=.29) or M11 (</w:t>
      </w:r>
      <m:oMath>
        <m:r>
          <m:t>β</m:t>
        </m:r>
      </m:oMath>
      <w:r>
        <w:t xml:space="preserve"> </w:t>
      </w:r>
      <w:r>
        <w:t xml:space="preserve">= +0.007, p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=.057 in M11 (vs..039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this study tests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this study flags this as a measurement limitation. The primary inverted-U finding should therefore be read as a property of cross-sectional productivity levels, not of firm growth trajectories.</w:t>
      </w:r>
    </w:p>
    <w:p>
      <w:r>
        <w:pict>
          <v:rect style="width:0;height:1.5pt" o:hralign="center" o:hrstd="t" o:hr="t"/>
        </w:pict>
      </w:r>
    </w:p>
    <w:bookmarkEnd w:id="42"/>
    <w:bookmarkEnd w:id="43"/>
    <w:bookmarkStart w:id="51"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The present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this study offers a</w:t>
      </w:r>
      <w:r>
        <w:t xml:space="preserve"> </w:t>
      </w:r>
      <w:r>
        <w:rPr>
          <w:bCs/>
          <w:b/>
        </w:rPr>
        <w:t xml:space="preserve">relocated-optimum reframing</w:t>
      </w:r>
      <w:r>
        <w:t xml:space="preserve"> </w:t>
      </w:r>
      <w:r>
        <w:t xml:space="preserve">of the two-decade debate over the shape of the I–P curve. This study does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the contribution of this study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=.049 estimate should be interpreted with appropriate caution (see Section 5.4).</w:t>
      </w:r>
    </w:p>
    <w:p>
      <w:pPr>
        <w:pStyle w:val="BodyText"/>
      </w:pPr>
      <w:r>
        <w:t xml:space="preserve">Third,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this study operationalises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this study offers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The analysis interprets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=.049 estimate does</w:t>
      </w:r>
      <w:r>
        <w:t xml:space="preserve"> </w:t>
      </w:r>
      <w:r>
        <w:rPr>
          <w:iCs/>
          <w:i/>
        </w:rPr>
        <w:t xml:space="preserve">not</w:t>
      </w:r>
      <w:r>
        <w:t xml:space="preserve"> </w:t>
      </w:r>
      <w:r>
        <w:t xml:space="preserve">survive. The ICRV moderation of curvature (H5, both linear and quadratic interaction terms p &lt;.001) remains robust under any reasonable family-wise correction. This study therefore report the substitution result as a directionally consistent, theoretically anchored but pre-correction borderline finding that motivates targeted replication on a Tier 3–4-capable digital instrument, not as a definitively established estimate. Reading the p =.049 estimate with this caution, this study frames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the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the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the analysis estimates.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3"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3"/>
    <w:bookmarkStart w:id="54" w:name="conflict-of-interest"/>
    <w:p>
      <w:pPr>
        <w:pStyle w:val="Heading2"/>
      </w:pPr>
      <w:r>
        <w:t xml:space="preserve">Conflict of Interest</w:t>
      </w:r>
    </w:p>
    <w:p>
      <w:pPr>
        <w:pStyle w:val="FirstParagraph"/>
      </w:pPr>
      <w:r>
        <w:t xml:space="preserve">The authors declare no conflict of interest.</w:t>
      </w:r>
    </w:p>
    <w:bookmarkEnd w:id="54"/>
    <w:bookmarkStart w:id="5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5"/>
    <w:bookmarkStart w:id="5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underlying WBES data covering 45 Asian and Pacific economies (98 country-year waves). The findings, interpretations, and conclusions expressed in this paper are entirely those of the authors and do not necessarily represent the views of the World Bank Group, its Executive Directors, or the governments they represent.</w:t>
      </w:r>
    </w:p>
    <w:bookmarkEnd w:id="56"/>
    <w:bookmarkStart w:id="57"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M0–M11 model ladder, formatting of the reference list, and assembly of replication-package documentation. All conceptual framing (including the CDCM framework and ICRV regime construct), hypothesis development, empirical analysis, results interpretation, and final wording were authored by the human authors, who take full responsibility for the content of the publication.</w:t>
      </w:r>
    </w:p>
    <w:bookmarkEnd w:id="57"/>
    <w:bookmarkStart w:id="5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8"/>
    <w:bookmarkStart w:id="59"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&lt;.001, ** p &lt;.01, * p &lt;.05, † p &lt;.10. Controls (female_owner, foreign_own_pct, firm_age, ln_size) included in M7–M10 but not reported for space. M11 (N=28,500, Adj</w:t>
      </w:r>
      <m:oMath>
        <m:sSup>
          <m:e>
            <m:r>
              <m:t>R</m:t>
            </m:r>
          </m:e>
          <m:sup>
            <m:r>
              <m:t>2</m:t>
            </m:r>
          </m:sup>
        </m:sSup>
      </m:oMath>
      <w:r>
        <w:t xml:space="preserve">=.057, TP=25.7%, LM p =.026):</w:t>
      </w:r>
      <w:r>
        <w:t xml:space="preserve"> </w:t>
      </w:r>
      <m:oMath>
        <m:r>
          <m:rPr>
            <m:nor/>
            <m:sty m:val="p"/>
          </m:rPr>
          <m:t>DAI</m:t>
        </m:r>
        <m:r>
          <m:rPr>
            <m:sty m:val="p"/>
          </m:rPr>
          <m:t>×</m:t>
        </m:r>
        <m:r>
          <m:rPr>
            <m:nor/>
            <m:sty m:val="p"/>
          </m:rPr>
          <m:t>ICRV</m:t>
        </m:r>
      </m:oMath>
      <w:r>
        <w:t xml:space="preserve">=+0.052</w:t>
      </w:r>
      <w:r>
        <w:rPr>
          <w:iCs/>
          <w:i/>
        </w:rPr>
        <w:t xml:space="preserve">, three-way</w:t>
      </w:r>
      <w:r>
        <w:rPr>
          <w:iCs/>
          <w:i/>
        </w:rPr>
        <w:t xml:space="preserve"> </w:t>
      </w:r>
      <m:oMath>
        <m:r>
          <m:rPr>
            <m:nor/>
            <m:sty m:val="p"/>
          </m:rPr>
          <m:t>FSTS</m:t>
        </m:r>
        <m:r>
          <m:rPr>
            <m:sty m:val="p"/>
          </m:rPr>
          <m:t>×</m:t>
        </m:r>
        <m:r>
          <m:rPr>
            <m:nor/>
            <m:sty m:val="p"/>
          </m:rPr>
          <m:t>DAI</m:t>
        </m:r>
        <m:r>
          <m:rPr>
            <m:sty m:val="p"/>
          </m:rPr>
          <m:t>×</m:t>
        </m:r>
        <m:r>
          <m:rPr>
            <m:nor/>
            <m:sty m:val="p"/>
          </m:rPr>
          <m:t>ICRV</m:t>
        </m:r>
      </m:oMath>
      <w:r>
        <w:rPr>
          <w:iCs/>
          <w:i/>
        </w:rPr>
        <w:t xml:space="preserve">=−0.016 (NS), mgr_experience=+0.022</w:t>
      </w:r>
      <w:r>
        <w:rPr>
          <w:bCs/>
          <w:b/>
        </w:rPr>
        <w:t xml:space="preserve">, FSTS</w:t>
      </w:r>
      <m:oMath>
        <m:r>
          <m:rPr>
            <m:sty m:val="p"/>
          </m:rPr>
          <m:t>×</m:t>
        </m:r>
      </m:oMath>
      <w:r>
        <w:rPr>
          <w:bCs/>
          <w:b/>
        </w:rPr>
        <w:t xml:space="preserve">mgr=+0.007 (NS), mgr_female=+0.210</w:t>
      </w:r>
      <w:r>
        <w:t xml:space="preserve">*, female_owner=+0.122**.</w:t>
      </w:r>
    </w:p>
    <w:p>
      <w:r>
        <w:pict>
          <v:rect style="width:0;height:1.5pt" o:hralign="center" o:hrstd="t" o:hr="t"/>
        </w:pict>
      </w:r>
    </w:p>
    <w:bookmarkEnd w:id="59"/>
    <w:bookmarkStart w:id="60"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2026-06-02T19:37:55Z</dcterms:created>
  <dcterms:modified xsi:type="dcterms:W3CDTF">2026-06-02T19:37:55Z</dcterms:modified>
</cp:coreProperties>
</file>

<file path=docProps/custom.xml><?xml version="1.0" encoding="utf-8"?>
<Properties xmlns="http://schemas.openxmlformats.org/officeDocument/2006/custom-properties" xmlns:vt="http://schemas.openxmlformats.org/officeDocument/2006/docPropsVTypes"/>
</file>