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Author details removed for blind review</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 .002) is not robust: drop-Frontier yields</w:t>
      </w:r>
      <w:r>
        <w:t xml:space="preserve"> </w:t>
      </w:r>
      <w:r>
        <w:rPr>
          <w:iCs/>
          <w:i/>
        </w:rPr>
        <w:t xml:space="preserve">Q</w:t>
      </w:r>
      <w:r>
        <w:t xml:space="preserve">_M = 1.49 (</w:t>
      </w:r>
      <w:r>
        <w:rPr>
          <w:iCs/>
          <w:i/>
        </w:rPr>
        <w:t xml:space="preserve">p</w:t>
      </w:r>
      <w:r>
        <w:t xml:space="preserve"> </w:t>
      </w:r>
      <w:r>
        <w:t xml:space="preserve">= .68);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 .035; PET-PEESE yields</w:t>
      </w:r>
      <w:r>
        <w:t xml:space="preserve"> </w:t>
      </w:r>
      <w:r>
        <w:rPr>
          <w:iCs/>
          <w:i/>
        </w:rPr>
        <w:t xml:space="preserve">r</w:t>
      </w:r>
      <w:r>
        <w:t xml:space="preserve"> </w:t>
      </w:r>
      <w:r>
        <w:t xml:space="preserve">= .061; Vevea-Hedges selection model returns</w:t>
      </w:r>
      <w:r>
        <w:t xml:space="preserve"> </w:t>
      </w:r>
      <w:r>
        <w:rPr>
          <w:iCs/>
          <w:i/>
        </w:rPr>
        <w:t xml:space="preserve">r</w:t>
      </w:r>
      <w:r>
        <w:t xml:space="preserve"> </w:t>
      </w:r>
      <w:r>
        <w:t xml:space="preserve">= .077 with model-based selection evidence (LRT</w:t>
      </w:r>
      <w:r>
        <w:t xml:space="preserve"> </w:t>
      </w:r>
      <w:r>
        <w:rPr>
          <w:iCs/>
          <w:i/>
        </w:rPr>
        <w:t xml:space="preserve">p</w:t>
      </w:r>
      <w:r>
        <w:t xml:space="preserve"> </w:t>
      </w:r>
      <w:r>
        <w:t xml:space="preserve">= .002). True effect is best read as interval [.035, .077],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(Author Citation, 2024 — ICBEF):</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Section 4.3) and the construct-validity restriction of cDAI moderation to the Span+Follow subsample (reported in Section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Section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795 duplicates removed; 1,397 L1 excluded;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identity withheld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Section 3.7).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 .025 and .500)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we interpret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 .012);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 .025 and .500):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 .002), confirming model-based evidence of publication selection. The estimated selection weights are</w:t>
      </w:r>
      <w:r>
        <w:t xml:space="preserve"> </w:t>
      </w:r>
      <w:r>
        <w:rPr>
          <w:iCs/>
          <w:i/>
        </w:rPr>
        <w:t xml:space="preserve">w</w:t>
      </w:r>
      <w:r>
        <w:t xml:space="preserve">[(0, .025]] = 1.000 (reference: one-tailed significant positives) and</w:t>
      </w:r>
      <w:r>
        <w:t xml:space="preserve"> </w:t>
      </w:r>
      <w:r>
        <w:rPr>
          <w:iCs/>
          <w:i/>
        </w:rPr>
        <w:t xml:space="preserve">w</w:t>
      </w:r>
      <w:r>
        <w:t xml:space="preserve">[(.025, .500]]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 .001; Vevea-Hedges LRT</w:t>
      </w:r>
      <w:r>
        <w:t xml:space="preserve"> </w:t>
      </w:r>
      <w:r>
        <w:rPr>
          <w:iCs/>
          <w:i/>
        </w:rPr>
        <w:t xml:space="preserve">p</w:t>
      </w:r>
      <w:r>
        <w:t xml:space="preserve"> </w:t>
      </w:r>
      <w:r>
        <w:t xml:space="preserve">= .002) and that the true population effect lies in the interval bounded by these estimates —</w:t>
      </w:r>
      <w:r>
        <w:t xml:space="preserve"> </w:t>
      </w:r>
      <w:r>
        <w:rPr>
          <w:iCs/>
          <w:i/>
        </w:rPr>
        <w:t xml:space="preserve">r</w:t>
      </w:r>
      <w:r>
        <w:t xml:space="preserve"> </w:t>
      </w:r>
      <w:r>
        <w:t xml:space="preserve">between approximately 0.035 and 0.077 —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 Citation, 2024 — ICBEF).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(Author Citation, 2025 — IntechOpen) on 380 Indian WBES firms documents a negative aggregate DOI coefficient with manager experience and female top-management leadership as positive moderating factors, a pattern consistent with the firm-level-compensating-resources interpretation discussed in Section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Section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Section 5.4 for the full inferential-bound argument).</w:t>
      </w:r>
    </w:p>
    <w:p>
      <w:r>
        <w:pict>
          <v:rect style="width:0;height:1.5pt" o:hralign="center" o:hrstd="t" o:hr="t"/>
        </w:pict>
      </w:r>
    </w:p>
    <w:bookmarkEnd w:id="75"/>
    <w:bookmarkStart w:id="76" w:name="acknowledgements"/>
    <w:p>
      <w:pPr>
        <w:pStyle w:val="Heading2"/>
      </w:pPr>
      <w:r>
        <w:t xml:space="preserve">Acknowledgements</w:t>
      </w:r>
    </w:p>
    <w:p>
      <w:pPr>
        <w:pStyle w:val="FirstParagraph"/>
      </w:pPr>
      <w:r>
        <w:t xml:space="preserve">We thank the authors of the 238 primary studies whose effect sizes are aggregated here; without their original data collection this meta-analysis would not be possible. We also acknowledge methodological guidance from the published works of Borenstein et al. (2021) and Vevea &amp; Woods (2005). For primary studies drawing on World Bank Enterprise Surveys, we thank the Enterprise Analysis Unit of the Development Economics Global Indicators Group of the World Bank for the underlying data infrastructure that enabled multi-country effect-size extraction.</w:t>
      </w:r>
    </w:p>
    <w:bookmarkEnd w:id="76"/>
    <w:bookmarkStart w:id="7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six bias-test methods, formatting of the reference list, and assembly of replication-package documentation. All conceptual framing, hypothesis development, meta-analytic model specification, results interpretation, and final wording were authored by the human authors, who take full responsibility for the content of the publication.</w:t>
      </w:r>
    </w:p>
    <w:bookmarkEnd w:id="77"/>
    <w:bookmarkStart w:id="7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8"/>
    <w:bookmarkStart w:id="79" w:name="competing-interests"/>
    <w:p>
      <w:pPr>
        <w:pStyle w:val="Heading2"/>
      </w:pPr>
      <w:r>
        <w:t xml:space="preserve">Competing Interests</w:t>
      </w:r>
    </w:p>
    <w:p>
      <w:pPr>
        <w:pStyle w:val="FirstParagraph"/>
      </w:pPr>
      <w:r>
        <w:t xml:space="preserve">The authors declare no conflict of interest.</w:t>
      </w:r>
    </w:p>
    <w:bookmarkEnd w:id="79"/>
    <w:bookmarkStart w:id="80"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80"/>
    <w:bookmarkStart w:id="9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81">
        <w:r>
          <w:rPr>
            <w:rStyle w:val="Hyperlink"/>
          </w:rPr>
          <w:t xml:space="preserve">https://doi.org/10.1001/jama.1990.03440100097014</w:t>
        </w:r>
      </w:hyperlink>
    </w:p>
    <w:p>
      <w:pPr>
        <w:pStyle w:val="BodyText"/>
      </w:pPr>
      <w:r>
        <w:t xml:space="preserve">Author Citation (2024, December).</w:t>
      </w:r>
      <w:r>
        <w:t xml:space="preserve"> </w:t>
      </w:r>
      <w:r>
        <w:rPr>
          <w:iCs/>
          <w:i/>
        </w:rPr>
        <w:t xml:space="preserve">Internationalization and firm performance: A meta-analysis review</w:t>
      </w:r>
      <w:r>
        <w:t xml:space="preserve"> </w:t>
      </w:r>
      <w:r>
        <w:t xml:space="preserve">[Paper presentation]. International conference on sustainable development in economics, business, and finance (ICBEF). [Author details removed for blind review.]</w:t>
      </w:r>
    </w:p>
    <w:p>
      <w:pPr>
        <w:pStyle w:val="BodyText"/>
      </w:pPr>
      <w:r>
        <w:t xml:space="preserve">Author Citation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w:t>
      </w:r>
      <w:r>
        <w:t xml:space="preserve"> </w:t>
      </w:r>
      <w:hyperlink r:id="rId82">
        <w:r>
          <w:rPr>
            <w:rStyle w:val="Hyperlink"/>
          </w:rPr>
          <w:t xml:space="preserve">https://doi.org/10.1002/jrsm.5</w:t>
        </w:r>
      </w:hyperlink>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w:t>
      </w:r>
      <w:r>
        <w:t xml:space="preserve"> </w:t>
      </w:r>
      <w:hyperlink r:id="rId83">
        <w:r>
          <w:rPr>
            <w:rStyle w:val="Hyperlink"/>
          </w:rPr>
          <w:t xml:space="preserve">https://doi.org/10.3102/10769986021004299</w:t>
        </w:r>
      </w:hyperlink>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4">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5">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w:t>
      </w:r>
      <w:r>
        <w:t xml:space="preserve"> </w:t>
      </w:r>
      <w:hyperlink r:id="rId86">
        <w:r>
          <w:rPr>
            <w:rStyle w:val="Hyperlink"/>
          </w:rPr>
          <w:t xml:space="preserve">https://doi.org/10.1007/s11121-021-01246-3</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w:t>
      </w:r>
      <w:r>
        <w:t xml:space="preserve"> </w:t>
      </w:r>
      <w:hyperlink r:id="rId87">
        <w:r>
          <w:rPr>
            <w:rStyle w:val="Hyperlink"/>
          </w:rPr>
          <w:t xml:space="preserve">https://doi.org/10.1002/sim.1461</w:t>
        </w:r>
      </w:hyperlink>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w:t>
      </w:r>
      <w:r>
        <w:t xml:space="preserve"> </w:t>
      </w:r>
      <w:hyperlink r:id="rId88">
        <w:r>
          <w:rPr>
            <w:rStyle w:val="Hyperlink"/>
          </w:rPr>
          <w:t xml:space="preserve">https://doi.org/10.1037/met0000011</w:t>
        </w:r>
      </w:hyperlink>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w:t>
      </w:r>
      <w:r>
        <w:t xml:space="preserve"> </w:t>
      </w:r>
      <w:hyperlink r:id="rId89">
        <w:r>
          <w:rPr>
            <w:rStyle w:val="Hyperlink"/>
          </w:rPr>
          <w:t xml:space="preserve">https://doi.org/10.1007/BF02294384</w:t>
        </w:r>
      </w:hyperlink>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9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91"/>
    <w:bookmarkStart w:id="92"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(Section 5.2), construct-validity restriction of cDAI (Section 4.4), drop-Frontier-led ICRV framing (Section 4.3), and a fifth disclosed pre-registration deviation (Section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81" Target="https://doi.org/10.1001/jama.1990.03440100097014" TargetMode="External" /><Relationship Type="http://schemas.openxmlformats.org/officeDocument/2006/relationships/hyperlink" Id="rId82" Target="https://doi.org/10.1002/jrsm.5" TargetMode="External" /><Relationship Type="http://schemas.openxmlformats.org/officeDocument/2006/relationships/hyperlink" Id="rId87" Target="https://doi.org/10.1002/sim.1461" TargetMode="External" /><Relationship Type="http://schemas.openxmlformats.org/officeDocument/2006/relationships/hyperlink" Id="rId89" Target="https://doi.org/10.1007/BF02294384" TargetMode="External" /><Relationship Type="http://schemas.openxmlformats.org/officeDocument/2006/relationships/hyperlink" Id="rId86" Target="https://doi.org/10.1007/s11121-021-01246-3" TargetMode="External" /><Relationship Type="http://schemas.openxmlformats.org/officeDocument/2006/relationships/hyperlink" Id="rId88" Target="https://doi.org/10.1037/met0000011" TargetMode="External" /><Relationship Type="http://schemas.openxmlformats.org/officeDocument/2006/relationships/hyperlink" Id="rId85" Target="https://doi.org/10.1136/bmj.n71" TargetMode="External" /><Relationship Type="http://schemas.openxmlformats.org/officeDocument/2006/relationships/hyperlink" Id="rId83" Target="https://doi.org/10.3102/10769986021004299" TargetMode="External" /><Relationship Type="http://schemas.openxmlformats.org/officeDocument/2006/relationships/hyperlink" Id="rId84" Target="https://doi.org/10.5089/9781513512242.087" TargetMode="External" /><Relationship Type="http://schemas.openxmlformats.org/officeDocument/2006/relationships/hyperlink" Id="rId9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1990.03440100097014" TargetMode="External" /><Relationship Type="http://schemas.openxmlformats.org/officeDocument/2006/relationships/hyperlink" Id="rId82" Target="https://doi.org/10.1002/jrsm.5" TargetMode="External" /><Relationship Type="http://schemas.openxmlformats.org/officeDocument/2006/relationships/hyperlink" Id="rId87" Target="https://doi.org/10.1002/sim.1461" TargetMode="External" /><Relationship Type="http://schemas.openxmlformats.org/officeDocument/2006/relationships/hyperlink" Id="rId89" Target="https://doi.org/10.1007/BF02294384" TargetMode="External" /><Relationship Type="http://schemas.openxmlformats.org/officeDocument/2006/relationships/hyperlink" Id="rId86" Target="https://doi.org/10.1007/s11121-021-01246-3" TargetMode="External" /><Relationship Type="http://schemas.openxmlformats.org/officeDocument/2006/relationships/hyperlink" Id="rId88" Target="https://doi.org/10.1037/met0000011" TargetMode="External" /><Relationship Type="http://schemas.openxmlformats.org/officeDocument/2006/relationships/hyperlink" Id="rId85" Target="https://doi.org/10.1136/bmj.n71" TargetMode="External" /><Relationship Type="http://schemas.openxmlformats.org/officeDocument/2006/relationships/hyperlink" Id="rId83" Target="https://doi.org/10.3102/10769986021004299" TargetMode="External" /><Relationship Type="http://schemas.openxmlformats.org/officeDocument/2006/relationships/hyperlink" Id="rId84" Target="https://doi.org/10.5089/9781513512242.087" TargetMode="External" /><Relationship Type="http://schemas.openxmlformats.org/officeDocument/2006/relationships/hyperlink" Id="rId9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2026-06-01T12:08:37Z</dcterms:created>
  <dcterms:modified xsi:type="dcterms:W3CDTF">2026-06-01T12:08:37Z</dcterms:modified>
</cp:coreProperties>
</file>

<file path=docProps/custom.xml><?xml version="1.0" encoding="utf-8"?>
<Properties xmlns="http://schemas.openxmlformats.org/officeDocument/2006/custom-properties" xmlns:vt="http://schemas.openxmlformats.org/officeDocument/2006/docPropsVTypes"/>
</file>