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t xml:space="preserve">This study examines how technological capability and digital adoption relate to the internationalization–performance (I–P) relationship among firms in Singapore. Singapore is treated as a boundary-case test at the advanced-economy ceiling of the institutional spectrum, which shows how the conventional nonlinear logic behaves when digital infrastructure is near-universally diffused and institutional transaction costs are lowest. Using World Bank Enterprise Survey microdata for Singapore 2023, the analysis distinguishes a Technological Capability Index (TCI), capturing firm-internal capability depth, from a Digital Adoption Index (DAI), capturing foundational digital interfaces. Three findings emerge. Within the observed export-intensity range, the I–P relationship is better characterized as predominantly positive with mild quadratic curvature than as a formally identified inverted-U, with the fitted turning point imprecisely located in a sparsely populated upper tail. Technological capability is positively associated with labour productivity, with no statistically distinguishable TCI moderation under the present design. Digital adoption exhibits no large uniform productivity premium, and its association with productivity strengthens only at higher export intensity. Because we report associations rather than effects, the evidence sharpens the distinction between technological capability and foundational digital adoption; this implies that digital adoption functions more as a contingent scaling resource than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Viewed against the broader institutional spectrum, Singapore represents the high-institution boundary case of what may be termed</w:t>
      </w:r>
      <w:r>
        <w:t xml:space="preserve"> </w:t>
      </w:r>
      <w:r>
        <w:rPr>
          <w:iCs/>
          <w:i/>
        </w:rPr>
        <w:t xml:space="preserve">internationalization-to-scale</w:t>
      </w:r>
      <w:r>
        <w:t xml:space="preserve">: where transaction costs are lowest and contract enforcement is strongest, exporting functions less as a hazardous escape from a constraining home environment and more as a route to optimizing margins, so that returns to international expansion remain near-monotonically positive and the turning point, if any, is pushed very late into the export-intensity distribution. This contrasts with weak-institution settings, where firms may internationalize to survive and the right-side decline materializes earlier.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w:t>
      </w:r>
      <w:r>
        <w:t xml:space="preserve"> </w:t>
      </w:r>
      <m:oMath>
        <m:r>
          <m:t>β</m:t>
        </m:r>
      </m:oMath>
      <w:r>
        <w:t xml:space="preserve">=+3.119, p = .005)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w:t>
      </w:r>
      <w:r>
        <w:t xml:space="preserve"> </w:t>
      </w:r>
      <m:oMath>
        <m:r>
          <m:rPr>
            <m:nor/>
            <m:sty m:val="p"/>
          </m:rPr>
          <m:t>DAI</m:t>
        </m:r>
        <m:r>
          <m:rPr>
            <m:sty m:val="p"/>
          </m:rPr>
          <m:t>×</m:t>
        </m:r>
        <m:r>
          <m:rPr>
            <m:nor/>
            <m:sty m:val="p"/>
          </m:rPr>
          <m:t>FSTS</m:t>
        </m:r>
      </m:oMath>
      <w:r>
        <w:t xml:space="preserve"> </w:t>
      </w:r>
      <w:r>
        <w:t xml:space="preserve">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.18) and within DAI (mean r = .21)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w:t>
      </w:r>
      <w:r>
        <w:t xml:space="preserve"> </w:t>
      </w:r>
      <m:oMath>
        <m:sSup>
          <m:e>
            <m:r>
              <m:t>f</m:t>
            </m:r>
          </m:e>
          <m:sup>
            <m:r>
              <m:t>2</m:t>
            </m:r>
          </m:sup>
        </m:sSup>
      </m:oMath>
      <w:r>
        <w:t xml:space="preserve"> </w:t>
      </w:r>
      <w:r>
        <w:t xml:space="preserve">(Aguinis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(p = .056, approaching conventional significance thresholds).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w:t>
      </w:r>
      <m:oMath>
        <m:r>
          <m:t>β</m:t>
        </m:r>
      </m:oMath>
      <w:r>
        <w:t xml:space="preserve"> </w:t>
      </w:r>
      <w:r>
        <w:t xml:space="preserve">= 0.168, SE = 0.040, p &lt; .001). Model fit also improves relative to the quadratic baseline, with</w:t>
      </w:r>
      <w:r>
        <w:t xml:space="preserve"> </w:t>
      </w:r>
      <m:oMath>
        <m:sSup>
          <m:e>
            <m:r>
              <m:t>R</m:t>
            </m:r>
          </m:e>
          <m:sup>
            <m:r>
              <m:t>2</m:t>
            </m:r>
          </m:sup>
        </m:sSup>
      </m:oMath>
      <w:r>
        <w:t xml:space="preserve"> </w:t>
      </w:r>
      <w:r>
        <w:t xml:space="preserve">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w:t>
      </w:r>
      <m:oMath>
        <m:r>
          <m:t>β</m:t>
        </m:r>
      </m:oMath>
      <w:r>
        <w:t xml:space="preserve"> </w:t>
      </w:r>
      <w:r>
        <w:t xml:space="preserve">=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w:t>
      </w:r>
      <m:oMath>
        <m:r>
          <m:t>β</m:t>
        </m:r>
      </m:oMath>
      <w:r>
        <w:t xml:space="preserve"> </w:t>
      </w:r>
      <w:r>
        <w:t xml:space="preserve">= 0.104, SE = 0.038, p = .007). However, once TCI is included alongside DAI in Model M7, the DAI coefficient attenuates to</w:t>
      </w:r>
      <w:r>
        <w:t xml:space="preserve"> </w:t>
      </w:r>
      <m:oMath>
        <m:r>
          <m:t>β</m:t>
        </m:r>
      </m:oMath>
      <w:r>
        <w:t xml:space="preserve"> </w:t>
      </w:r>
      <w:r>
        <w:t xml:space="preserve">=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w:t>
      </w:r>
      <m:oMath>
        <m:r>
          <m:t>β</m:t>
        </m:r>
      </m:oMath>
      <w:r>
        <w:t xml:space="preserve"> </w:t>
      </w:r>
      <w:r>
        <w:t xml:space="preserve">= 0.019, p = .705), the linear interaction with FSTS is negative and marginal (</w:t>
      </w:r>
      <m:oMath>
        <m:r>
          <m:t>β</m:t>
        </m:r>
      </m:oMath>
      <w:r>
        <w:t xml:space="preserve"> </w:t>
      </w:r>
      <w:r>
        <w:t xml:space="preserve">= −1.177, p = .083), and the quadratic interaction term is positive and statistically significant (</w:t>
      </w:r>
      <m:oMath>
        <m:r>
          <m:t>β</m:t>
        </m:r>
      </m:oMath>
      <w:r>
        <w:t xml:space="preserve"> </w:t>
      </w:r>
      <w:r>
        <w:t xml:space="preserve">= 3.119, SE = 1.124, p = .005). Model M8 also produces the highest explanatory power among the main specifications, with</w:t>
      </w:r>
      <w:r>
        <w:t xml:space="preserve"> </w:t>
      </w:r>
      <m:oMath>
        <m:sSup>
          <m:e>
            <m:r>
              <m:t>R</m:t>
            </m:r>
          </m:e>
          <m:sup>
            <m:r>
              <m:t>2</m:t>
            </m:r>
          </m:sup>
        </m:sSup>
      </m:oMath>
      <w:r>
        <w:t xml:space="preserve"> </w:t>
      </w:r>
      <w:r>
        <w:t xml:space="preserve">= 0.211 and adjusted</w:t>
      </w:r>
      <w:r>
        <w:t xml:space="preserve"> </w:t>
      </w:r>
      <m:oMath>
        <m:sSup>
          <m:e>
            <m:r>
              <m:t>R</m:t>
            </m:r>
          </m:e>
          <m:sup>
            <m:r>
              <m:t>2</m:t>
            </m:r>
          </m:sup>
        </m:sSup>
      </m:oMath>
      <w:r>
        <w:t xml:space="preserve"> </w:t>
      </w:r>
      <w:r>
        <w:t xml:space="preserve">=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w:t>
      </w:r>
      <m:oMath>
        <m:sSub>
          <m:e>
            <m:r>
              <m:t>β</m:t>
            </m:r>
          </m:e>
          <m:sub>
            <m:r>
              <m:t>1</m:t>
            </m:r>
          </m:sub>
        </m:sSub>
      </m:oMath>
      <w:r>
        <w:t xml:space="preserve">/2</w:t>
      </w:r>
      <m:oMath>
        <m:sSub>
          <m:e>
            <m:r>
              <m:t>β</m:t>
            </m:r>
          </m:e>
          <m:sub>
            <m:r>
              <m:t>2</m:t>
            </m:r>
          </m:sub>
        </m:sSub>
      </m:oMath>
      <w:r>
        <w:t xml:space="preserve"> </w:t>
      </w:r>
      <w:r>
        <w:t xml:space="preserve">on mean-centered FSTS</w:t>
      </w:r>
      <w:r>
        <w:t xml:space="preserve"> </w:t>
      </w:r>
      <m:oMath>
        <m:r>
          <m:rPr>
            <m:sty m:val="p"/>
          </m:rPr>
          <m:t>≈</m:t>
        </m:r>
      </m:oMath>
      <w:r>
        <w:t xml:space="preserve"> </w:t>
      </w:r>
      <w:r>
        <w:t xml:space="preserve">77.8%; adding back the sample mean of 0.045 gives</w:t>
      </w:r>
      <w:r>
        <w:t xml:space="preserve"> </w:t>
      </w:r>
      <m:oMath>
        <m:r>
          <m:rPr>
            <m:sty m:val="p"/>
          </m:rPr>
          <m:t>≈</m:t>
        </m:r>
      </m:oMath>
      <w:r>
        <w:t xml:space="preserve"> </w:t>
      </w:r>
      <w:r>
        <w:t xml:space="preserve">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w:t>
      </w:r>
      <w:r>
        <w:t xml:space="preserve"> </w:t>
      </w:r>
      <m:oMath>
        <m:r>
          <m:rPr>
            <m:sty m:val="p"/>
          </m:rPr>
          <m:t>≈</m:t>
        </m:r>
      </m:oMath>
      <w:r>
        <w:t xml:space="preserve"> </w:t>
      </w:r>
      <w:r>
        <w:t xml:space="preserve">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w:t>
      </w:r>
      <w:r>
        <w:t xml:space="preserve"> </w:t>
      </w:r>
      <m:oMath>
        <m:sSup>
          <m:e>
            <m:r>
              <m:t>f</m:t>
            </m:r>
          </m:e>
          <m:sup>
            <m:r>
              <m:t>2</m:t>
            </m:r>
          </m:sup>
        </m:sSup>
      </m:oMath>
      <w:r>
        <w:t xml:space="preserve"> </w:t>
      </w:r>
      <w:r>
        <w:t xml:space="preserve">for the TCI direct effect (comparing M2 with M5) is approximately 0.036, in the small-to-medium range; Cohen’s</w:t>
      </w:r>
      <w:r>
        <w:t xml:space="preserve"> </w:t>
      </w:r>
      <m:oMath>
        <m:sSup>
          <m:e>
            <m:r>
              <m:t>f</m:t>
            </m:r>
          </m:e>
          <m:sup>
            <m:r>
              <m:t>2</m:t>
            </m:r>
          </m:sup>
        </m:sSup>
      </m:oMath>
      <w:r>
        <w:t xml:space="preserve"> </w:t>
      </w:r>
      <w:r>
        <w:t xml:space="preserve">for the DAI moderation block (comparing M7 with M8) is approximately 0.018, below Cohen’s (1988) conventional small-effect threshold of 0.02. These effect sizes reinforce a cautious interpretation. A formal power analysis quantifies the implication: at</w:t>
      </w:r>
      <w:r>
        <w:t xml:space="preserve"> </w:t>
      </w:r>
      <m:oMath>
        <m:sSup>
          <m:e>
            <m:r>
              <m:t>f</m:t>
            </m:r>
          </m:e>
          <m:sup>
            <m:r>
              <m:t>2</m:t>
            </m:r>
          </m:sup>
        </m:sSup>
      </m:oMath>
      <w:r>
        <w:t xml:space="preserve">=0.018 with</w:t>
      </w:r>
      <w:r>
        <w:t xml:space="preserve"> </w:t>
      </w:r>
      <m:oMath>
        <m:r>
          <m:t>α</m:t>
        </m:r>
      </m:oMath>
      <w:r>
        <w:t xml:space="preserve">=.05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w:t>
      </w:r>
      <w:r>
        <w:t xml:space="preserve"> </w:t>
      </w:r>
      <m:oMath>
        <m:sSup>
          <m:e>
            <m:r>
              <m:t>f</m:t>
            </m:r>
          </m:e>
          <m:sup>
            <m:r>
              <m:t>2</m:t>
            </m:r>
          </m:sup>
        </m:sSup>
      </m:oMath>
      <w:r>
        <w:t xml:space="preserve">=0.018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w:t>
      </w:r>
      <w:r>
        <w:t xml:space="preserve"> </w:t>
      </w:r>
      <m:oMath>
        <m:r>
          <m:t>β</m:t>
        </m:r>
      </m:oMath>
      <w:r>
        <w:t xml:space="preserve">=+2.821, joint F p = .003)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w:t>
      </w:r>
      <m:oMath>
        <m:r>
          <m:t>β</m:t>
        </m:r>
      </m:oMath>
      <w:r>
        <w:t xml:space="preserve">=+2.821) and the joint F-test is significant (F = 6.32, p = .003),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w:t>
      </w:r>
      <m:oMath>
        <m:r>
          <m:t>β</m:t>
        </m:r>
      </m:oMath>
      <w:r>
        <w:t xml:space="preserve"> </w:t>
      </w:r>
      <w:r>
        <w:t xml:space="preserve">= 0.264, SE = 0.138, t = 1.92, p = .055), indicating mild selection at the extensive margin of export participation. The key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w:t>
      </w:r>
      <m:oMath>
        <m:r>
          <m:t>Δ</m:t>
        </m:r>
      </m:oMath>
      <w:r>
        <w:t xml:space="preserve">|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jc w:val="left"/>
            </w:pPr>
            <w:r>
              <w:t xml:space="preserve">Joint F (p)</w:t>
            </w:r>
          </w:p>
        </w:tc>
        <w:tc>
          <w:tcPr/>
          <w:p>
            <w:pPr>
              <w:pStyle w:val="Compact"/>
              <w:jc w:val="left"/>
            </w:pPr>
            <w:r>
              <w:t xml:space="preserve">Adj.</w:t>
            </w:r>
            <w:r>
              <w:t xml:space="preserve"> </w:t>
            </w:r>
            <m:oMath>
              <m:sSup>
                <m:e>
                  <m:r>
                    <m:t>R</m:t>
                  </m:r>
                </m:e>
                <m:sup>
                  <m:r>
                    <m:t>2</m:t>
                  </m:r>
                </m:sup>
              </m:sSup>
            </m:oMath>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In this respect Singapore exemplifies the</w:t>
      </w:r>
      <w:r>
        <w:t xml:space="preserve"> </w:t>
      </w:r>
      <w:r>
        <w:rPr>
          <w:iCs/>
          <w:i/>
        </w:rPr>
        <w:t xml:space="preserve">internationalization-to-scale</w:t>
      </w:r>
      <w:r>
        <w:t xml:space="preserve"> </w:t>
      </w:r>
      <w:r>
        <w:t xml:space="preserve">pole: in a strong-institution environment with minimal transaction costs, exporting reads as a margin-optimizing activity with near-monotonic positive returns and a very late implied turning point, rather than as a survival response in which coordination ceilings bite early. A companion Vietnam study, set in a weaker-institution environment, offers the contrasting</w:t>
      </w:r>
      <w:r>
        <w:t xml:space="preserve"> </w:t>
      </w:r>
      <w:r>
        <w:rPr>
          <w:iCs/>
          <w:i/>
        </w:rPr>
        <w:t xml:space="preserve">internationalization-to-survive</w:t>
      </w:r>
      <w:r>
        <w:t xml:space="preserve"> </w:t>
      </w:r>
      <w:r>
        <w:t xml:space="preserve">pole, and the juxtaposition clarifies that the late, loosely identified turning point observed here is an institutional feature of the high-institution setting rather than an anomaly.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signals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w:t>
      </w:r>
      <m:oMath>
        <m:r>
          <m:rPr>
            <m:sty m:val="p"/>
          </m:rPr>
          <m:t>≈</m:t>
        </m:r>
      </m:oMath>
      <w:r>
        <w:t xml:space="preserve">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w:t>
      </w:r>
      <m:oMath>
        <m:r>
          <m:t>β</m:t>
        </m:r>
      </m:oMath>
      <w:r>
        <w:t xml:space="preserve">=+3.119, p = .005)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w:t>
      </w:r>
      <m:oMath>
        <m:r>
          <m:t>β</m:t>
        </m:r>
      </m:oMath>
      <w:r>
        <w:t xml:space="preserve"> </w:t>
      </w:r>
      <w:r>
        <w:t xml:space="preserve">=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 More pointedly, the amplification visible in Singapore appears to require a</w:t>
      </w:r>
      <w:r>
        <w:t xml:space="preserve"> </w:t>
      </w:r>
      <w:r>
        <w:rPr>
          <w:iCs/>
          <w:i/>
        </w:rPr>
        <w:t xml:space="preserve">depth threshold</w:t>
      </w:r>
      <w:r>
        <w:t xml:space="preserve"> </w:t>
      </w:r>
      <w:r>
        <w:t xml:space="preserve">in digital adoption: it surfaces once firms move beyond a saturated Tier 1 layer (website presence) into combined Tier 1+2 depth (electronic payment and transaction integration), which is precisely why the moderation signal weakens when the index is reduced to the website-only measure. This supports a reading of foundational digital adoption as a context-dependent resource whose performance amplification is contingent on crossing a depth threshold, rather than a uniform advantage. In settings where only a saturated Tier 1 layer is observable, as in a companion study, the same depth-contingent amplification would be expected to remain latent, because the discriminating Tier 2 transaction-volume variation is absent.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bookmarkEnd w:id="64"/>
    <w:bookmarkStart w:id="65"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bookmarkEnd w:id="65"/>
    <w:bookmarkStart w:id="66" w:name="conflict-of-interest"/>
    <w:p>
      <w:pPr>
        <w:pStyle w:val="Heading2"/>
      </w:pPr>
      <w:r>
        <w:t xml:space="preserve">Conflict of Interest</w:t>
      </w:r>
    </w:p>
    <w:p>
      <w:pPr>
        <w:pStyle w:val="FirstParagraph"/>
      </w:pPr>
      <w:r>
        <w:t xml:space="preserve">The authors declare no conflict of interest.</w:t>
      </w:r>
    </w:p>
    <w:bookmarkEnd w:id="66"/>
    <w:bookmarkStart w:id="6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7"/>
    <w:bookmarkStart w:id="68"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and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8"/>
    <w:bookmarkStart w:id="98"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9">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70">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71">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72">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3">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4">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5">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6">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7">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8">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9">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80">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81">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2">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3">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4">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5">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6">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7">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8">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9">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90">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1">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2">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93">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4">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5">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6">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7">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8"/>
    <w:bookmarkEnd w:id="9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5" Target="https://doi.org/10.1002/gsj.1336" TargetMode="External" /><Relationship Type="http://schemas.openxmlformats.org/officeDocument/2006/relationships/hyperlink" Id="rId80"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3" Target="https://doi.org/10.1016/j.ibusrev.2017.07.003" TargetMode="External" /><Relationship Type="http://schemas.openxmlformats.org/officeDocument/2006/relationships/hyperlink" Id="rId78"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70" Target="https://doi.org/10.1016/j.leaqua.2010.10.010" TargetMode="External" /><Relationship Type="http://schemas.openxmlformats.org/officeDocument/2006/relationships/hyperlink" Id="rId69" Target="https://doi.org/10.1037/0021-9010.90.1.94" TargetMode="External" /><Relationship Type="http://schemas.openxmlformats.org/officeDocument/2006/relationships/hyperlink" Id="rId79"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2" Target="https://doi.org/10.1057/s41267-019-00243-7" TargetMode="External" /><Relationship Type="http://schemas.openxmlformats.org/officeDocument/2006/relationships/hyperlink" Id="rId71"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77" Target="https://doi.org/10.1111/j.1468-0335.1937.tb00002.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3" Target="https://doi.org/10.1177/014920639101700108" TargetMode="External" /><Relationship Type="http://schemas.openxmlformats.org/officeDocument/2006/relationships/hyperlink" Id="rId75" Target="https://doi.org/10.1257/mac.20180386" TargetMode="External" /><Relationship Type="http://schemas.openxmlformats.org/officeDocument/2006/relationships/hyperlink" Id="rId76" Target="https://doi.org/10.2307/2393553" TargetMode="External" /><Relationship Type="http://schemas.openxmlformats.org/officeDocument/2006/relationships/hyperlink" Id="rId74"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2" Target="https://doi.org/10.5465/256948" TargetMode="External" /><Relationship Type="http://schemas.openxmlformats.org/officeDocument/2006/relationships/hyperlink" Id="rId81"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gsj.1336" TargetMode="External" /><Relationship Type="http://schemas.openxmlformats.org/officeDocument/2006/relationships/hyperlink" Id="rId80"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3" Target="https://doi.org/10.1016/j.ibusrev.2017.07.003" TargetMode="External" /><Relationship Type="http://schemas.openxmlformats.org/officeDocument/2006/relationships/hyperlink" Id="rId78"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70" Target="https://doi.org/10.1016/j.leaqua.2010.10.010" TargetMode="External" /><Relationship Type="http://schemas.openxmlformats.org/officeDocument/2006/relationships/hyperlink" Id="rId69" Target="https://doi.org/10.1037/0021-9010.90.1.94" TargetMode="External" /><Relationship Type="http://schemas.openxmlformats.org/officeDocument/2006/relationships/hyperlink" Id="rId79"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2" Target="https://doi.org/10.1057/s41267-019-00243-7" TargetMode="External" /><Relationship Type="http://schemas.openxmlformats.org/officeDocument/2006/relationships/hyperlink" Id="rId71"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77" Target="https://doi.org/10.1111/j.1468-0335.1937.tb00002.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3" Target="https://doi.org/10.1177/014920639101700108" TargetMode="External" /><Relationship Type="http://schemas.openxmlformats.org/officeDocument/2006/relationships/hyperlink" Id="rId75" Target="https://doi.org/10.1257/mac.20180386" TargetMode="External" /><Relationship Type="http://schemas.openxmlformats.org/officeDocument/2006/relationships/hyperlink" Id="rId76" Target="https://doi.org/10.2307/2393553" TargetMode="External" /><Relationship Type="http://schemas.openxmlformats.org/officeDocument/2006/relationships/hyperlink" Id="rId74"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2" Target="https://doi.org/10.5465/256948" TargetMode="External" /><Relationship Type="http://schemas.openxmlformats.org/officeDocument/2006/relationships/hyperlink" Id="rId81"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2026-06-01T12:08:33Z</dcterms:created>
  <dcterms:modified xsi:type="dcterms:W3CDTF">2026-06-01T12:08:33Z</dcterms:modified>
</cp:coreProperties>
</file>

<file path=docProps/custom.xml><?xml version="1.0" encoding="utf-8"?>
<Properties xmlns="http://schemas.openxmlformats.org/officeDocument/2006/custom-properties" xmlns:vt="http://schemas.openxmlformats.org/officeDocument/2006/docPropsVTypes"/>
</file>