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w:t>
      </w:r>
      <w:r>
        <w:t xml:space="preserve"> </w:t>
      </w:r>
      <m:oMath>
        <m:sSup>
          <m:e>
            <m:r>
              <m:rPr>
                <m:nor/>
                <m:sty m:val="p"/>
              </m:rPr>
              <m:t>FSTS</m:t>
            </m:r>
          </m:e>
          <m:sup>
            <m:r>
              <m:t>2</m:t>
            </m:r>
          </m:sup>
        </m:sSup>
      </m:oMath>
      <w:r>
        <w:t xml:space="preserve"> </w:t>
      </w:r>
      <w:r>
        <w:t xml:space="preserve">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w:t>
      </w:r>
      <m:oMath>
        <m:r>
          <m:t>β</m:t>
        </m:r>
      </m:oMath>
      <w:r>
        <w:t xml:space="preserve">_z = +0.28 and +0.43; both p &lt; .001), and a website proxy is positive in 2024 and pooled, but neither construct robustly moderates curvature (capability</w:t>
      </w:r>
      <m:oMath>
        <m:r>
          <m:rPr>
            <m:sty m:val="p"/>
          </m:rPr>
          <m:t>×</m:t>
        </m:r>
      </m:oMath>
      <w:r>
        <w:t xml:space="preserve">curvature F = 3.26, p = .039 marginal; three-way capability</w:t>
      </w:r>
      <m:oMath>
        <m:r>
          <m:rPr>
            <m:sty m:val="p"/>
          </m:rPr>
          <m:t>×</m:t>
        </m:r>
      </m:oMath>
      <w:r>
        <w:t xml:space="preserve">wave</w:t>
      </w:r>
      <m:oMath>
        <m:r>
          <m:rPr>
            <m:sty m:val="p"/>
          </m:rPr>
          <m:t>×</m:t>
        </m:r>
      </m:oMath>
      <w:r>
        <w:t xml:space="preser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w:t>
      </w:r>
      <m:oMath>
        <m:r>
          <m:t>β</m:t>
        </m:r>
      </m:oMath>
      <w:r>
        <w:t xml:space="preserve">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w:t>
      </w:r>
      <m:oMath>
        <m:r>
          <m:t>β</m:t>
        </m:r>
      </m:oMath>
      <w:r>
        <w:t xml:space="preserve">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longest-standing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w:t>
      </w:r>
      <w:r>
        <w:t xml:space="preserve"> </w:t>
      </w:r>
      <m:oMath>
        <m:r>
          <m:rPr>
            <m:sty m:val="p"/>
          </m:rPr>
          <m:t>≈</m:t>
        </m:r>
      </m:oMath>
      <w:r>
        <w:t xml:space="preserve"> </w:t>
      </w:r>
      <w:r>
        <w:t xml:space="preserve">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(FSTS</w:t>
      </w:r>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and (FSTS</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w:t>
      </w:r>
      <m:oMath>
        <m:r>
          <m:rPr>
            <m:sty m:val="p"/>
          </m:rPr>
          <m:t>×</m:t>
        </m:r>
      </m:oMath>
      <w:r>
        <w:t xml:space="preserve">curvature, capability</w:t>
      </w:r>
      <m:oMath>
        <m:r>
          <m:rPr>
            <m:sty m:val="p"/>
          </m:rPr>
          <m:t>×</m:t>
        </m:r>
      </m:oMath>
      <w:r>
        <w:t xml:space="preserve">wave</w:t>
      </w:r>
      <m:oMath>
        <m:r>
          <m:rPr>
            <m:sty m:val="p"/>
          </m:rPr>
          <m:t>×</m:t>
        </m:r>
      </m:oMath>
      <w:r>
        <w:t xml:space="preserve">curvature, working capital</w:t>
      </w:r>
      <m:oMath>
        <m:r>
          <m:rPr>
            <m:sty m:val="p"/>
          </m:rPr>
          <m:t>×</m:t>
        </m:r>
      </m:oMath>
      <w:r>
        <w:t xml:space="preserve">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 stable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w:t>
      </w:r>
      <w:r>
        <w:t xml:space="preserve"> </w:t>
      </w:r>
      <m:oMath>
        <m:r>
          <m:rPr>
            <m:sty m:val="p"/>
          </m:rPr>
          <m:t>≈</m:t>
        </m:r>
      </m:oMath>
      <w:r>
        <w:t xml:space="preserve"> </w:t>
      </w:r>
      <w:r>
        <w:t xml:space="preserve">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w:t>
      </w:r>
      <m:oMath>
        <m:r>
          <m:rPr>
            <m:sty m:val="p"/>
          </m:rPr>
          <m:t>≥</m:t>
        </m:r>
      </m:oMath>
      <w:r>
        <w:t xml:space="preserve">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w:t>
      </w:r>
      <w:r>
        <w:t xml:space="preserve"> </w:t>
      </w:r>
      <m:oMath>
        <m:r>
          <m:rPr>
            <m:sty m:val="p"/>
          </m:rPr>
          <m:t>≈</m:t>
        </m:r>
      </m:oMath>
      <w:r>
        <w:t xml:space="preserve"> </w:t>
      </w:r>
      <w:r>
        <w:t xml:space="preserve">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central to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w:t>
      </w:r>
      <w:r>
        <w:t xml:space="preserve"> </w:t>
      </w:r>
      <m:oMath>
        <m:r>
          <m:rPr>
            <m:sty m:val="p"/>
          </m:rPr>
          <m:t>×</m:t>
        </m:r>
      </m:oMath>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w:t>
      </w:r>
      <m:oMath>
        <m:r>
          <m:t>β</m:t>
        </m:r>
      </m:oMath>
      <w:r>
        <w:t xml:space="preserve"> </w:t>
      </w:r>
      <w:r>
        <w:t xml:space="preserve">= +0.27, p = .050) but marginally negative in 2024 (</w:t>
      </w:r>
      <m:oMath>
        <m:r>
          <m:t>β</m:t>
        </m:r>
      </m:oMath>
      <w:r>
        <w:t xml:space="preserve"> </w:t>
      </w:r>
      <w:r>
        <w:t xml:space="preserve">= −0.38, p = .081). In Block C (Financing Structure),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w:t>
      </w:r>
      <m:oMath>
        <m:r>
          <m:t>β</m:t>
        </m:r>
      </m:oMath>
      <w:r>
        <w:t xml:space="preserve"> </w:t>
      </w:r>
      <w:r>
        <w:t xml:space="preserve">= −0.017, p = .009) but null in 2024 (p = .660). In Block D (Access‑to‑Finance Obstacle), the obstacle</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w:t>
      </w:r>
      <m:oMath>
        <m:r>
          <m:t>β</m:t>
        </m:r>
      </m:oMath>
      <w:r>
        <w:t xml:space="preserve"> </w:t>
      </w:r>
      <w:r>
        <w:t xml:space="preserve">=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across waves (Block A:</w:t>
      </w:r>
      <w:r>
        <w:t xml:space="preserve"> </w:t>
      </w:r>
      <m:oMath>
        <m:r>
          <m:t>β</m:t>
        </m:r>
      </m:oMath>
      <w:r>
        <w:t xml:space="preserve"> </w:t>
      </w:r>
      <w:r>
        <w:t xml:space="preserve">= +0.27 in 2012,</w:t>
      </w:r>
      <w:r>
        <w:t xml:space="preserve"> </w:t>
      </w:r>
      <m:oMath>
        <m:r>
          <m:t>β</m:t>
        </m:r>
      </m:oMath>
      <w:r>
        <w:t xml:space="preserve"> </w:t>
      </w:r>
      <w:r>
        <w:t xml:space="preserve">=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w:t>
      </w:r>
      <m:oMath>
        <m:r>
          <m:t>β</m:t>
        </m:r>
      </m:oMath>
      <w:r>
        <w:t xml:space="preserve">_z = +0.05 to +0.13, p</w:t>
      </w:r>
      <w:r>
        <w:t xml:space="preserve"> </w:t>
      </w:r>
      <m:oMath>
        <m:r>
          <m:rPr>
            <m:sty m:val="p"/>
          </m:rPr>
          <m:t>≤</m:t>
        </m:r>
      </m:oMath>
      <w:r>
        <w:t xml:space="preserve"> </w:t>
      </w:r>
      <w:r>
        <w:t xml:space="preserve">.03 across waves and pooled), but the</w:t>
      </w:r>
      <w:r>
        <w:t xml:space="preserve"> </w:t>
      </w:r>
      <m:oMath>
        <m:r>
          <m:rPr>
            <m:nor/>
            <m:sty m:val="p"/>
          </m:rPr>
          <m:t>DAI</m:t>
        </m:r>
        <m:r>
          <m:rPr>
            <m:sty m:val="p"/>
          </m:rPr>
          <m:t>×</m:t>
        </m:r>
        <m:r>
          <m:rPr>
            <m:nor/>
            <m:sty m:val="p"/>
          </m:rPr>
          <m:t>FSTS</m:t>
        </m:r>
      </m:oMath>
      <w:r>
        <w:t xml:space="preserve"> </w:t>
      </w:r>
      <w:r>
        <w:t xml:space="preserve">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w:t>
      </w:r>
      <m:oMath>
        <m:r>
          <m:rPr>
            <m:sty m:val="p"/>
          </m:rPr>
          <m:t>×</m:t>
        </m:r>
      </m:oMath>
      <w:r>
        <w:t xml:space="preserve">FSTS curvature F-test yields p = .89,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w:t>
      </w:r>
      <w:r>
        <w:t xml:space="preserve"> </w:t>
      </w:r>
      <m:oMath>
        <m:r>
          <m:rPr>
            <m:sty m:val="p"/>
          </m:rPr>
          <m:t>×</m:t>
        </m:r>
      </m:oMath>
      <w:r>
        <w:t xml:space="preserve"> </w:t>
      </w:r>
      <w:r>
        <w:t xml:space="preserve">FSTS</w:t>
      </w:r>
      <w:r>
        <w:t xml:space="preserve"> </w:t>
      </w:r>
      <m:oMath>
        <m:r>
          <m:t>β</m:t>
        </m:r>
      </m:oMath>
      <w:r>
        <w:t xml:space="preserve"> </w:t>
      </w:r>
      <w:r>
        <w:t xml:space="preserve">= 0.003, p = .892),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w:t>
      </w:r>
      <m:oMath>
        <m:r>
          <m:t>β</m:t>
        </m:r>
      </m:oMath>
      <w:r>
        <w:t xml:space="preserve"> </w:t>
      </w:r>
      <w:r>
        <w:t xml:space="preserve">= 0.015, p = .005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w:t>
      </w:r>
      <w:r>
        <w:t xml:space="preserve"> </w:t>
      </w:r>
      <m:oMath>
        <m:r>
          <m:rPr>
            <m:sty m:val="p"/>
          </m:rPr>
          <m:t>≈</m:t>
        </m:r>
      </m:oMath>
      <w:r>
        <w:t xml:space="preserve"> </w:t>
      </w:r>
      <w:r>
        <w:t xml:space="preserve">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w:t>
      </w:r>
      <m:oMath>
        <m:r>
          <m:t>β</m:t>
        </m:r>
      </m:oMath>
      <w:r>
        <w:t xml:space="preserve">_z = +0.26 to +0.43, p &lt; .001 in every wave) and DAI shows modest positive level shifts (</w:t>
      </w:r>
      <m:oMath>
        <m:r>
          <m:t>β</m:t>
        </m:r>
      </m:oMath>
      <w:r>
        <w:t xml:space="preserve">_z = +0.05 to +0.13, p</w:t>
      </w:r>
      <w:r>
        <w:t xml:space="preserve"> </w:t>
      </w:r>
      <m:oMath>
        <m:r>
          <m:rPr>
            <m:sty m:val="p"/>
          </m:rPr>
          <m:t>≤</m:t>
        </m:r>
      </m:oMath>
      <w:r>
        <w:t xml:space="preserve"> </w:t>
      </w:r>
      <w:r>
        <w:t xml:space="preserve">.03 across waves and pooled). But the curvature-moderation evidence is weak: the joint F-test on</w:t>
      </w:r>
      <w:r>
        <w:t xml:space="preserve"> </w:t>
      </w:r>
      <m:oMath>
        <m:r>
          <m:rPr>
            <m:nor/>
            <m:sty m:val="p"/>
          </m:rPr>
          <m:t>TCI</m:t>
        </m:r>
        <m:r>
          <m:rPr>
            <m:sty m:val="p"/>
          </m:rPr>
          <m:t>×</m:t>
        </m:r>
        <m:r>
          <m:rPr>
            <m:nor/>
            <m:sty m:val="p"/>
          </m:rPr>
          <m:t>FSTS</m:t>
        </m:r>
      </m:oMath>
      <w:r>
        <w:t xml:space="preserve"> </w:t>
      </w:r>
      <w:r>
        <w:t xml:space="preserve">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in 2012 (</w:t>
      </w:r>
      <m:oMath>
        <m:r>
          <m:t>β</m:t>
        </m:r>
      </m:oMath>
      <w:r>
        <w:t xml:space="preserve"> </w:t>
      </w:r>
      <w:r>
        <w:t xml:space="preserve">=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w:t>
      </w:r>
      <m:oMath>
        <m:sSup>
          <m:e>
            <m:r>
              <m:t>I</m:t>
            </m:r>
          </m:e>
          <m:sup>
            <m:r>
              <m:t>2</m:t>
            </m:r>
          </m:sup>
        </m:sSup>
      </m:oMath>
      <w:r>
        <w:t xml:space="preserve"> </w:t>
      </w:r>
      <m:oMath>
        <m:r>
          <m:rPr>
            <m:sty m:val="p"/>
          </m:rPr>
          <m:t>≈</m:t>
        </m:r>
      </m:oMath>
      <w:r>
        <w:t xml:space="preserve"> </w:t>
      </w:r>
      <w:r>
        <w:t xml:space="preserve">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 stable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seven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A seventh limitation concerns the harmonisation pipeline itself. All variable-construction and cross-wave harmonisation decisions reported in Section 3.2 (item-code mapping across PICS3, Standardised, and BREADY questionnaire generations; encoding fallbacks; ISIC sector recodes; private-ownership recodes; outlier-winsorisation thresholds) were made by the present author group; while these decisions are mechanically reproducible from the documented WBES item-code mappings provided in the replication package, no formal inter-coder reliability check (e.g., independent dual-coding with Cohen's kappa) on the harmonisation choices themselves has been performed. A future revision could engage an independent second coder to harmonise the same items from the raw WBES microdata and report inter-coder agreement; until such a check is completed, readers should regard the cross-wave harmonisation as auditable but not externally validated.</w:t>
      </w:r>
    </w:p>
    <w:p>
      <w:pPr>
        <w:pStyle w:val="BodyText"/>
      </w:pPr>
      <w:r>
        <w:t xml:space="preserve">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7"/>
    <w:bookmarkStart w:id="68" w:name="conflict-of-interest"/>
    <w:p>
      <w:pPr>
        <w:pStyle w:val="Heading2"/>
      </w:pPr>
      <w:r>
        <w:t xml:space="preserve">Conflict of Interest</w:t>
      </w:r>
    </w:p>
    <w:p>
      <w:pPr>
        <w:pStyle w:val="FirstParagraph"/>
      </w:pPr>
      <w:r>
        <w:t xml:space="preserve">The authors declare no conflict of interest.</w: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1" w:name="data-availability-statement"/>
    <w:p>
      <w:pPr>
        <w:pStyle w:val="Heading2"/>
      </w:pPr>
      <w:r>
        <w:t xml:space="preserve">Data Availability Statement</w:t>
      </w:r>
    </w:p>
    <w:p>
      <w:pPr>
        <w:pStyle w:val="FirstParagraph"/>
      </w:pPr>
      <w:r>
        <w:t xml:space="preserve">The data that support the findings of this study are from the World Bank Enterprise Surveys (WBES) China 2012 and 2024 waves, publicly available via the World Bank Enterprise Surveys portal (</w:t>
      </w:r>
      <w:hyperlink r:id="rId70">
        <w:r>
          <w:rPr>
            <w:rStyle w:val="Hyperlink"/>
          </w:rPr>
          <w:t xml:space="preserve">https://www.enterprisesurveys.org</w:t>
        </w:r>
      </w:hyperlink>
      <w:r>
        <w:t xml:space="preserve">), subject to registration and compliance with the WBES Data Access Protocol. Replication materials—including the harmonisation protocol across the two waves, variable-construction code, model specifications, and computational outputs—are available from the corresponding author on reasonable request and may be shared to the extent permitted by the WBES data-access terms.</w:t>
      </w:r>
    </w:p>
    <w:bookmarkEnd w:id="71"/>
    <w:bookmarkStart w:id="7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two-wave harmonisation,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72"/>
    <w:bookmarkStart w:id="11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3">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74">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5">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6">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7">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8">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9">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0">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1">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82">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83">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84">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5">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6">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8">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9">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9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9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10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10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1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70">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70">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1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12"/>
    <w:bookmarkEnd w:id="11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7" Target="https://doi.org/10.1002/smj.2399" TargetMode="External" /><Relationship Type="http://schemas.openxmlformats.org/officeDocument/2006/relationships/hyperlink" Id="rId106" Target="https://doi.org/10.1002/smj.640" TargetMode="External" /><Relationship Type="http://schemas.openxmlformats.org/officeDocument/2006/relationships/hyperlink" Id="rId75" Target="https://doi.org/10.1007/s11575-007-0019-z" TargetMode="External" /><Relationship Type="http://schemas.openxmlformats.org/officeDocument/2006/relationships/hyperlink" Id="rId89" Target="https://doi.org/10.1007/s11575-007-0022-4" TargetMode="External" /><Relationship Type="http://schemas.openxmlformats.org/officeDocument/2006/relationships/hyperlink" Id="rId80" Target="https://doi.org/10.1007/s11575-007-0023-3" TargetMode="External" /><Relationship Type="http://schemas.openxmlformats.org/officeDocument/2006/relationships/hyperlink" Id="rId96" Target="https://doi.org/10.1016/0304-4076(85)90158-7" TargetMode="External" /><Relationship Type="http://schemas.openxmlformats.org/officeDocument/2006/relationships/hyperlink" Id="rId93" Target="https://doi.org/10.1016/0305-750X(92)90097-F" TargetMode="External" /><Relationship Type="http://schemas.openxmlformats.org/officeDocument/2006/relationships/hyperlink" Id="rId111" Target="https://doi.org/10.1016/j.intman.2012.12.003" TargetMode="External" /><Relationship Type="http://schemas.openxmlformats.org/officeDocument/2006/relationships/hyperlink" Id="rId107" Target="https://doi.org/10.1016/j.jbusres.2019.09.022" TargetMode="External" /><Relationship Type="http://schemas.openxmlformats.org/officeDocument/2006/relationships/hyperlink" Id="rId101" Target="https://doi.org/10.1016/j.jinteco.2017.03.007" TargetMode="External" /><Relationship Type="http://schemas.openxmlformats.org/officeDocument/2006/relationships/hyperlink" Id="rId82" Target="https://doi.org/10.1016/j.jinteco.2018.01.008" TargetMode="External" /><Relationship Type="http://schemas.openxmlformats.org/officeDocument/2006/relationships/hyperlink" Id="rId108" Target="https://doi.org/10.1016/j.jsis.2019.01.003" TargetMode="External" /><Relationship Type="http://schemas.openxmlformats.org/officeDocument/2006/relationships/hyperlink" Id="rId78" Target="https://doi.org/10.1016/j.jwb.2010.10.022" TargetMode="External" /><Relationship Type="http://schemas.openxmlformats.org/officeDocument/2006/relationships/hyperlink" Id="rId73" Target="https://doi.org/10.1016/j.leaqua.2010.10.010" TargetMode="External" /><Relationship Type="http://schemas.openxmlformats.org/officeDocument/2006/relationships/hyperlink" Id="rId109" Target="https://doi.org/10.1016/j.lrp.2021.102110" TargetMode="External" /><Relationship Type="http://schemas.openxmlformats.org/officeDocument/2006/relationships/hyperlink" Id="rId100" Target="https://doi.org/10.1016/j.respol.2019.03.018" TargetMode="External" /><Relationship Type="http://schemas.openxmlformats.org/officeDocument/2006/relationships/hyperlink" Id="rId81" Target="https://doi.org/10.1057/palgrave.jibs.8400003" TargetMode="External" /><Relationship Type="http://schemas.openxmlformats.org/officeDocument/2006/relationships/hyperlink" Id="rId77" Target="https://doi.org/10.1057/palgrave.jibs.8400277" TargetMode="External" /><Relationship Type="http://schemas.openxmlformats.org/officeDocument/2006/relationships/hyperlink" Id="rId99" Target="https://doi.org/10.1057/s41267-017-0078-8" TargetMode="External" /><Relationship Type="http://schemas.openxmlformats.org/officeDocument/2006/relationships/hyperlink" Id="rId91" Target="https://doi.org/10.1057/s41267-020-00304-2" TargetMode="External" /><Relationship Type="http://schemas.openxmlformats.org/officeDocument/2006/relationships/hyperlink" Id="rId83" Target="https://doi.org/10.1057/s41267-020-00374-2" TargetMode="External" /><Relationship Type="http://schemas.openxmlformats.org/officeDocument/2006/relationships/hyperlink" Id="rId74" Target="https://doi.org/10.1057/s41287-021-00364-6" TargetMode="External" /><Relationship Type="http://schemas.openxmlformats.org/officeDocument/2006/relationships/hyperlink" Id="rId84" Target="https://doi.org/10.1080/1540496X.2018.1547270" TargetMode="External" /><Relationship Type="http://schemas.openxmlformats.org/officeDocument/2006/relationships/hyperlink" Id="rId97" Target="https://doi.org/10.1093/restud/rds036" TargetMode="External" /><Relationship Type="http://schemas.openxmlformats.org/officeDocument/2006/relationships/hyperlink" Id="rId110" Target="https://doi.org/10.1111/j.1467-9701.2007.00872.x" TargetMode="External" /><Relationship Type="http://schemas.openxmlformats.org/officeDocument/2006/relationships/hyperlink" Id="rId94" Target="https://doi.org/10.1111/j.1468-0084.2009.00569.x" TargetMode="External" /><Relationship Type="http://schemas.openxmlformats.org/officeDocument/2006/relationships/hyperlink" Id="rId102" Target="https://doi.org/10.1111/j.1745-9125.1998.tb01268.x" TargetMode="External" /><Relationship Type="http://schemas.openxmlformats.org/officeDocument/2006/relationships/hyperlink" Id="rId92" Target="https://doi.org/10.1111/j.2042-5805.2012.01028.x" TargetMode="External" /><Relationship Type="http://schemas.openxmlformats.org/officeDocument/2006/relationships/hyperlink" Id="rId85" Target="https://doi.org/10.1111/joms.12526" TargetMode="External" /><Relationship Type="http://schemas.openxmlformats.org/officeDocument/2006/relationships/hyperlink" Id="rId88" Target="https://doi.org/10.1111/joms.12639" TargetMode="External" /><Relationship Type="http://schemas.openxmlformats.org/officeDocument/2006/relationships/hyperlink" Id="rId86" Target="https://doi.org/10.1146/annurev-economics-080614-115453" TargetMode="External" /><Relationship Type="http://schemas.openxmlformats.org/officeDocument/2006/relationships/hyperlink" Id="rId103" Target="https://doi.org/10.1177/0149206311410060" TargetMode="External" /><Relationship Type="http://schemas.openxmlformats.org/officeDocument/2006/relationships/hyperlink" Id="rId98" Target="https://doi.org/10.1177/0149206315624963" TargetMode="External" /><Relationship Type="http://schemas.openxmlformats.org/officeDocument/2006/relationships/hyperlink" Id="rId105" Target="https://doi.org/10.1177/0149206319846272" TargetMode="External" /><Relationship Type="http://schemas.openxmlformats.org/officeDocument/2006/relationships/hyperlink" Id="rId104" Target="https://doi.org/10.1177/1042258718795346" TargetMode="External" /><Relationship Type="http://schemas.openxmlformats.org/officeDocument/2006/relationships/hyperlink" Id="rId79"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95" Target="https://doi.org/10.5465/20159604" TargetMode="External" /><Relationship Type="http://schemas.openxmlformats.org/officeDocument/2006/relationships/hyperlink" Id="rId90" Target="https://doi.org/10.5465/256948" TargetMode="External" /><Relationship Type="http://schemas.openxmlformats.org/officeDocument/2006/relationships/hyperlink" Id="rId70"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7" Target="https://doi.org/10.1002/smj.2399" TargetMode="External" /><Relationship Type="http://schemas.openxmlformats.org/officeDocument/2006/relationships/hyperlink" Id="rId106" Target="https://doi.org/10.1002/smj.640" TargetMode="External" /><Relationship Type="http://schemas.openxmlformats.org/officeDocument/2006/relationships/hyperlink" Id="rId75" Target="https://doi.org/10.1007/s11575-007-0019-z" TargetMode="External" /><Relationship Type="http://schemas.openxmlformats.org/officeDocument/2006/relationships/hyperlink" Id="rId89" Target="https://doi.org/10.1007/s11575-007-0022-4" TargetMode="External" /><Relationship Type="http://schemas.openxmlformats.org/officeDocument/2006/relationships/hyperlink" Id="rId80" Target="https://doi.org/10.1007/s11575-007-0023-3" TargetMode="External" /><Relationship Type="http://schemas.openxmlformats.org/officeDocument/2006/relationships/hyperlink" Id="rId96" Target="https://doi.org/10.1016/0304-4076(85)90158-7" TargetMode="External" /><Relationship Type="http://schemas.openxmlformats.org/officeDocument/2006/relationships/hyperlink" Id="rId93" Target="https://doi.org/10.1016/0305-750X(92)90097-F" TargetMode="External" /><Relationship Type="http://schemas.openxmlformats.org/officeDocument/2006/relationships/hyperlink" Id="rId111" Target="https://doi.org/10.1016/j.intman.2012.12.003" TargetMode="External" /><Relationship Type="http://schemas.openxmlformats.org/officeDocument/2006/relationships/hyperlink" Id="rId107" Target="https://doi.org/10.1016/j.jbusres.2019.09.022" TargetMode="External" /><Relationship Type="http://schemas.openxmlformats.org/officeDocument/2006/relationships/hyperlink" Id="rId101" Target="https://doi.org/10.1016/j.jinteco.2017.03.007" TargetMode="External" /><Relationship Type="http://schemas.openxmlformats.org/officeDocument/2006/relationships/hyperlink" Id="rId82" Target="https://doi.org/10.1016/j.jinteco.2018.01.008" TargetMode="External" /><Relationship Type="http://schemas.openxmlformats.org/officeDocument/2006/relationships/hyperlink" Id="rId108" Target="https://doi.org/10.1016/j.jsis.2019.01.003" TargetMode="External" /><Relationship Type="http://schemas.openxmlformats.org/officeDocument/2006/relationships/hyperlink" Id="rId78" Target="https://doi.org/10.1016/j.jwb.2010.10.022" TargetMode="External" /><Relationship Type="http://schemas.openxmlformats.org/officeDocument/2006/relationships/hyperlink" Id="rId73" Target="https://doi.org/10.1016/j.leaqua.2010.10.010" TargetMode="External" /><Relationship Type="http://schemas.openxmlformats.org/officeDocument/2006/relationships/hyperlink" Id="rId109" Target="https://doi.org/10.1016/j.lrp.2021.102110" TargetMode="External" /><Relationship Type="http://schemas.openxmlformats.org/officeDocument/2006/relationships/hyperlink" Id="rId100" Target="https://doi.org/10.1016/j.respol.2019.03.018" TargetMode="External" /><Relationship Type="http://schemas.openxmlformats.org/officeDocument/2006/relationships/hyperlink" Id="rId81" Target="https://doi.org/10.1057/palgrave.jibs.8400003" TargetMode="External" /><Relationship Type="http://schemas.openxmlformats.org/officeDocument/2006/relationships/hyperlink" Id="rId77" Target="https://doi.org/10.1057/palgrave.jibs.8400277" TargetMode="External" /><Relationship Type="http://schemas.openxmlformats.org/officeDocument/2006/relationships/hyperlink" Id="rId99" Target="https://doi.org/10.1057/s41267-017-0078-8" TargetMode="External" /><Relationship Type="http://schemas.openxmlformats.org/officeDocument/2006/relationships/hyperlink" Id="rId91" Target="https://doi.org/10.1057/s41267-020-00304-2" TargetMode="External" /><Relationship Type="http://schemas.openxmlformats.org/officeDocument/2006/relationships/hyperlink" Id="rId83" Target="https://doi.org/10.1057/s41267-020-00374-2" TargetMode="External" /><Relationship Type="http://schemas.openxmlformats.org/officeDocument/2006/relationships/hyperlink" Id="rId74" Target="https://doi.org/10.1057/s41287-021-00364-6" TargetMode="External" /><Relationship Type="http://schemas.openxmlformats.org/officeDocument/2006/relationships/hyperlink" Id="rId84" Target="https://doi.org/10.1080/1540496X.2018.1547270" TargetMode="External" /><Relationship Type="http://schemas.openxmlformats.org/officeDocument/2006/relationships/hyperlink" Id="rId97" Target="https://doi.org/10.1093/restud/rds036" TargetMode="External" /><Relationship Type="http://schemas.openxmlformats.org/officeDocument/2006/relationships/hyperlink" Id="rId110" Target="https://doi.org/10.1111/j.1467-9701.2007.00872.x" TargetMode="External" /><Relationship Type="http://schemas.openxmlformats.org/officeDocument/2006/relationships/hyperlink" Id="rId94" Target="https://doi.org/10.1111/j.1468-0084.2009.00569.x" TargetMode="External" /><Relationship Type="http://schemas.openxmlformats.org/officeDocument/2006/relationships/hyperlink" Id="rId102" Target="https://doi.org/10.1111/j.1745-9125.1998.tb01268.x" TargetMode="External" /><Relationship Type="http://schemas.openxmlformats.org/officeDocument/2006/relationships/hyperlink" Id="rId92" Target="https://doi.org/10.1111/j.2042-5805.2012.01028.x" TargetMode="External" /><Relationship Type="http://schemas.openxmlformats.org/officeDocument/2006/relationships/hyperlink" Id="rId85" Target="https://doi.org/10.1111/joms.12526" TargetMode="External" /><Relationship Type="http://schemas.openxmlformats.org/officeDocument/2006/relationships/hyperlink" Id="rId88" Target="https://doi.org/10.1111/joms.12639" TargetMode="External" /><Relationship Type="http://schemas.openxmlformats.org/officeDocument/2006/relationships/hyperlink" Id="rId86" Target="https://doi.org/10.1146/annurev-economics-080614-115453" TargetMode="External" /><Relationship Type="http://schemas.openxmlformats.org/officeDocument/2006/relationships/hyperlink" Id="rId103" Target="https://doi.org/10.1177/0149206311410060" TargetMode="External" /><Relationship Type="http://schemas.openxmlformats.org/officeDocument/2006/relationships/hyperlink" Id="rId98" Target="https://doi.org/10.1177/0149206315624963" TargetMode="External" /><Relationship Type="http://schemas.openxmlformats.org/officeDocument/2006/relationships/hyperlink" Id="rId105" Target="https://doi.org/10.1177/0149206319846272" TargetMode="External" /><Relationship Type="http://schemas.openxmlformats.org/officeDocument/2006/relationships/hyperlink" Id="rId104" Target="https://doi.org/10.1177/1042258718795346" TargetMode="External" /><Relationship Type="http://schemas.openxmlformats.org/officeDocument/2006/relationships/hyperlink" Id="rId79"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95" Target="https://doi.org/10.5465/20159604" TargetMode="External" /><Relationship Type="http://schemas.openxmlformats.org/officeDocument/2006/relationships/hyperlink" Id="rId90" Target="https://doi.org/10.5465/256948" TargetMode="External" /><Relationship Type="http://schemas.openxmlformats.org/officeDocument/2006/relationships/hyperlink" Id="rId70"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2026-06-01T12:08:35Z</dcterms:created>
  <dcterms:modified xsi:type="dcterms:W3CDTF">2026-06-01T12:08:35Z</dcterms:modified>
</cp:coreProperties>
</file>

<file path=docProps/custom.xml><?xml version="1.0" encoding="utf-8"?>
<Properties xmlns="http://schemas.openxmlformats.org/officeDocument/2006/custom-properties" xmlns:vt="http://schemas.openxmlformats.org/officeDocument/2006/docPropsVTypes"/>
</file>