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0"/>
    <w:bookmarkStart w:id="25" w:name="introduction"/>
    <w:p>
      <w:pPr>
        <w:pStyle w:val="Heading2"/>
      </w:pPr>
      <w:r>
        <w:t xml:space="preserve">1 Introduction</w:t>
      </w:r>
    </w:p>
    <w:bookmarkStart w:id="21" w:name="background-and-motivation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 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 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 2013; Verhoef et al. 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Singapore’s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(2024)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economy’s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 2013; Verhoef et al.</w:t>
      </w:r>
      <w:r>
        <w:t xml:space="preserve"> </w:t>
      </w:r>
      <w:r>
        <w:t xml:space="preserve">2021).</w:t>
      </w:r>
    </w:p>
    <w:bookmarkEnd w:id="21"/>
    <w:bookmarkStart w:id="22" w:name="research-gap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2"/>
    <w:bookmarkStart w:id="23" w:name="contribution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β=+3.220,</w:t>
      </w:r>
      <w:r>
        <w:t xml:space="preserve"> </w:t>
      </w:r>
      <w:r>
        <w:t xml:space="preserve">p=.020)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FSTS=85.7%,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Section 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Section 5.1 for the</w:t>
      </w:r>
      <w:r>
        <w:t xml:space="preserve"> </w:t>
      </w:r>
      <w:r>
        <w:t xml:space="preserve">construct-boundary discussion).</w:t>
      </w:r>
    </w:p>
    <w:bookmarkEnd w:id="23"/>
    <w:bookmarkStart w:id="24" w:name="roadmap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4"/>
    <w:bookmarkEnd w:id="25"/>
    <w:bookmarkStart w:id="34" w:name="theory-and-hypotheses"/>
    <w:p>
      <w:pPr>
        <w:pStyle w:val="Heading2"/>
      </w:pPr>
      <w:r>
        <w:t xml:space="preserve">2 Theory and Hypotheses</w:t>
      </w:r>
    </w:p>
    <w:bookmarkStart w:id="26" w:name="X001c1553335b0468ad48060ef103d7d22aed657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 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 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 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26"/>
    <w:bookmarkStart w:id="27" w:name="two-distinct-constructs-tci-and-dai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 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 2013; Verhoef et al. 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 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 2021).</w:t>
      </w:r>
      <w:r>
        <w:t xml:space="preserve"> </w:t>
      </w:r>
      <w:r>
        <w:t xml:space="preserve">Equally important, the label</w:t>
      </w:r>
      <w:r>
        <w:t xml:space="preserve"> </w:t>
      </w:r>
      <w:r>
        <w:t xml:space="preserve">“</w:t>
      </w:r>
      <w:r>
        <w:t xml:space="preserve">digital adoption</w:t>
      </w:r>
      <w:r>
        <w:t xml:space="preserve">”</w:t>
      </w:r>
      <w:r>
        <w:t xml:space="preserve"> </w:t>
      </w:r>
      <w:r>
        <w:t xml:space="preserve">is more defensible than</w:t>
      </w:r>
      <w:r>
        <w:t xml:space="preserve"> </w:t>
      </w:r>
      <w:r>
        <w:t xml:space="preserve">“</w:t>
      </w:r>
      <w:r>
        <w:t xml:space="preserve">digital capability</w:t>
      </w:r>
      <w:r>
        <w:t xml:space="preserve">”</w:t>
      </w:r>
      <w:r>
        <w:t xml:space="preserve"> </w:t>
      </w:r>
      <w:r>
        <w:t xml:space="preserve">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 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</w:t>
      </w:r>
      <w:r>
        <w:t xml:space="preserve"> </w:t>
      </w:r>
      <w:r>
        <w:t xml:space="preserve">“</w:t>
      </w:r>
      <w:r>
        <w:t xml:space="preserve">digital capability</w:t>
      </w:r>
      <w:r>
        <w:t xml:space="preserve">”</w:t>
      </w:r>
      <w:r>
        <w:t xml:space="preserve"> </w:t>
      </w:r>
      <w:r>
        <w:t xml:space="preserve">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 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27"/>
    <w:bookmarkStart w:id="32" w:name="hypothesis-development"/>
    <w:p>
      <w:pPr>
        <w:pStyle w:val="Heading3"/>
      </w:pPr>
      <w:r>
        <w:t xml:space="preserve">2.3 Hypothesis development</w:t>
      </w:r>
    </w:p>
    <w:bookmarkStart w:id="28" w:name="tci-direct-effect-on-productivity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 2021;</w:t>
      </w:r>
      <w:r>
        <w:t xml:space="preserve"> </w:t>
      </w:r>
      <w:r>
        <w:t xml:space="preserve">Krammer et al. 2018). We therefore hypothesize: Hypothesis 1 (H1). In</w:t>
      </w:r>
      <w:r>
        <w:t xml:space="preserve"> </w:t>
      </w:r>
      <w:r>
        <w:t xml:space="preserve">Singapore’s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firm’s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28"/>
    <w:bookmarkStart w:id="29" w:name="tci-moderation-of-the-ip-relationship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paper’s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29"/>
    <w:bookmarkStart w:id="30" w:name="dai-direct-effect-on-productivity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 2013; Verhoef</w:t>
      </w:r>
      <w:r>
        <w:t xml:space="preserve"> </w:t>
      </w:r>
      <w:r>
        <w:t xml:space="preserve">et al. 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0"/>
    <w:bookmarkStart w:id="31" w:name="X4a1dd7965a5d35ccd8d325197ae2dd2e833f047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DAI’s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Section 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Section 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1"/>
    <w:bookmarkEnd w:id="32"/>
    <w:bookmarkStart w:id="33" w:name="conceptual-model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~85.7% FSTS, bootstrap CI [58%, 398%])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.346).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 to 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3"/>
    <w:bookmarkEnd w:id="34"/>
    <w:bookmarkStart w:id="43" w:name="methods"/>
    <w:p>
      <w:pPr>
        <w:pStyle w:val="Heading2"/>
      </w:pPr>
      <w:r>
        <w:t xml:space="preserve">3 Methods</w:t>
      </w:r>
    </w:p>
    <w:bookmarkStart w:id="35" w:name="data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Singapore’s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Singapore’s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Section 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Section 5.1 for the construct-boundary discussion). The Lind–Mehlum equivalence</w:t>
      </w:r>
      <w:r>
        <w:t xml:space="preserve"> </w:t>
      </w:r>
      <w:r>
        <w:t xml:space="preserve">test result (p = .346) reported in Section 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5"/>
    <w:bookmarkStart w:id="40" w:name="variables"/>
    <w:p>
      <w:pPr>
        <w:pStyle w:val="Heading3"/>
      </w:pPr>
      <w:r>
        <w:t xml:space="preserve">3.2 Variables</w:t>
      </w:r>
    </w:p>
    <w:bookmarkStart w:id="36" w:name="dependent-variable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</w:t>
      </w:r>
    </w:p>
    <w:bookmarkEnd w:id="36"/>
    <w:bookmarkStart w:id="37" w:name="focal-independent-variable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37"/>
    <w:bookmarkStart w:id="38" w:name="tci-and-dai-composites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 Empirically, the two standardized indices are</w:t>
      </w:r>
      <w:r>
        <w:t xml:space="preserve"> </w:t>
      </w:r>
      <w:r>
        <w:t xml:space="preserve">distinct in the Singapore sample (composite correlation r = 0.13; under</w:t>
      </w:r>
      <w:r>
        <w:t xml:space="preserve"> </w:t>
      </w:r>
      <w:r>
        <w:t xml:space="preserve">2 % shared variance), consistent with treating them as separate</w:t>
      </w:r>
      <w:r>
        <w:t xml:space="preserve"> </w:t>
      </w:r>
      <w:r>
        <w:t xml:space="preserve">firm-level domains rather than one redundant construct.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+3.220 (p = .020) in the Tier-1+2 specification to a smaller and</w:t>
      </w:r>
      <w:r>
        <w:t xml:space="preserve"> </w:t>
      </w:r>
      <w:r>
        <w:t xml:space="preserve">statistically weaker estimate, while the Tier-1+2 full model’s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Section 1.2 and</w:t>
      </w:r>
      <w:r>
        <w:t xml:space="preserve"> </w:t>
      </w:r>
      <w:r>
        <w:t xml:space="preserve">Section 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Singapore’s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Section 1.3</w:t>
      </w:r>
      <w:r>
        <w:t xml:space="preserve"> </w:t>
      </w:r>
      <w:r>
        <w:t xml:space="preserve">supporting contribution on construct-tier specificity.</w:t>
      </w:r>
    </w:p>
    <w:bookmarkEnd w:id="38"/>
    <w:bookmarkStart w:id="39" w:name="controls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&amp;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39"/>
    <w:bookmarkEnd w:id="40"/>
    <w:bookmarkStart w:id="41" w:name="Xf0d337b7871f1e30984357ede4c26fad3ab0772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 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 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Section 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1"/>
    <w:bookmarkStart w:id="42" w:name="X0fcf099929e626b10071b523c2c83735d5a4cd9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Section 4</w:t>
      </w:r>
      <w:r>
        <w:t xml:space="preserve"> </w:t>
      </w:r>
      <w:r>
        <w:t xml:space="preserve">results can be presented without recurrent caveats and the Section 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Singapore’s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85.7 %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([58 %, 398 %]) even though an inverted-U shape is</w:t>
      </w:r>
      <w:r>
        <w:t xml:space="preserve"> </w:t>
      </w:r>
      <w:r>
        <w:t xml:space="preserve">recovered in 94.9 % of resamples. The wide confidence interval [58%,</w:t>
      </w:r>
      <w:r>
        <w:t xml:space="preserve"> </w:t>
      </w:r>
      <w:r>
        <w:t xml:space="preserve">398%]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Section 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0; N = 84, the complete-case subset of the roughly 18 per cent of firms with positive exports)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Cohen</w:t>
      </w:r>
      <w:r>
        <w:t xml:space="preserve"> </w:t>
      </w:r>
      <w:r>
        <w:t xml:space="preserve">(1988) and Aguinis et al. (2005).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4.54, p = .014, β =</w:t>
      </w:r>
      <w:r>
        <w:t xml:space="preserve"> </w:t>
      </w:r>
      <w:r>
        <w:t xml:space="preserve">+1.987)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.346 in the baseline pooled specification)</w:t>
      </w:r>
      <w:r>
        <w:t xml:space="preserve"> </w:t>
      </w:r>
      <w:r>
        <w:t xml:space="preserve">but the appropriate reading of this null is not</w:t>
      </w:r>
      <w:r>
        <w:t xml:space="preserve"> </w:t>
      </w:r>
      <w:r>
        <w:t xml:space="preserve">“</w:t>
      </w:r>
      <w:r>
        <w:t xml:space="preserve">the inverted-U</w:t>
      </w:r>
      <w:r>
        <w:t xml:space="preserve"> </w:t>
      </w:r>
      <w:r>
        <w:t xml:space="preserve">fails</w:t>
      </w:r>
      <w:r>
        <w:t xml:space="preserve">”</w:t>
      </w:r>
      <w:r>
        <w:t xml:space="preserve">, because the test is conditioned on dense support around the</w:t>
      </w:r>
      <w:r>
        <w:t xml:space="preserve"> </w:t>
      </w:r>
      <w:r>
        <w:t xml:space="preserve">turning point, which the Section 3.4(i) sample-support boundary establishes is</w:t>
      </w:r>
      <w:r>
        <w:t xml:space="preserve"> </w:t>
      </w:r>
      <w:r>
        <w:t xml:space="preserve">absent here. Read against the saturation hypothesis developed in Section 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Section 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.346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This check leaves the key DAI × FSTS² and TCI estimates</w:t>
      </w:r>
      <w:r>
        <w:t xml:space="preserve"> </w:t>
      </w:r>
      <w:r>
        <w:t xml:space="preserve">essentially unchanged (|Δ| &lt; 0.02), with the inverse-Mills term itself</w:t>
      </w:r>
      <w:r>
        <w:t xml:space="preserve"> </w:t>
      </w:r>
      <w:r>
        <w:t xml:space="preserve">statistically insignificant, confirming that the conditional-scaling</w:t>
      </w:r>
      <w:r>
        <w:t xml:space="preserve"> </w:t>
      </w:r>
      <w:r>
        <w:t xml:space="preserve">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Section 4 results below are reported</w:t>
      </w:r>
      <w:r>
        <w:t xml:space="preserve"> </w:t>
      </w:r>
      <w:r>
        <w:t xml:space="preserve">on this consolidated identification scope, and Section 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2"/>
    <w:bookmarkEnd w:id="43"/>
    <w:bookmarkStart w:id="49" w:name="results"/>
    <w:p>
      <w:pPr>
        <w:pStyle w:val="Heading2"/>
      </w:pPr>
      <w:r>
        <w:t xml:space="preserve">4 Results</w:t>
      </w:r>
    </w:p>
    <w:bookmarkStart w:id="44" w:name="descriptive-statistics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4"/>
    <w:bookmarkStart w:id="45" w:name="X2451d3f7ca997a4cc37eff64b1b544b095ebde1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+3.078, SE = 0.805, p &lt;</w:t>
      </w:r>
      <w:r>
        <w:t xml:space="preserve"> </w:t>
      </w:r>
      <w:r>
        <w:t xml:space="preserve">.001), whereas the squared term is negative (β = −1.898, SE = 1.079, p =</w:t>
      </w:r>
      <w:r>
        <w:t xml:space="preserve"> </w:t>
      </w:r>
      <w:r>
        <w:t xml:space="preserve">.079). The fitted curve therefore implies a turning point in the upper</w:t>
      </w:r>
      <w:r>
        <w:t xml:space="preserve"> </w:t>
      </w:r>
      <w:r>
        <w:t xml:space="preserve">tail of the export-intensity distribution, near FSTS = 85.7%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5,000-replication bootstrap</w:t>
      </w:r>
      <w:r>
        <w:t xml:space="preserve"> </w:t>
      </w:r>
      <w:r>
        <w:t xml:space="preserve">recovers an inverted-U shape frequently (94.9%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([58%, 398%]),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.346). This null is itself an informative positive result: Singapore’s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&amp;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</w:t>
      </w:r>
      <w:r>
        <w:t xml:space="preserve"> </w:t>
      </w:r>
      <w:r>
        <w:t xml:space="preserve">“</w:t>
      </w:r>
      <w:r>
        <w:t xml:space="preserve">no inverted-U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inverted-U whose right-side decline has been pushed into the unobserved</w:t>
      </w:r>
      <w:r>
        <w:t xml:space="preserve"> </w:t>
      </w:r>
      <w:r>
        <w:t xml:space="preserve">upper tail.</w:t>
      </w:r>
      <w:r>
        <w:t xml:space="preserve">”</w:t>
      </w:r>
      <w:r>
        <w:t xml:space="preserve"> </w:t>
      </w:r>
      <w:r>
        <w:t xml:space="preserve">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5"/>
    <w:bookmarkStart w:id="46" w:name="tci-results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0.171, SE = 0.044, p &lt; .001). Model fit also improves relative to the</w:t>
      </w:r>
      <w:r>
        <w:t xml:space="preserve"> </w:t>
      </w:r>
      <w:r>
        <w:t xml:space="preserve">quadratic baseline, with R² rising from 0.175 in Model M2 to 0.197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0.168,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46"/>
    <w:bookmarkStart w:id="47" w:name="dai-results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0.119, SE = 0.039, p</w:t>
      </w:r>
      <w:r>
        <w:t xml:space="preserve"> </w:t>
      </w:r>
      <w:r>
        <w:t xml:space="preserve">= .002). However, once TCI is included alongside DAI in Model M7, the</w:t>
      </w:r>
      <w:r>
        <w:t xml:space="preserve"> </w:t>
      </w:r>
      <w:r>
        <w:t xml:space="preserve">DAI coefficient attenuates to β = 0.094 and remains statistically</w:t>
      </w:r>
      <w:r>
        <w:t xml:space="preserve"> </w:t>
      </w:r>
      <w:r>
        <w:t xml:space="preserve">significant but attenuated (p = .016),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47"/>
        <w:gridCol w:w="981"/>
        <w:gridCol w:w="981"/>
        <w:gridCol w:w="981"/>
        <w:gridCol w:w="981"/>
        <w:gridCol w:w="981"/>
        <w:gridCol w:w="981"/>
        <w:gridCol w:w="9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+3.078***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+2.643**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+2.726***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+2.791**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-1.898†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-3.277**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+0.171***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+0.155***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+3.307*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+3.220*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(1.345)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(1.384)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-0.171***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+0.443***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+0.327***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+0.304***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+11.433***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+11.537***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+11.656***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+11.558***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+11.664***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+11.550***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+11.655***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0.039, p = .419),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−1.018, p = .190), and the quadratic</w:t>
      </w:r>
      <w:r>
        <w:t xml:space="preserve"> </w:t>
      </w:r>
      <w:r>
        <w:t xml:space="preserve">interaction term is positive and statistically significant (β = 3.220,</w:t>
      </w:r>
      <w:r>
        <w:t xml:space="preserve"> </w:t>
      </w:r>
      <w:r>
        <w:t xml:space="preserve">SE = 1.384, p = .020).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9"/>
        <w:gridCol w:w="2290"/>
        <w:gridCol w:w="667"/>
        <w:gridCol w:w="954"/>
        <w:gridCol w:w="19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[+0.014, +0.173]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[-0.063, +0.134]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[-0.157, +0.145]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[-0.235, +0.172]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[-0.291, +0.209]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[-0.332, +0.309]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[-0.192, +0.671]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.029*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[+0.079, +1.420]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[+0.492, +3.500]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(+0.094, p = .021),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+0.749 at FSTS =</w:t>
      </w:r>
      <w:r>
        <w:t xml:space="preserve"> </w:t>
      </w:r>
      <w:r>
        <w:t xml:space="preserve">70% and +1.996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85.7% on the original scale</w:t>
      </w:r>
      <w:r>
        <w:t xml:space="preserve"> </w:t>
      </w:r>
      <w:r>
        <w:t xml:space="preserve">(−β₁/2β₂ on mean-centered FSTS ≈ 81.1%; adding back the sample mean of</w:t>
      </w:r>
      <w:r>
        <w:t xml:space="preserve"> </w:t>
      </w:r>
      <w:r>
        <w:t xml:space="preserve">0.047 gives ≈ 85.7%, Aiken &amp; West, 1991), but its 95% percentile</w:t>
      </w:r>
      <w:r>
        <w:t xml:space="preserve"> </w:t>
      </w:r>
      <w:r>
        <w:t xml:space="preserve">cluster-bootstrap confidence interval (5,000 replications) spans [58%,</w:t>
      </w:r>
      <w:r>
        <w:t xml:space="preserve"> </w:t>
      </w:r>
      <w:r>
        <w:t xml:space="preserve">398%] (median 83%, IQR [70%, 107%]); the inverted-U shape is</w:t>
      </w:r>
      <w:r>
        <w:t xml:space="preserve"> </w:t>
      </w:r>
      <w:r>
        <w:t xml:space="preserve">recovered in 94.9%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47"/>
    <w:bookmarkStart w:id="48" w:name="robustness-checks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3.21 [p = .041] in the canonical specification to 1.86 [p = .157]),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Cohen’s f² for</w:t>
      </w:r>
      <w:r>
        <w:t xml:space="preserve"> </w:t>
      </w:r>
      <w:r>
        <w:t xml:space="preserve">the TCI direct effect (comparing M2 with M5) is approximately 0.027, in</w:t>
      </w:r>
      <w:r>
        <w:t xml:space="preserve"> </w:t>
      </w:r>
      <w:r>
        <w:t xml:space="preserve">the small-to-medium range; Cohen’s f² for the DAI moderation block</w:t>
      </w:r>
      <w:r>
        <w:t xml:space="preserve"> </w:t>
      </w:r>
      <w:r>
        <w:t xml:space="preserve">(comparing M7 with M8) is approximately 0.012, below Cohen’s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Section 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(β=+1.987) and the joint F-test is statistically significant (F =</w:t>
      </w:r>
      <w:r>
        <w:t xml:space="preserve"> </w:t>
      </w:r>
      <w:r>
        <w:t xml:space="preserve">4.54, p = .014),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Section 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Section 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5"/>
        <w:gridCol w:w="455"/>
        <w:gridCol w:w="1183"/>
        <w:gridCol w:w="1183"/>
        <w:gridCol w:w="1183"/>
        <w:gridCol w:w="8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 (.041)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 (.104)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 (.049)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 (.012)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 (.028)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48"/>
    <w:bookmarkEnd w:id="49"/>
    <w:bookmarkStart w:id="52" w:name="discussion"/>
    <w:p>
      <w:pPr>
        <w:pStyle w:val="Heading2"/>
      </w:pPr>
      <w:r>
        <w:t xml:space="preserve">5 Discussion</w:t>
      </w:r>
    </w:p>
    <w:bookmarkStart w:id="50" w:name="theoretical-implications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Singapore’s innovation</w:t>
      </w:r>
      <w:r>
        <w:t xml:space="preserve"> </w:t>
      </w:r>
      <w:r>
        <w:t xml:space="preserve">ecosystem, 25,000 attendees and record 6,800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Singapore’s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Section 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(β=+3.220, p=.020) implies that DAI’s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Section 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Section 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&amp; Dhanaraj, 2019; Stallkamp &amp;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paper’s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Section 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+3.220 to +1.348, joint F = 2.27, p = .104),</w:t>
      </w:r>
      <w:r>
        <w:t xml:space="preserve"> </w:t>
      </w:r>
      <w:r>
        <w:t xml:space="preserve">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2024),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0"/>
    <w:bookmarkStart w:id="51" w:name="managerial-implications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1"/>
    <w:bookmarkEnd w:id="52"/>
    <w:bookmarkStart w:id="53" w:name="conclusion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3"/>
    <w:bookmarkStart w:id="54" w:name="limitations-and-future-research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([58%, 398%]) even</w:t>
      </w:r>
      <w:r>
        <w:t xml:space="preserve"> </w:t>
      </w:r>
      <w:r>
        <w:t xml:space="preserve">though an inverted-U shape is recovered in 94.9%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4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5">
        <w:r>
          <w:rPr>
            <w:rStyle w:val="Hyperlink"/>
          </w:rPr>
          <w:t xml:space="preserve">www.enterprisesurveys.org</w:t>
        </w:r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57"/>
    <w:bookmarkStart w:id="5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8"/>
    <w:bookmarkStart w:id="5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59"/>
    <w:bookmarkStart w:id="61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1"/>
    <w:bookmarkStart w:id="62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This study analyses secondary, de-identified, publicly available firm-level survey data (World Bank Enterprise Surveys) and did not involve human participants or animals; ethics approval was not required.</w:t>
      </w:r>
    </w:p>
    <w:bookmarkEnd w:id="62"/>
    <w:bookmarkStart w:id="9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3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4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5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6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68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69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70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 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2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3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4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5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6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77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78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79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80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1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2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3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4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5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6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87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88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89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90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1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2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Section 1.1 and Section 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3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4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5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6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7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90" Target="https://doi.org/10.1002/gsj.1336" TargetMode="External" /><Relationship Type="http://schemas.openxmlformats.org/officeDocument/2006/relationships/hyperlink" Id="rId74" Target="https://doi.org/10.1002/smj.2399" TargetMode="External" /><Relationship Type="http://schemas.openxmlformats.org/officeDocument/2006/relationships/hyperlink" Id="rId92" Target="https://doi.org/10.1002/smj.2995" TargetMode="External" /><Relationship Type="http://schemas.openxmlformats.org/officeDocument/2006/relationships/hyperlink" Id="rId85" Target="https://doi.org/10.1007/s11135-006-9018-6" TargetMode="External" /><Relationship Type="http://schemas.openxmlformats.org/officeDocument/2006/relationships/hyperlink" Id="rId72" Target="https://doi.org/10.1007/s11575-007-0024-2" TargetMode="External" /><Relationship Type="http://schemas.openxmlformats.org/officeDocument/2006/relationships/hyperlink" Id="rId82" Target="https://doi.org/10.1016/0304-4076(85)90158-7" TargetMode="External" /><Relationship Type="http://schemas.openxmlformats.org/officeDocument/2006/relationships/hyperlink" Id="rId79" Target="https://doi.org/10.1016/0305-750X(92)90097-F" TargetMode="External" /><Relationship Type="http://schemas.openxmlformats.org/officeDocument/2006/relationships/hyperlink" Id="rId77" Target="https://doi.org/10.1016/j.ibusrev.2017.07.003" TargetMode="External" /><Relationship Type="http://schemas.openxmlformats.org/officeDocument/2006/relationships/hyperlink" Id="rId71" Target="https://doi.org/10.1016/j.jbusres.2008.01.013" TargetMode="External" /><Relationship Type="http://schemas.openxmlformats.org/officeDocument/2006/relationships/hyperlink" Id="rId91" Target="https://doi.org/10.1016/j.jbusres.2019.09.022" TargetMode="External" /><Relationship Type="http://schemas.openxmlformats.org/officeDocument/2006/relationships/hyperlink" Id="rId64" Target="https://doi.org/10.1016/j.leaqua.2010.10.010" TargetMode="External" /><Relationship Type="http://schemas.openxmlformats.org/officeDocument/2006/relationships/hyperlink" Id="rId63" Target="https://doi.org/10.1037/0021-9010.90.1.94" TargetMode="External" /><Relationship Type="http://schemas.openxmlformats.org/officeDocument/2006/relationships/hyperlink" Id="rId73" Target="https://doi.org/10.1057/palgrave.jibs.8400003" TargetMode="External" /><Relationship Type="http://schemas.openxmlformats.org/officeDocument/2006/relationships/hyperlink" Id="rId88" Target="https://doi.org/10.1057/palgrave.jibs.8400073" TargetMode="External" /><Relationship Type="http://schemas.openxmlformats.org/officeDocument/2006/relationships/hyperlink" Id="rId87" Target="https://doi.org/10.1057/palgrave.jibs.8400377" TargetMode="External" /><Relationship Type="http://schemas.openxmlformats.org/officeDocument/2006/relationships/hyperlink" Id="rId84" Target="https://doi.org/10.1057/s41267-017-0078-8" TargetMode="External" /><Relationship Type="http://schemas.openxmlformats.org/officeDocument/2006/relationships/hyperlink" Id="rId66" Target="https://doi.org/10.1057/s41267-019-00243-7" TargetMode="External" /><Relationship Type="http://schemas.openxmlformats.org/officeDocument/2006/relationships/hyperlink" Id="rId65" Target="https://doi.org/10.1057/s41287-020-00328-2" TargetMode="External" /><Relationship Type="http://schemas.openxmlformats.org/officeDocument/2006/relationships/hyperlink" Id="rId80" Target="https://doi.org/10.1111/j.1468-0084.2009.00569.x" TargetMode="External" /><Relationship Type="http://schemas.openxmlformats.org/officeDocument/2006/relationships/hyperlink" Id="rId83" Target="https://doi.org/10.1177/0149206315624963" TargetMode="External" /><Relationship Type="http://schemas.openxmlformats.org/officeDocument/2006/relationships/hyperlink" Id="rId89" Target="https://doi.org/10.1177/0149206319846272" TargetMode="External" /><Relationship Type="http://schemas.openxmlformats.org/officeDocument/2006/relationships/hyperlink" Id="rId67" Target="https://doi.org/10.1177/014920639101700108" TargetMode="External" /><Relationship Type="http://schemas.openxmlformats.org/officeDocument/2006/relationships/hyperlink" Id="rId78" Target="https://doi.org/10.1177/2515245918770963" TargetMode="External" /><Relationship Type="http://schemas.openxmlformats.org/officeDocument/2006/relationships/hyperlink" Id="rId69" Target="https://doi.org/10.1257/mac.20180386" TargetMode="External" /><Relationship Type="http://schemas.openxmlformats.org/officeDocument/2006/relationships/hyperlink" Id="rId70" Target="https://doi.org/10.2307/2393553" TargetMode="External" /><Relationship Type="http://schemas.openxmlformats.org/officeDocument/2006/relationships/hyperlink" Id="rId68" Target="https://doi.org/10.25300/MISQ/2013/37:2.3" TargetMode="External" /><Relationship Type="http://schemas.openxmlformats.org/officeDocument/2006/relationships/hyperlink" Id="rId81" Target="https://doi.org/10.5465/20159604" TargetMode="External" /><Relationship Type="http://schemas.openxmlformats.org/officeDocument/2006/relationships/hyperlink" Id="rId76" Target="https://doi.org/10.5465/256948" TargetMode="External" /><Relationship Type="http://schemas.openxmlformats.org/officeDocument/2006/relationships/hyperlink" Id="rId75" Target="https://doi.org/10.5465/amr.1984.4277628" TargetMode="External" /><Relationship Type="http://schemas.openxmlformats.org/officeDocument/2006/relationships/hyperlink" Id="rId86" Target="https://doi.org/10.5465/amr.2003.9416341" TargetMode="External" /><Relationship Type="http://schemas.openxmlformats.org/officeDocument/2006/relationships/hyperlink" Id="rId93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5" Target="https://www.imda.gov.sg/resources/press-releases-factsheets-and-speeches/press-releases/2025/asia-tech-x-singapore-turns-five" TargetMode="External" /><Relationship Type="http://schemas.openxmlformats.org/officeDocument/2006/relationships/hyperlink" Id="rId97" Target="https://www.startupblink.com/blog/innovators-business-environment-index/" TargetMode="External" /><Relationship Type="http://schemas.openxmlformats.org/officeDocument/2006/relationships/hyperlink" Id="rId96" Target="https://www.startupblink.com/startup-ecosystem/singapore" TargetMode="External" /><Relationship Type="http://schemas.openxmlformats.org/officeDocument/2006/relationships/hyperlink" Id="rId94" Target="https://www.tech.gov.sg/about-us/our-achievements/our-digital-government-rankin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90" Target="https://doi.org/10.1002/gsj.1336" TargetMode="External" /><Relationship Type="http://schemas.openxmlformats.org/officeDocument/2006/relationships/hyperlink" Id="rId74" Target="https://doi.org/10.1002/smj.2399" TargetMode="External" /><Relationship Type="http://schemas.openxmlformats.org/officeDocument/2006/relationships/hyperlink" Id="rId92" Target="https://doi.org/10.1002/smj.2995" TargetMode="External" /><Relationship Type="http://schemas.openxmlformats.org/officeDocument/2006/relationships/hyperlink" Id="rId85" Target="https://doi.org/10.1007/s11135-006-9018-6" TargetMode="External" /><Relationship Type="http://schemas.openxmlformats.org/officeDocument/2006/relationships/hyperlink" Id="rId72" Target="https://doi.org/10.1007/s11575-007-0024-2" TargetMode="External" /><Relationship Type="http://schemas.openxmlformats.org/officeDocument/2006/relationships/hyperlink" Id="rId82" Target="https://doi.org/10.1016/0304-4076(85)90158-7" TargetMode="External" /><Relationship Type="http://schemas.openxmlformats.org/officeDocument/2006/relationships/hyperlink" Id="rId79" Target="https://doi.org/10.1016/0305-750X(92)90097-F" TargetMode="External" /><Relationship Type="http://schemas.openxmlformats.org/officeDocument/2006/relationships/hyperlink" Id="rId77" Target="https://doi.org/10.1016/j.ibusrev.2017.07.003" TargetMode="External" /><Relationship Type="http://schemas.openxmlformats.org/officeDocument/2006/relationships/hyperlink" Id="rId71" Target="https://doi.org/10.1016/j.jbusres.2008.01.013" TargetMode="External" /><Relationship Type="http://schemas.openxmlformats.org/officeDocument/2006/relationships/hyperlink" Id="rId91" Target="https://doi.org/10.1016/j.jbusres.2019.09.022" TargetMode="External" /><Relationship Type="http://schemas.openxmlformats.org/officeDocument/2006/relationships/hyperlink" Id="rId64" Target="https://doi.org/10.1016/j.leaqua.2010.10.010" TargetMode="External" /><Relationship Type="http://schemas.openxmlformats.org/officeDocument/2006/relationships/hyperlink" Id="rId63" Target="https://doi.org/10.1037/0021-9010.90.1.94" TargetMode="External" /><Relationship Type="http://schemas.openxmlformats.org/officeDocument/2006/relationships/hyperlink" Id="rId73" Target="https://doi.org/10.1057/palgrave.jibs.8400003" TargetMode="External" /><Relationship Type="http://schemas.openxmlformats.org/officeDocument/2006/relationships/hyperlink" Id="rId88" Target="https://doi.org/10.1057/palgrave.jibs.8400073" TargetMode="External" /><Relationship Type="http://schemas.openxmlformats.org/officeDocument/2006/relationships/hyperlink" Id="rId87" Target="https://doi.org/10.1057/palgrave.jibs.8400377" TargetMode="External" /><Relationship Type="http://schemas.openxmlformats.org/officeDocument/2006/relationships/hyperlink" Id="rId84" Target="https://doi.org/10.1057/s41267-017-0078-8" TargetMode="External" /><Relationship Type="http://schemas.openxmlformats.org/officeDocument/2006/relationships/hyperlink" Id="rId66" Target="https://doi.org/10.1057/s41267-019-00243-7" TargetMode="External" /><Relationship Type="http://schemas.openxmlformats.org/officeDocument/2006/relationships/hyperlink" Id="rId65" Target="https://doi.org/10.1057/s41287-020-00328-2" TargetMode="External" /><Relationship Type="http://schemas.openxmlformats.org/officeDocument/2006/relationships/hyperlink" Id="rId80" Target="https://doi.org/10.1111/j.1468-0084.2009.00569.x" TargetMode="External" /><Relationship Type="http://schemas.openxmlformats.org/officeDocument/2006/relationships/hyperlink" Id="rId83" Target="https://doi.org/10.1177/0149206315624963" TargetMode="External" /><Relationship Type="http://schemas.openxmlformats.org/officeDocument/2006/relationships/hyperlink" Id="rId89" Target="https://doi.org/10.1177/0149206319846272" TargetMode="External" /><Relationship Type="http://schemas.openxmlformats.org/officeDocument/2006/relationships/hyperlink" Id="rId67" Target="https://doi.org/10.1177/014920639101700108" TargetMode="External" /><Relationship Type="http://schemas.openxmlformats.org/officeDocument/2006/relationships/hyperlink" Id="rId78" Target="https://doi.org/10.1177/2515245918770963" TargetMode="External" /><Relationship Type="http://schemas.openxmlformats.org/officeDocument/2006/relationships/hyperlink" Id="rId69" Target="https://doi.org/10.1257/mac.20180386" TargetMode="External" /><Relationship Type="http://schemas.openxmlformats.org/officeDocument/2006/relationships/hyperlink" Id="rId70" Target="https://doi.org/10.2307/2393553" TargetMode="External" /><Relationship Type="http://schemas.openxmlformats.org/officeDocument/2006/relationships/hyperlink" Id="rId68" Target="https://doi.org/10.25300/MISQ/2013/37:2.3" TargetMode="External" /><Relationship Type="http://schemas.openxmlformats.org/officeDocument/2006/relationships/hyperlink" Id="rId81" Target="https://doi.org/10.5465/20159604" TargetMode="External" /><Relationship Type="http://schemas.openxmlformats.org/officeDocument/2006/relationships/hyperlink" Id="rId76" Target="https://doi.org/10.5465/256948" TargetMode="External" /><Relationship Type="http://schemas.openxmlformats.org/officeDocument/2006/relationships/hyperlink" Id="rId75" Target="https://doi.org/10.5465/amr.1984.4277628" TargetMode="External" /><Relationship Type="http://schemas.openxmlformats.org/officeDocument/2006/relationships/hyperlink" Id="rId86" Target="https://doi.org/10.5465/amr.2003.9416341" TargetMode="External" /><Relationship Type="http://schemas.openxmlformats.org/officeDocument/2006/relationships/hyperlink" Id="rId93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5" Target="https://www.imda.gov.sg/resources/press-releases-factsheets-and-speeches/press-releases/2025/asia-tech-x-singapore-turns-five" TargetMode="External" /><Relationship Type="http://schemas.openxmlformats.org/officeDocument/2006/relationships/hyperlink" Id="rId97" Target="https://www.startupblink.com/blog/innovators-business-environment-index/" TargetMode="External" /><Relationship Type="http://schemas.openxmlformats.org/officeDocument/2006/relationships/hyperlink" Id="rId96" Target="https://www.startupblink.com/startup-ecosystem/singapore" TargetMode="External" /><Relationship Type="http://schemas.openxmlformats.org/officeDocument/2006/relationships/hyperlink" Id="rId94" Target="https://www.tech.gov.sg/about-us/our-achievements/our-digital-government-rankin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2026-06-24T15:51:55Z</dcterms:created>
  <dcterms:modified xsi:type="dcterms:W3CDTF">2026-06-24T15:51:55Z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