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w:t>
      </w:r>
      <w:r>
        <w:t xml:space="preserve"> </w:t>
      </w:r>
      <w:r>
        <w:rPr>
          <w:bCs/>
          <w:b/>
        </w:rPr>
        <w:t xml:space="preserve">chi phí buộc phải quốc tế hóa (Forced Internationalization Penalty,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bản đồ này,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dồn đơn hàng sớm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không đồng nhất đáng kể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et al.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khoảng trống thể chế (institutional voids)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khoảng trống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cho thấy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hạ nguồn (downstream) sang thiết kế và R&amp;D trung nguồn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et al.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xuyên chế độ thể chế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nghịch lý EAP, nữ quản lý dẫn đầu toàn cầu nhưng trần sở hữu (ownership ceiling) thấp hơn trần quản lý (management ceiling) 7,7 điểm; (b) điểm nghẽn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xuyên chế độ thể chế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xuyên chế độ thể chế quan trọng về lý thuyết.</w:t>
      </w:r>
    </w:p>
    <w:p>
      <w:pPr>
        <w:pStyle w:val="BodyText"/>
      </w:pPr>
      <w:r>
        <w:rPr>
          <w:bCs/>
          <w:b/>
        </w:rPr>
        <w:t xml:space="preserve">(4) Sai số chuẩn vững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xuyên chế độ thể chế.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trần quản lý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Tuần tự hóa năng lực (sequencing)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hạ nguồn sang thiết kế và R&amp;D trung nguồn</w:t>
      </w:r>
      <w:r>
        <w:t xml:space="preserve">: Việt Nam ở điểm uốn (39-46%). Trung Quốc R&amp;D 39,4% và điểm uốn cao hơn (47-49%) cho thấy: Sự chênh lệch điểm uốn giữa Trung Quốc (TP ~47-49%, Nhóm III) và Việt Nam (TP ~39-46%, Nhóm IV) phản ánh dải biến thiên (gradient) theo ICRV, không phải dải biến thiên theo TCI. TCI nâng mặt bằng năng suất ở mọi mức FSTS (hiệu ứng dịch chuyển mức, level-shift) nhưng không trực tiếp quyết định vị trí điểm uốn. Phân biệt hai cơ chế này có ý nghĩa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Kiểm định giả dược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2026-05-29T12:18:39Z</dcterms:created>
  <dcterms:modified xsi:type="dcterms:W3CDTF">2026-05-29T12:18:39Z</dcterms:modified>
</cp:coreProperties>
</file>

<file path=docProps/custom.xml><?xml version="1.0" encoding="utf-8"?>
<Properties xmlns="http://schemas.openxmlformats.org/officeDocument/2006/custom-properties" xmlns:vt="http://schemas.openxmlformats.org/officeDocument/2006/docPropsVTypes"/>
</file>