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 ICRV) dựa trên tổ hợp các Chỉ số Quản trị Toàn cầu (Worldwide Governance</w:t>
      </w:r>
      <w:r>
        <w:t xml:space="preserve"> </w:t>
      </w:r>
      <w:r>
        <w:t xml:space="preserve">Indicators —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2026-06-11T17:54:15Z</dcterms:created>
  <dcterms:modified xsi:type="dcterms:W3CDTF">2026-06-11T17:54:15Z</dcterms:modified>
</cp:coreProperties>
</file>

<file path=docProps/custom.xml><?xml version="1.0" encoding="utf-8"?>
<Properties xmlns="http://schemas.openxmlformats.org/officeDocument/2006/custom-properties" xmlns:vt="http://schemas.openxmlformats.org/officeDocument/2006/docPropsVTypes"/>
</file>