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I→P curves by wave; Figure 4</w:t>
      </w:r>
      <w:r>
        <w:t xml:space="preserve"> </w:t>
      </w:r>
      <w:r>
        <w:t xml:space="preserve">capability level-shift coefficients).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, 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</w:t>
      </w:r>
      <w:r>
        <w:t xml:space="preserve">, World Bank Enterprise Survey microdata</w:t>
      </w:r>
      <w:r>
        <w:t xml:space="preserve"> </w:t>
      </w:r>
      <w:r>
        <w:t xml:space="preserve">for China (2012, N = 2,610; 2024, N = 1,934; pooled N = 4,544;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</w:t>
      </w:r>
      <w:r>
        <w:t xml:space="preserve">, 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</w:t>
      </w:r>
      <w:r>
        <w:t xml:space="preserve">, 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0"/>
    <w:bookmarkStart w:id="21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49.4 %)</w:t>
      </w:r>
      <w:r>
        <w:t xml:space="preserve"> </w:t>
      </w:r>
      <w:r>
        <w:t xml:space="preserve">and 2024 (turning point 47.2 %) waves, with overlapping 95 %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 = +0.82, p = .412; FSTS²</w:t>
      </w:r>
      <w:r>
        <w:t xml:space="preserve"> </w:t>
      </w:r>
      <w:r>
        <w:t xml:space="preserve">z = −0.61, p = 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 = 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48 % export intensity regardless of decade.</w:t>
      </w:r>
    </w:p>
    <w:bookmarkEnd w:id="21"/>
    <w:bookmarkStart w:id="22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 2 develops</w:t>
      </w:r>
      <w:r>
        <w:t xml:space="preserve"> </w:t>
      </w:r>
      <w:r>
        <w:t xml:space="preserve">the theoretical framework and hypotheses. Section 3 describes data,</w:t>
      </w:r>
      <w:r>
        <w:t xml:space="preserve"> </w:t>
      </w:r>
      <w:r>
        <w:t xml:space="preserve">variables, and methods. Section 4 presents results. Section 5 discusses</w:t>
      </w:r>
      <w:r>
        <w:t xml:space="preserve"> </w:t>
      </w:r>
      <w:r>
        <w:t xml:space="preserve">implications, limitations, and future directions.</w:t>
      </w:r>
    </w:p>
    <w:bookmarkEnd w:id="22"/>
    <w:bookmarkStart w:id="26" w:name="X8bf20a63f0decf7b16e99d564b9958ec4fbbb23"/>
    <w:p>
      <w:pPr>
        <w:pStyle w:val="Heading2"/>
      </w:pPr>
      <w:r>
        <w:t xml:space="preserve">2. Theory and Hypotheses</w:t>
      </w:r>
    </w:p>
    <w:bookmarkStart w:id="23" w:name="Xe089a51cf00ad631dbcdfa837bfcf2befbbb388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40–60 %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3"/>
    <w:bookmarkStart w:id="24" w:name="Xf1c81d13fe998b882da119ca3ec3b3d40ce5a1b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 “wave-specific” 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China's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China's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4"/>
    <w:bookmarkStart w:id="25" w:name="X505f50cd1f9abb1ab06672992aff36a1dc7f136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 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§4.5.</w:t>
      </w:r>
    </w:p>
    <w:bookmarkEnd w:id="25"/>
    <w:bookmarkEnd w:id="26"/>
    <w:bookmarkStart w:id="30" w:name="X5eb800a903106e48a684e9ea9de39ed619b9df8"/>
    <w:p>
      <w:pPr>
        <w:pStyle w:val="Heading2"/>
      </w:pPr>
      <w:r>
        <w:t xml:space="preserve">3. Data and Methods</w:t>
      </w:r>
    </w:p>
    <w:bookmarkStart w:id="27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2,700 firms; World Bank, 2013) and</w:t>
      </w:r>
      <w:r>
        <w:t xml:space="preserve"> </w:t>
      </w:r>
      <w:r>
        <w:t xml:space="preserve">2024 (2,189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2,619 firms in 2012, 1,940 firms in</w:t>
      </w:r>
      <w:r>
        <w:t xml:space="preserve"> </w:t>
      </w:r>
      <w:r>
        <w:t xml:space="preserve">2024, and 4,559 firm‑year observations in the pooled sample. The 2024</w:t>
      </w:r>
      <w:r>
        <w:t xml:space="preserve"> </w:t>
      </w:r>
      <w:r>
        <w:t xml:space="preserve">sample is smaller than 2012 (N = 1,940 vs N = 2,619,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§4.6.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2,619 firms in 2012, 1,940 firms in 2024, and 4,559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2,610 (2012), 1,934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4,544 (pooled)</w:t>
      </w:r>
      <w:r>
        <w:t xml:space="preserve">, these are the N reported throughout the</w:t>
      </w:r>
      <w:r>
        <w:t xml:space="preserve"> </w:t>
      </w:r>
      <w:r>
        <w:t xml:space="preserve">paper (abstract, Table 1, Table 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(49.4 % in 2012, 47.2 % in 2024, 48.8 %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1,940 of 2,189 firms (88.6 %).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1,934 observations and the pooled</w:t>
      </w:r>
      <w:r>
        <w:t xml:space="preserve"> </w:t>
      </w:r>
      <w:r>
        <w:t xml:space="preserve">sample to 4,544. Turning-point estimates (47.2 % in 2024) and</w:t>
      </w:r>
      <w:r>
        <w:t xml:space="preserve"> </w:t>
      </w:r>
      <w:r>
        <w:t xml:space="preserve">Paternoster z-tests are invariant across the two sample definitions.</w:t>
      </w:r>
    </w:p>
    <w:bookmarkEnd w:id="27"/>
    <w:bookmarkStart w:id="28" w:name="X431a8b355211b47c6e494a5f659051454df4ed1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10 % foreign equity); (d) ISIC 2-digit industry stratum</w:t>
      </w:r>
      <w:r>
        <w:t xml:space="preserve"> </w:t>
      </w:r>
      <w:r>
        <w:t xml:space="preserve">dummies.</w:t>
      </w:r>
    </w:p>
    <w:bookmarkEnd w:id="28"/>
    <w:bookmarkStart w:id="29" w:name="X88d3b635b18ee197bee6ec760e4576787847be1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1985), clustered on firm identifier (</w:t>
      </w:r>
      <w:r>
        <w:rPr>
          <w:rStyle w:val="VerbatimChar"/>
        </w:rPr>
        <w:t xml:space="preserve">idstd</w:t>
      </w:r>
      <w:r>
        <w:t xml:space="preserve">) in the pooled</w:t>
      </w:r>
      <w:r>
        <w:t xml:space="preserve"> </w:t>
      </w:r>
      <w:r>
        <w:t xml:space="preserve">specification. Among the pooled 4,559 observations, 217 firms appear in</w:t>
      </w:r>
      <w:r>
        <w:t xml:space="preserve"> </w:t>
      </w:r>
      <w:r>
        <w:t xml:space="preserve">both the 2012 and 2024 waves (the 'panel core'), enabling within-firm</w:t>
      </w:r>
      <w:r>
        <w:t xml:space="preserve"> </w:t>
      </w:r>
      <w:r>
        <w:t xml:space="preserve">variation estimates via cluster-robust standard errors on firm</w:t>
      </w:r>
      <w:r>
        <w:t xml:space="preserve"> </w:t>
      </w:r>
      <w:r>
        <w:t xml:space="preserve">identifiers. This panel core, though modest in size relative to the full</w:t>
      </w:r>
      <w:r>
        <w:t xml:space="preserve"> </w:t>
      </w:r>
      <w:r>
        <w:t xml:space="preserve">sample, provides additional identification leverage unavailable in</w:t>
      </w:r>
      <w:r>
        <w:t xml:space="preserve"> </w:t>
      </w:r>
      <w:r>
        <w:t xml:space="preserve">single-wave studies. The main specification (M2) includes FSTS, FSTS²,</w:t>
      </w:r>
      <w:r>
        <w:t xml:space="preserve"> </w:t>
      </w:r>
      <w:r>
        <w:t xml:space="preserve">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95 %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29"/>
    <w:bookmarkEnd w:id="30"/>
    <w:bookmarkStart w:id="37" w:name="X121719332867ee227f0a04b486098cee978c6e6"/>
    <w:p>
      <w:pPr>
        <w:pStyle w:val="Heading2"/>
      </w:pPr>
      <w:r>
        <w:t xml:space="preserve">4. Results</w:t>
      </w:r>
    </w:p>
    <w:bookmarkStart w:id="31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2,610) has mean log labour productivity of 12.52 (SD</w:t>
      </w:r>
      <w:r>
        <w:t xml:space="preserve"> </w:t>
      </w:r>
      <w:r>
        <w:t xml:space="preserve">1.19) and mean export intensity of 5.2 %, with 19.4 % of firms reporting</w:t>
      </w:r>
      <w:r>
        <w:t xml:space="preserve"> </w:t>
      </w:r>
      <w:r>
        <w:t xml:space="preserve">any positive direct-export intensity. The 2024 wave (N = 1,934)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3.6 %, with 12.4 %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1,639 firms in 2012 (63 %) and 1,920 firms in</w:t>
      </w:r>
      <w:r>
        <w:t xml:space="preserve"> </w:t>
      </w:r>
      <w:r>
        <w:t xml:space="preserve">2024 (99 %),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1"/>
    <w:bookmarkStart w:id="32" w:name="X34b83cd764295e21fd4e71e3151b388b8f2159e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49.4 % (95 % CI: 43.1–55.7 %) in 2012 and</w:t>
      </w:r>
      <w:r>
        <w:t xml:space="preserve"> </w:t>
      </w:r>
      <w:r>
        <w:t xml:space="preserve">47.2 % (95 % CI: 40.8–53.6 %)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China's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4,544) yields FSTS β = +1.24 (p &lt; .001) and FSTS²</w:t>
      </w:r>
      <w:r>
        <w:t xml:space="preserve"> </w:t>
      </w:r>
      <w:r>
        <w:t xml:space="preserve">β = −1.55 (p &lt; .001), with turning point at 48.8 % (95 % CI:</w:t>
      </w:r>
      <w:r>
        <w:t xml:space="preserve"> </w:t>
      </w:r>
      <w:r>
        <w:t xml:space="preserve">44.2–53.4 %).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95 %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 2.</w:t>
      </w:r>
      <w:r>
        <w:t xml:space="preserve"> </w:t>
      </w:r>
      <w:r>
        <w:t xml:space="preserve">Delta-method 95 % confidence intervals for the</w:t>
      </w:r>
      <w:r>
        <w:t xml:space="preserve"> </w:t>
      </w:r>
      <w:r>
        <w:t xml:space="preserve">turning-point estimates in 2012 (49.4 %) and 2024 (47.2 %). The</w:t>
      </w:r>
      <w:r>
        <w:t xml:space="preserve"> </w:t>
      </w:r>
      <w:r>
        <w:t xml:space="preserve">substantial overlap is consistent with structural durability (H2b).</w:t>
      </w:r>
    </w:p>
    <w:bookmarkEnd w:id="32"/>
    <w:bookmarkStart w:id="33" w:name="Xfe3c331420c241aa73c6296372277a6d3f913cb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 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95 % pointwise CIs.</w:t>
      </w:r>
    </w:p>
    <w:bookmarkEnd w:id="33"/>
    <w:bookmarkStart w:id="34" w:name="X86f6006676d1e9a822b51b562b1655386d9e86b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 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95 %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4"/>
    <w:bookmarkStart w:id="35" w:name="Xdf31b4a83ae47f030a08265332b3138989411fc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→ lnLP relationship via a sequential</w:t>
      </w:r>
      <w:r>
        <w:t xml:space="preserve"> </w:t>
      </w:r>
      <w:r>
        <w:t xml:space="preserve">mediation path (TCI_full → DAI_core → lnLP). Bootstrap indirect-effect</w:t>
      </w:r>
      <w:r>
        <w:t xml:space="preserve"> </w:t>
      </w:r>
      <w:r>
        <w:t xml:space="preserve">estimates (n = 1,000 draws) yield small but positive indirect effects</w:t>
      </w:r>
      <w:r>
        <w:t xml:space="preserve"> </w:t>
      </w:r>
      <w:r>
        <w:t xml:space="preserve">(2012: +0.018, 95 % CI [0.004, 0.039]; 2024: +0.022, 95 %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 “descriptive mechanism sketch” rather than a causal</w:t>
      </w:r>
      <w:r>
        <w:t xml:space="preserve"> </w:t>
      </w:r>
      <w:r>
        <w:t xml:space="preserve">identification claim (Antonakis et al., 2010; Shaver, 2020).</w:t>
      </w:r>
    </w:p>
    <w:bookmarkEnd w:id="35"/>
    <w:bookmarkStart w:id="36" w:name="X7b68f907ed55e65a2ee44288bf21fafeaedb955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48.1 % (2012) and 46.4 %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47.9 % in 2012 and 45.7 %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44.8 % to 51.3 %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36"/>
    <w:bookmarkEnd w:id="37"/>
    <w:bookmarkStart w:id="43" w:name="X735612638e4e736e4693e459c258977262c0dfc"/>
    <w:p>
      <w:pPr>
        <w:pStyle w:val="Heading2"/>
      </w:pPr>
      <w:r>
        <w:t xml:space="preserve">5. Discussion</w:t>
      </w:r>
    </w:p>
    <w:bookmarkStart w:id="38" w:name="Xa0c03496b4c04a1649263a3e01d0b00bd039955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49.4 % (2012)</w:t>
      </w:r>
      <w:r>
        <w:t xml:space="preserve"> </w:t>
      </w:r>
      <w:r>
        <w:t xml:space="preserve">and 47.2 % (2024) are statistically indistinguishable by the Paternoster</w:t>
      </w:r>
      <w:r>
        <w:t xml:space="preserve"> </w:t>
      </w:r>
      <w:r>
        <w:t xml:space="preserve">test, and the pooled estimate (48.8 %)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 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48 %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38"/>
    <w:bookmarkStart w:id="39" w:name="X662147d669ae611953db259d7b4d93f76a97e61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 “level-shifter”: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 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I→P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39"/>
    <w:bookmarkStart w:id="40" w:name="Xeab358fda242154d2e818677c8845f988021d48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(§4.5) suggests a partial mediation</w:t>
      </w:r>
      <w:r>
        <w:t xml:space="preserve"> </w:t>
      </w:r>
      <w:r>
        <w:t xml:space="preserve">pathway (TCI → DAI →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0"/>
    <w:bookmarkStart w:id="41" w:name="X47b33dbf897054d79ce3d759da46f0a1ef21be8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Four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(§4.6)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</w:t>
      </w:r>
    </w:p>
    <w:bookmarkEnd w:id="41"/>
    <w:bookmarkStart w:id="42" w:name="X6239b91c09f491af0efd332004cb71e9de7a16c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(Đỗ &amp; Phan,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2"/>
    <w:bookmarkEnd w:id="43"/>
    <w:bookmarkStart w:id="44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(49.4 %</w:t>
      </w:r>
      <w:r>
        <w:t xml:space="preserve"> </w:t>
      </w:r>
      <w:r>
        <w:t xml:space="preserve">and 47.2 %)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4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5">
        <w:hyperlink r:id="rId45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46"/>
    <w:bookmarkStart w:id="4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48"/>
    <w:bookmarkStart w:id="49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49"/>
    <w:bookmarkStart w:id="7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&amp;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0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&amp;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1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&amp;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2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Do, T. H., &amp; Phan, A. T. (2026). Unveiling the impact of Chinese</w:t>
      </w:r>
      <w:r>
        <w:t xml:space="preserve"> </w:t>
      </w:r>
      <w:r>
        <w:t xml:space="preserve">manufacturing SMEs' internationalization on performance.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Finance and Accounting Research</w:t>
      </w:r>
      <w:r>
        <w:t xml:space="preserve">. Advance online publication.</w:t>
      </w:r>
    </w:p>
    <w:p>
      <w:pPr>
        <w:pStyle w:val="BodyText"/>
      </w:pPr>
      <w:r>
        <w:t xml:space="preserve">Haans, R. F. J., Pieters, C., &amp;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3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Hitt, M. A., Hoskisson, R. E., &amp;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4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Kano, L., Tsang, E. W. K., &amp;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5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&amp;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56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57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&amp;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58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&amp;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59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&amp;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0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1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&amp;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2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Meyer, K. E., van Witteloostuijn, A., &amp; Beugelsdijk, S. (2017). What's</w:t>
      </w:r>
      <w:r>
        <w:t xml:space="preserve"> </w:t>
      </w:r>
      <w:r>
        <w:t xml:space="preserve">in a p? Reassessing best practices for conducting and reporting</w:t>
      </w:r>
      <w:r>
        <w:t xml:space="preserve"> </w:t>
      </w:r>
      <w:r>
        <w:t xml:space="preserve">hypothesis-testing research.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48</w:t>
      </w:r>
      <w:r>
        <w:t xml:space="preserve">(5), 535–551.</w:t>
      </w:r>
      <w:r>
        <w:t xml:space="preserve"> </w:t>
      </w:r>
      <w:hyperlink r:id="rId63">
        <w:r>
          <w:rPr>
            <w:rStyle w:val="Hyperlink"/>
          </w:rPr>
          <w:t xml:space="preserve">https://doi.org/10.1057/s41267-017-0078-8</w:t>
        </w:r>
      </w:hyperlink>
    </w:p>
    <w:p>
      <w:pPr>
        <w:pStyle w:val="BodyText"/>
      </w:pPr>
      <w:r>
        <w:t xml:space="preserve">Nambisan, S., Wright, M., &amp;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4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&amp;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5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&amp;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66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&amp;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67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&amp;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68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69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0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&amp;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1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2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&amp;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3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4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&amp;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5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python/</w:t>
      </w:r>
      <w:r>
        <w:t xml:space="preserve">, *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t xml:space="preserve">, and*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2026-06-09T15:42:48Z</dcterms:created>
  <dcterms:modified xsi:type="dcterms:W3CDTF">2026-06-09T15:42:48Z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