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perspectives connect the three new moderators to established I→P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cf2a2351c020ca4b0c31002fd6a9bd1b3ab11d2"/>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X56bcf813f2a95d583c2633c34dc43ef38ccc7de"/>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X7396c84a58a901f6382de3a73ce5704f8cd234e"/>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Xd6077087b9573096b494e1050255764306afad2"/>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X9f459728ae2c4e39aee69d49761868d88bce138"/>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I→P pooled effect, with publication bias (H4) assessed at the synthesis level. The model nests K = 288 effects within k = 238 studies (σ²_within = 0.00878, I²₍₂₎ = 54.1%) within between-study heterogeneity (σ²_between = 0.00136, I²₍₃₎ = 8.4%); total I² = 62.5%.</w:t>
      </w:r>
    </w:p>
    <w:bookmarkEnd w:id="27"/>
    <w:bookmarkEnd w:id="28"/>
    <w:bookmarkStart w:id="35" w:name="Xeae2dc85413e447d2c08d145b986cffc1f454f7"/>
    <w:p>
      <w:pPr>
        <w:pStyle w:val="Heading2"/>
      </w:pPr>
      <w:r>
        <w:t xml:space="preserve">3. Method</w:t>
      </w:r>
    </w:p>
    <w:p>
      <w:pPr>
        <w:pStyle w:val="FirstParagraph"/>
      </w:pPr>
      <w:r>
        <w:t xml:space="preserve">The approach follows the APA Meta-Analysis Reporting Standards (Cooper, 2010) and PRISMA 2020 (Page et al., 2021); the analysis plan was registered on OSF as a transparency registration (the working corpus had already been assembled).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X1802a217dd512d878ac4ac3d31ded1d752133f7"/>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X249b1c8ec7bd151bfdc081a3a6d9cad52df428d"/>
    <w:p>
      <w:pPr>
        <w:pStyle w:val="Heading3"/>
      </w:pPr>
      <w:r>
        <w:t xml:space="preserve">3.2 Eligibility and selection</w:t>
      </w:r>
    </w:p>
    <w:p>
      <w:pPr>
        <w:pStyle w:val="FirstParagraph"/>
      </w:pPr>
      <w:r>
        <w:t xml:space="preserve">Two screeners applied criteria in two stages (title/abstract, then full text), with a third reviewer adjudicating.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synthesized corpus is k = 238 studies, K = 288 effect sizes, assembled by citation-anchored systematic searching rather than an exhaustive database census; the flow is reported under the PRISMA 2020 "studies identified via other methods" variant (Appendix A, supplementary).</w:t>
      </w:r>
    </w:p>
    <w:bookmarkEnd w:id="30"/>
    <w:bookmarkStart w:id="31" w:name="X911b85b7d60b4631a74a44b8e34828711e4cba4"/>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using a standardized form. When r was not reported, conversions were applied in precision order: r = √[t²/(t²+df)] (Cohen, 1988); r_partial = β × 0.98 (Peterson &amp; Brown, 2005);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Xc8829ca4ed1c67a784f7cb6bae0c2ce6990503a"/>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Xf12b82e02b6b6d5b336e6597aa75baa0b8bb247"/>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X607f682684a07c46baaa64679fe4ae5dcc53720"/>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pre-specified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X121719332867ee227f0a04b486098cee978c6e6"/>
    <w:p>
      <w:pPr>
        <w:pStyle w:val="Heading2"/>
      </w:pPr>
      <w:r>
        <w:t xml:space="preserve">4. Results</w:t>
      </w:r>
    </w:p>
    <w:bookmarkStart w:id="36"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coded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was coded by the first author against the standardized codebook (Appendix B). For reliability, the two authors independently coded a 20% stratified subsample (k = 47 studies), blind to each other's codes; agreement was assessed with Cohen's κ for the categorical moderators and ICC(2, 1) for the continuous cDAI index, against the Landis and Koch (1977) thresholds (κ ≥ 0.70; ICC ≥ 0.80). Disagreements were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36"/>
    <w:bookmarkStart w:id="37"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37"/>
    <w:bookmarkStart w:id="38"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39"/>
    <w:bookmarkStart w:id="40"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X735612638e4e736e4693e459c258977262c0dfc"/>
    <w:p>
      <w:pPr>
        <w:pStyle w:val="Heading2"/>
      </w:pPr>
      <w:r>
        <w:t xml:space="preserve">5. Discussion</w:t>
      </w:r>
    </w:p>
    <w:bookmarkStart w:id="4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5"/>
    <w:bookmarkStart w:id="4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was established on a 20% double-coded subsample (</w:t>
      </w:r>
      <w:r>
        <w:rPr>
          <w:iCs/>
          <w:i/>
        </w:rPr>
        <w:t xml:space="preserve">k</w:t>
      </w:r>
      <w:r>
        <w:t xml:space="preserve"> </w:t>
      </w:r>
      <w:r>
        <w:t xml:space="preserve">= 47 studies), with the two authors coding independently and agreement reported in Table 3.1; the remaining 80% was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3"/>
    <w:bookmarkStart w:id="57"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4">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5">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6">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2026-06-09T15:42:50Z</dcterms:created>
  <dcterms:modified xsi:type="dcterms:W3CDTF">2026-06-09T15:42:50Z</dcterms:modified>
</cp:coreProperties>
</file>

<file path=docProps/custom.xml><?xml version="1.0" encoding="utf-8"?>
<Properties xmlns="http://schemas.openxmlformats.org/officeDocument/2006/custom-properties" xmlns:vt="http://schemas.openxmlformats.org/officeDocument/2006/docPropsVTypes"/>
</file>