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shifting the turning point from approximately 28%</w:t>
      </w:r>
      <w:r>
        <w:t xml:space="preserve"> </w:t>
      </w:r>
      <w:r>
        <w:t xml:space="preserve">in advanced-institution economies to approximately 55% in</w:t>
      </w:r>
      <w:r>
        <w:t xml:space="preserve"> </w:t>
      </w:r>
      <w:r>
        <w:t xml:space="preserve">weaker-institution economies, and the regime-contingent digital effect</w:t>
      </w:r>
      <w:r>
        <w:t xml:space="preserve"> </w:t>
      </w:r>
      <w:r>
        <w:t xml:space="preserve">(DAI×ICRV) is significant (p = .012), indicating stronger per-unit</w:t>
      </w:r>
      <w:r>
        <w:t xml:space="preserve"> </w:t>
      </w:r>
      <w:r>
        <w:t xml:space="preserve">digital returns where institutions are weaker. Managerial experience and</w:t>
      </w:r>
      <w:r>
        <w:t xml:space="preserve"> </w:t>
      </w:r>
      <w:r>
        <w:t xml:space="preserve">female top management improve performance; experience marginally</w:t>
      </w:r>
      <w:r>
        <w:t xml:space="preserve"> </w:t>
      </w:r>
      <w:r>
        <w:t xml:space="preserve">moderates the curve shape (p = .053) in the full specification. Across</w:t>
      </w:r>
      <w:r>
        <w:t xml:space="preserve"> </w:t>
      </w:r>
      <w:r>
        <w:t xml:space="preserve">six formal hypotheses (H1–H6) we therefore test the curve, two</w:t>
      </w:r>
      <w:r>
        <w:t xml:space="preserve"> </w:t>
      </w:r>
      <w:r>
        <w:t xml:space="preserve">capability moderators (TCI, DAI), managerial characteristics, the</w:t>
      </w:r>
      <w:r>
        <w:t xml:space="preserve"> </w:t>
      </w:r>
      <w:r>
        <w:t xml:space="preserve">institutional-regime turning-point shift, and regime-contingent digital</w:t>
      </w:r>
      <w:r>
        <w:t xml:space="preserve"> </w:t>
      </w:r>
      <w:r>
        <w:t xml:space="preserve">effects.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 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so 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 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17%</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107% higher labour</w:t>
      </w:r>
      <w:r>
        <w:t xml:space="preserve"> </w:t>
      </w:r>
      <w:r>
        <w:t xml:space="preserve">productivity level (exp(0.729) − 1 ≈ 107%).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+1.636, p</w:t>
      </w:r>
      <w:r>
        <w:t xml:space="preserve"> </w:t>
      </w:r>
      <w:r>
        <w:t xml:space="preserve">&lt; .001) and FSTS²×ICRV (β = −2.501,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(Frontier/SIDS),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 "performance" 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49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6"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6">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57">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0">
        <w:r>
          <w:rPr>
            <w:rStyle w:val="Hyperlink"/>
          </w:rPr>
          <w:t xml:space="preserve">https://doi.org/10.5465/amr.1984.4277628</w:t>
        </w:r>
      </w:hyperlink>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2">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7">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hyperlink r:id="rId68">
        <w:r>
          <w:rPr>
            <w:rStyle w:val="Hyperlink"/>
          </w:rPr>
          <w:t xml:space="preserve">https://doi.org/10.1007/s11575-010-0029-0</w:t>
        </w:r>
      </w:hyperlink>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w:t>
      </w:r>
      <w:r>
        <w:t xml:space="preserve"> </w:t>
      </w:r>
      <w:hyperlink r:id="rId70">
        <w:r>
          <w:rPr>
            <w:rStyle w:val="Hyperlink"/>
          </w:rPr>
          <w:t xml:space="preserve">https://doi.org/10.5267/j.ac.2020.9.006</w:t>
        </w:r>
      </w:hyperlink>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71">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2">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3">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4">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5">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5">
        <w:r>
          <w:rPr>
            <w:rStyle w:val="Hyperlink"/>
          </w:rPr>
          <w:t xml:space="preserve">https://www.worldbank.org/ext/en/country/vietnam</w:t>
        </w:r>
      </w:hyperlink>
    </w:p>
    <w:bookmarkEnd w:id="76"/>
    <w:bookmarkStart w:id="77"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7"/>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71" Target="https://doi.org/10.1002/gsj.1336" TargetMode="External" /><Relationship Type="http://schemas.openxmlformats.org/officeDocument/2006/relationships/hyperlink" Id="rId57" Target="https://doi.org/10.1002/smj.2399" TargetMode="External" /><Relationship Type="http://schemas.openxmlformats.org/officeDocument/2006/relationships/hyperlink" Id="rId73" Target="https://doi.org/10.1002/smj.425005020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68" Target="https://doi.org/10.1007/s11575-010-0029-0" TargetMode="External" /><Relationship Type="http://schemas.openxmlformats.org/officeDocument/2006/relationships/hyperlink" Id="rId72" Target="https://doi.org/10.1016/j.jbusres.2019.09.022" TargetMode="External" /><Relationship Type="http://schemas.openxmlformats.org/officeDocument/2006/relationships/hyperlink" Id="rId69" Target="https://doi.org/10.1016/j.jwb.2007.11.009"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6"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0" Target="https://doi.org/10.5267/j.ac.2020.9.006"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58" Target="https://doi.org/10.5772/intechopen.1011012" TargetMode="External" /><Relationship Type="http://schemas.openxmlformats.org/officeDocument/2006/relationships/hyperlink" Id="rId74" Target="https://www.enterprisesurveys.org" TargetMode="External" /><Relationship Type="http://schemas.openxmlformats.org/officeDocument/2006/relationships/hyperlink" Id="rId75"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71" Target="https://doi.org/10.1002/gsj.1336" TargetMode="External" /><Relationship Type="http://schemas.openxmlformats.org/officeDocument/2006/relationships/hyperlink" Id="rId57" Target="https://doi.org/10.1002/smj.2399" TargetMode="External" /><Relationship Type="http://schemas.openxmlformats.org/officeDocument/2006/relationships/hyperlink" Id="rId73" Target="https://doi.org/10.1002/smj.425005020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68" Target="https://doi.org/10.1007/s11575-010-0029-0" TargetMode="External" /><Relationship Type="http://schemas.openxmlformats.org/officeDocument/2006/relationships/hyperlink" Id="rId72" Target="https://doi.org/10.1016/j.jbusres.2019.09.022" TargetMode="External" /><Relationship Type="http://schemas.openxmlformats.org/officeDocument/2006/relationships/hyperlink" Id="rId69" Target="https://doi.org/10.1016/j.jwb.2007.11.009"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6"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0" Target="https://doi.org/10.5267/j.ac.2020.9.006"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58" Target="https://doi.org/10.5772/intechopen.1011012" TargetMode="External" /><Relationship Type="http://schemas.openxmlformats.org/officeDocument/2006/relationships/hyperlink" Id="rId74" Target="https://www.enterprisesurveys.org" TargetMode="External" /><Relationship Type="http://schemas.openxmlformats.org/officeDocument/2006/relationships/hyperlink" Id="rId75"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2026-06-09T15:42:50Z</dcterms:created>
  <dcterms:modified xsi:type="dcterms:W3CDTF">2026-06-09T15:42:50Z</dcterms:modified>
</cp:coreProperties>
</file>

<file path=docProps/custom.xml><?xml version="1.0" encoding="utf-8"?>
<Properties xmlns="http://schemas.openxmlformats.org/officeDocument/2006/custom-properties" xmlns:vt="http://schemas.openxmlformats.org/officeDocument/2006/docPropsVTypes"/>
</file>