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4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International Journal of Emerging Markets (Emerald Publishing).</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2014 to 2025 institutional and digital transformation decade (demonetisation, GST, IBC, UPI, PLI, Atmanirbhar Bharat), and whether technological and digital capabilities moderate the threshold.</w:t>
      </w:r>
    </w:p>
    <w:p>
      <w:pPr>
        <w:pStyle w:val="BodyText"/>
      </w:pPr>
      <w:r>
        <w:rPr>
          <w:bCs/>
          <w:b/>
        </w:rPr>
        <w:t xml:space="preserve">Design/methodology/approach.</w:t>
      </w:r>
      <w:r>
        <w:t xml:space="preserve"> </w:t>
      </w:r>
      <w:r>
        <w:t xml:space="preserve">Three World Bank Enterprise Survey waves for India (2014 PICS3, 2022 BEE, 2025 BREADY; analytic N = 28,717) are estimated by OLS with HC1 robust standard errors, quadratic FSTS terms, and capability interactions. Lind–Mehlum U-tests verify the inverted-U per wave; Paternoster z-tests evaluate 2014-versus-2025 coefficient equality; the 2022 wave provides 3-wave robustness; UPI rollout (April 2016) supplies a quasi-experiment for digital saturation.</w:t>
      </w:r>
    </w:p>
    <w:p>
      <w:pPr>
        <w:pStyle w:val="BodyText"/>
      </w:pPr>
      <w:r>
        <w:rPr>
          <w:bCs/>
          <w:b/>
        </w:rPr>
        <w:t xml:space="preserve">Findings.</w:t>
      </w:r>
      <w:r>
        <w:t xml:space="preserve"> </w:t>
      </w:r>
      <w:r>
        <w:t xml:space="preserve">The inverted-U structurally collapses. The turning point migrates from FSTS = 61.8 per cent (2014) to 40.7 per cent (2022); by 2025 the curvature term is insignificant (β₂ = −0.16, p = 0.42) and the relationship is monotonically negative. Paternoster z-tests reject coefficient equality for the linear (z = −7.94) and quadratic (z = +4.17) terms (both p &lt; 0.0001). The UPI Tier-2 e-payment interaction is negative (FSTS × DAI_epay = −4.02, p = 0.004), indicating domestic-rupee digital infrastructure does not substitute for the cross-border financial infrastructure exporters require.</w:t>
      </w:r>
    </w:p>
    <w:p>
      <w:pPr>
        <w:pStyle w:val="BodyText"/>
      </w:pPr>
      <w:r>
        <w:rPr>
          <w:bCs/>
          <w:b/>
        </w:rPr>
        <w:t xml:space="preserve">Originality/value.</w:t>
      </w:r>
      <w:r>
        <w:t xml:space="preserve"> </w:t>
      </w:r>
      <w:r>
        <w:t xml:space="preserve">This provides the first firm-level evidence that extreme institutional transformation can dissolve, rather than relocate, the inverted-U threshold, identifying a previously untested scope condition for the Lu and Beamish (2004) claim: the threshold is conditional on institutional stability. The authors' earlier work (Do and Phan, 2025; linear DOI, FGLS, 380 matched firms) is acknowledged as prior author work.</w:t>
      </w:r>
    </w:p>
    <w:p>
      <w:pPr>
        <w:pStyle w:val="BodyText"/>
      </w:pPr>
      <w:r>
        <w:rPr>
          <w:bCs/>
          <w:b/>
        </w:rPr>
        <w:t xml:space="preserve">Keywords:</w:t>
      </w:r>
      <w:r>
        <w:t xml:space="preserve"> </w:t>
      </w:r>
      <w:r>
        <w:t xml:space="preserve">internationalisation–performance; export intensity; threshold stability; India; UPI; digital capability; technological capability; institutional transformation; emerging markets;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X8bf20a63f0decf7b16e99d564b9958ec4fbbb23"/>
    <w:p>
      <w:pPr>
        <w:pStyle w:val="Heading2"/>
      </w:pPr>
      <w:r>
        <w:t xml:space="preserve">2. Theory and Hypotheses</w:t>
      </w:r>
    </w:p>
    <w:bookmarkStart w:id="23" w:name="Xcec8abb30929305ffaf22433e6006159dcafc70"/>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318c1fea634a10967c98191445c5d08ccb10924"/>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X060d31242d4306baafc5e03914e6254ae49e087"/>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0ff06f102d45fcb8fa4478a82f55fd8f58f23cc"/>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Xd220370935321604b8cdfc5a5895802593c0b72"/>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BodyText"/>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r>
        <w:t xml:space="preserve">{width=6.5in}</w:t>
      </w:r>
    </w:p>
    <w:bookmarkEnd w:id="30"/>
    <w:bookmarkEnd w:id="31"/>
    <w:bookmarkStart w:id="37" w:name="X5eb800a903106e48a684e9ea9de39ed619b9df8"/>
    <w:p>
      <w:pPr>
        <w:pStyle w:val="Heading2"/>
      </w:pPr>
      <w:r>
        <w:t xml:space="preserve">3. Data and Methods</w:t>
      </w:r>
    </w:p>
    <w:bookmarkStart w:id="33" w:name="Xe44c7198c5f456f0b96f26ab6247749e5a25829"/>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w:t>
      </w:r>
      <w:r>
        <w:t xml:space="preserve"> </w:t>
      </w:r>
      <w:hyperlink r:id="rId32">
        <w:r>
          <w:rPr>
            <w:rStyle w:val="Hyperlink"/>
          </w:rPr>
          <w:t xml:space="preserve">https://www.enterprisesurveys.org</w:t>
        </w:r>
      </w:hyperlink>
      <w:r>
        <w:t xml:space="preserve"> </w:t>
      </w:r>
      <w:r>
        <w:t xml:space="preserve">subject to World Bank registration.</w:t>
      </w:r>
    </w:p>
    <w:bookmarkEnd w:id="33"/>
    <w:bookmarkStart w:id="34" w:name="Xbcf9f12e79107fa2c089aaf13fc6c4fb773f1c2"/>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4"/>
    <w:bookmarkStart w:id="35" w:name="X4b795af974b5b07f42f16cec52da76c45fb8d2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5"/>
    <w:bookmarkStart w:id="36" w:name="Xfcfef551bab64293bca084b9d423d059a51f3c8"/>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 "monotone or U" 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8"/>
    <w:bookmarkStart w:id="42" w:name="X3623da6fd251cdd708736906f4e561251a5ae18"/>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 * p &lt; 0.05, ** p &lt; 0.01, *** p &lt; 0.001. Turning point computed as TP = −β̂₁ / (2β̂₂); reported only for waves with inverted-U supported in Lind–Mehlum test.</w:t>
      </w:r>
    </w:p>
    <w:p>
      <w:pPr>
        <w:pStyle w:val="BodyText"/>
      </w:pPr>
      <w:r>
        <w:drawing>
          <wp:inline>
            <wp:extent cx="5334000" cy="3130882"/>
            <wp:effectExtent b="0" l="0" r="0" t="0"/>
            <wp:docPr descr="Figure 2. Wave-specific predicted I-P relationship: India 2014, 2022, 2025." title="" id="40" name="Picture"/>
            <a:graphic>
              <a:graphicData uri="http://schemas.openxmlformats.org/drawingml/2006/picture">
                <pic:pic>
                  <pic:nvPicPr>
                    <pic:cNvPr descr="/home/user/MY_THESIS_PHD_CANDIDATE_26/p9_india/replication/figures/figure_2_predicted_curves.png" id="41" name="Picture"/>
                    <pic:cNvPicPr>
                      <a:picLocks noChangeArrowheads="1" noChangeAspect="1"/>
                    </pic:cNvPicPr>
                  </pic:nvPicPr>
                  <pic:blipFill>
                    <a:blip r:embed="rId39"/>
                    <a:stretch>
                      <a:fillRect/>
                    </a:stretch>
                  </pic:blipFill>
                  <pic:spPr bwMode="auto">
                    <a:xfrm>
                      <a:off x="0" y="0"/>
                      <a:ext cx="5334000" cy="3130882"/>
                    </a:xfrm>
                    <a:prstGeom prst="rect">
                      <a:avLst/>
                    </a:prstGeom>
                    <a:noFill/>
                    <a:ln w="9525">
                      <a:noFill/>
                      <a:headEnd/>
                      <a:tailEnd/>
                    </a:ln>
                  </pic:spPr>
                </pic:pic>
              </a:graphicData>
            </a:graphic>
          </wp:inline>
        </w:drawing>
      </w:r>
      <w:r>
        <w:t xml:space="preserve">{width=6.5in}</w:t>
      </w:r>
    </w:p>
    <w:bookmarkEnd w:id="42"/>
    <w:bookmarkStart w:id="46" w:name="Xa2a3c373760265790b1a8e7b307529c391ea560"/>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BodyText"/>
      </w:pPr>
      <w:r>
        <w:drawing>
          <wp:inline>
            <wp:extent cx="5334000" cy="3485437"/>
            <wp:effectExtent b="0" l="0" r="0" t="0"/>
            <wp:docPr descr="Figure 3. Turning-point estimates and 2025 threshold collapse." title="" id="44" name="Picture"/>
            <a:graphic>
              <a:graphicData uri="http://schemas.openxmlformats.org/drawingml/2006/picture">
                <pic:pic>
                  <pic:nvPicPr>
                    <pic:cNvPr descr="/home/user/MY_THESIS_PHD_CANDIDATE_26/p9_india/replication/figures/figure_3_turning_points.png" id="45" name="Picture"/>
                    <pic:cNvPicPr>
                      <a:picLocks noChangeArrowheads="1" noChangeAspect="1"/>
                    </pic:cNvPicPr>
                  </pic:nvPicPr>
                  <pic:blipFill>
                    <a:blip r:embed="rId43"/>
                    <a:stretch>
                      <a:fillRect/>
                    </a:stretch>
                  </pic:blipFill>
                  <pic:spPr bwMode="auto">
                    <a:xfrm>
                      <a:off x="0" y="0"/>
                      <a:ext cx="5334000" cy="3485437"/>
                    </a:xfrm>
                    <a:prstGeom prst="rect">
                      <a:avLst/>
                    </a:prstGeom>
                    <a:noFill/>
                    <a:ln w="9525">
                      <a:noFill/>
                      <a:headEnd/>
                      <a:tailEnd/>
                    </a:ln>
                  </pic:spPr>
                </pic:pic>
              </a:graphicData>
            </a:graphic>
          </wp:inline>
        </w:drawing>
      </w:r>
      <w:r>
        <w:t xml:space="preserve">{width=6.5in}</w:t>
      </w:r>
    </w:p>
    <w:bookmarkEnd w:id="46"/>
    <w:bookmarkStart w:id="47" w:name="Xf60927d55a91114fea779cf36ab4cc04d3fbe2b"/>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7"/>
    <w:bookmarkStart w:id="51" w:name="Xfa6d62402842924c5c02d4fc334ff0a94d1ce6a"/>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 * p &lt; 0.05, ** p &lt; 0.01, *** p &lt; 0.001. Controls (ln(Employees), firm age, foreign ownership) included but suppressed for space.</w:t>
      </w:r>
    </w:p>
    <w:p>
      <w:pPr>
        <w:pStyle w:val="BodyText"/>
      </w:pPr>
      <w:r>
        <w:drawing>
          <wp:inline>
            <wp:extent cx="5334000" cy="3738442"/>
            <wp:effectExtent b="0" l="0" r="0" t="0"/>
            <wp:docPr descr="Figure 4. UPI rollout and Indian institutional shocks, 2014-2025." title="" id="49" name="Picture"/>
            <a:graphic>
              <a:graphicData uri="http://schemas.openxmlformats.org/drawingml/2006/picture">
                <pic:pic>
                  <pic:nvPicPr>
                    <pic:cNvPr descr="/home/user/MY_THESIS_PHD_CANDIDATE_26/p9_india/replication/figures/figure_4_upi_timeline.png" id="50" name="Picture"/>
                    <pic:cNvPicPr>
                      <a:picLocks noChangeArrowheads="1" noChangeAspect="1"/>
                    </pic:cNvPicPr>
                  </pic:nvPicPr>
                  <pic:blipFill>
                    <a:blip r:embed="rId48"/>
                    <a:stretch>
                      <a:fillRect/>
                    </a:stretch>
                  </pic:blipFill>
                  <pic:spPr bwMode="auto">
                    <a:xfrm>
                      <a:off x="0" y="0"/>
                      <a:ext cx="5334000" cy="3738442"/>
                    </a:xfrm>
                    <a:prstGeom prst="rect">
                      <a:avLst/>
                    </a:prstGeom>
                    <a:noFill/>
                    <a:ln w="9525">
                      <a:noFill/>
                      <a:headEnd/>
                      <a:tailEnd/>
                    </a:ln>
                  </pic:spPr>
                </pic:pic>
              </a:graphicData>
            </a:graphic>
          </wp:inline>
        </w:drawing>
      </w:r>
      <w:r>
        <w:t xml:space="preserve">{width=6.5in}</w:t>
      </w:r>
    </w:p>
    <w:bookmarkEnd w:id="51"/>
    <w:bookmarkStart w:id="52" w:name="X7b68f907ed55e65a2ee44288bf21fafeaedb955"/>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 * 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2"/>
    <w:bookmarkEnd w:id="53"/>
    <w:bookmarkStart w:id="60" w:name="X735612638e4e736e4693e459c258977262c0dfc"/>
    <w:p>
      <w:pPr>
        <w:pStyle w:val="Heading2"/>
      </w:pPr>
      <w:r>
        <w:t xml:space="preserve">5. Discussion</w:t>
      </w:r>
    </w:p>
    <w:bookmarkStart w:id="54" w:name="Xc19094a4c16362caac43b24a1cfd1e566bed788"/>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4"/>
    <w:bookmarkStart w:id="55" w:name="X5aa2e568177abc248bc73a150f5dd80385661c2"/>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5"/>
    <w:bookmarkStart w:id="56" w:name="Xfb124a5024cf96d638b9a68daad9b3c0689502a"/>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6"/>
    <w:bookmarkStart w:id="57" w:name="Xba25a0532df081593fbba6823962c8a78aab254"/>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 "what is the optimal export intensity?" but "under what institutional conditions does an optimum re-emerge?" 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7"/>
    <w:bookmarkStart w:id="58" w:name="X6fb952f48fe7386a51cacff4bb40301fd98916c"/>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8"/>
    <w:bookmarkStart w:id="59" w:name="X5106f0fe7d7b3d0e8858d892c327902f1f4cfd1"/>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9"/>
    <w:bookmarkEnd w:id="60"/>
    <w:bookmarkStart w:id="61" w:name="Xf3d63d3bef15b3e862b66ed5bd48a577996a1bc"/>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1"/>
    <w:bookmarkStart w:id="62"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2"/>
    <w:bookmarkStart w:id="63" w:name="conflict-of-interest"/>
    <w:p>
      <w:pPr>
        <w:pStyle w:val="Heading2"/>
      </w:pPr>
      <w:r>
        <w:t xml:space="preserve">Conflict of Interest</w:t>
      </w:r>
    </w:p>
    <w:p>
      <w:pPr>
        <w:pStyle w:val="FirstParagraph"/>
      </w:pPr>
      <w:r>
        <w:t xml:space="preserve">The authors declare no conflict of interest.</w:t>
      </w:r>
    </w:p>
    <w:bookmarkEnd w:id="63"/>
    <w:bookmarkStart w:id="6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4"/>
    <w:bookmarkStart w:id="65" w:name="data-availability-statement"/>
    <w:p>
      <w:pPr>
        <w:pStyle w:val="Heading2"/>
      </w:pPr>
      <w:r>
        <w:t xml:space="preserve">Data availability statement</w:t>
      </w:r>
    </w:p>
    <w:p>
      <w:pPr>
        <w:pStyle w:val="FirstParagraph"/>
      </w:pPr>
      <w:r>
        <w:t xml:space="preserve">WBES India 2014, 2022, and 2025 microdata are publicly available via</w:t>
      </w:r>
      <w:r>
        <w:t xml:space="preserve"> </w:t>
      </w:r>
      <w:hyperlink r:id="rId32">
        <w:r>
          <w:rPr>
            <w:rStyle w:val="Hyperlink"/>
          </w:rPr>
          <w:t xml:space="preserve">https://www.enterprisesurveys.org</w:t>
        </w:r>
      </w:hyperlink>
      <w:r>
        <w:t xml:space="preserve"> </w:t>
      </w:r>
      <w:r>
        <w:t xml:space="preserve">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5"/>
    <w:bookmarkStart w:id="6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6"/>
    <w:bookmarkStart w:id="69" w:name="references"/>
    <w:p>
      <w:pPr>
        <w:pStyle w:val="Heading2"/>
      </w:pPr>
      <w:r>
        <w:t xml:space="preserve">References</w:t>
      </w:r>
    </w:p>
    <w:p>
      <w:pPr>
        <w:pStyle w:val="FirstParagraph"/>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67">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 "The performance effects of 'added cultural distance' in multinational expansion paths: generalizable and contextual determinants",</w:t>
      </w:r>
      <w:r>
        <w:t xml:space="preserve"> </w:t>
      </w:r>
      <w:r>
        <w:rPr>
          <w:iCs/>
          <w:i/>
        </w:rPr>
        <w:t xml:space="preserve">Multinational Business Review</w:t>
      </w:r>
      <w:r>
        <w:t xml:space="preserve">, available at:</w:t>
      </w:r>
      <w:r>
        <w:t xml:space="preserve"> </w:t>
      </w:r>
      <w:hyperlink r:id="rId68">
        <w:r>
          <w:rPr>
            <w:rStyle w:val="Hyperlink"/>
          </w:rPr>
          <w:t xml:space="preserve">https://doi.org/10.1108/mbr-04-2025-0104</w:t>
        </w:r>
      </w:hyperlink>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hyperlink" Id="rId68" Target="https://doi.org/10.1108/mbr-04-2025-0104" TargetMode="External"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108/mbr-04-2025-0104" TargetMode="External"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2026-06-09T15:42:47Z</dcterms:created>
  <dcterms:modified xsi:type="dcterms:W3CDTF">2026-06-09T15:42:47Z</dcterms:modified>
</cp:coreProperties>
</file>

<file path=docProps/custom.xml><?xml version="1.0" encoding="utf-8"?>
<Properties xmlns="http://schemas.openxmlformats.org/officeDocument/2006/custom-properties" xmlns:vt="http://schemas.openxmlformats.org/officeDocument/2006/docPropsVTypes"/>
</file>